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spacing w:before="2200"/>
      </w:pPr>
      <w:r>
        <w:rPr>
          <w:b/>
          <w:sz w:val="42"/>
        </w:rPr>
        <w:t>Interactive Intelligence Report</w:t>
      </w:r>
    </w:p>
    <w:p>
      <w:r>
        <w:t xml:space="preserve">VoiceInsights Africa — Full Synthetic Demonstration Publication</w:t>
      </w:r>
    </w:p>
    <w:p>
      <w:r>
        <w:t xml:space="preserve">Synthetic Demonstration Publication produced by VoiceInsights Africa. All people, quotations, locations and statistics are synthetic, internally governed demonstration content and are not official statistics.</w:t>
      </w:r>
    </w:p>
    <w:p>
      <w:pPr>
        <w:pStyle w:val="Heading1"/>
      </w:pPr>
      <w:r>
        <w:t>Executive Intelligence</w:t>
      </w:r>
    </w:p>
    <w:p>
      <w:r>
        <w:t xml:space="preserve">East Africa's regional development performance is improving in some places and stalling in others — this publication shows exactly where. The evidence points to concentrated risk, but also to specific, actionable openings for decision-makers. This publication's claims are only as strong as their sourcing — which is why every finding is evidence-linked, every recommendation is owned, and every statistic shares the same governed dataset.</w:t>
      </w:r>
    </w:p>
    <w:p>
      <w:pPr>
        <w:pStyle w:val="Heading1"/>
      </w:pPr>
      <w:r>
        <w:t>Table of Contents</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r>
        <w:t xml:space="preserve">undefined — undefined</w:t>
      </w:r>
    </w:p>
    <w:p>
      <w:pPr>
        <w:pStyle w:val="Heading1"/>
      </w:pPr>
      <w:r>
        <w:t>Critical Findings</w:t>
      </w:r>
    </w:p>
    <w:p>
      <w:pPr>
        <w:pStyle w:val="Heading2"/>
      </w:pPr>
      <w:r>
        <w:t>Regional divergence</w:t>
      </w:r>
    </w:p>
    <w:p>
      <w:r>
        <w:t xml:space="preserve">Regional divergence is not a marginal delivery issue. In Kenya, the governed evidence indicates a 71% performance signal, with rural women carrying the most consequential constraint. Left unaddressed, regional divergence becomes a structural risk to regional development delivery in East Africa, not a temporary dip. Kenya is furthest exposed, and rural women would carry the earliest and heaviest consequences of a further year's delay.</w:t>
      </w:r>
    </w:p>
    <w:p>
      <w:r>
        <w:t xml:space="preserve">Evidence: EVI-INT-001, EVI-INT-004 • Confidence 94.5%</w:t>
      </w:r>
    </w:p>
    <w:p>
      <w:pPr>
        <w:pStyle w:val="Heading2"/>
      </w:pPr>
      <w:r>
        <w:t>Cross-border service access</w:t>
      </w:r>
    </w:p>
    <w:p>
      <w:r>
        <w:t xml:space="preserve">Cross-border service access has become an accountability question rather than a measurement question. Evidence from Tanzania places the signal at 72% and shows that young adults experience the largest gap between policy intent and lived delivery. The choice facing regional development leadership in East Africa is straightforward even if the fix is not: act on cross-border service access now, concentrated in Tanzania where young adults carry the largest share of the gap, or accept a wider gap in a year's time.</w:t>
      </w:r>
    </w:p>
    <w:p>
      <w:r>
        <w:t xml:space="preserve">Evidence: EVI-INT-002, EVI-INT-005 • Confidence 95.5%</w:t>
      </w:r>
    </w:p>
    <w:p>
      <w:pPr>
        <w:pStyle w:val="Heading2"/>
      </w:pPr>
      <w:r>
        <w:t>Evidence connectivity</w:t>
      </w:r>
    </w:p>
    <w:p>
      <w:r>
        <w:t xml:space="preserve">Persons with disabilities in Uganda are living the consequence of evidence connectivity, not simply reporting it. Their 73% signal is the clearest evidence leadership has that current measures fall short. persons with disabilities in Uganda do not experience evidence connectivity as an abstract metric. They experience it as the difference between regional development delivery that works and delivery that does not, and a twelve-month delay would deepen that gap rather than hold it steady.</w:t>
      </w:r>
    </w:p>
    <w:p>
      <w:r>
        <w:t xml:space="preserve">Evidence: EVI-INT-003, EVI-INT-006 • Confidence 96.5%</w:t>
      </w:r>
    </w:p>
    <w:p>
      <w:pPr>
        <w:pStyle w:val="Heading2"/>
      </w:pPr>
      <w:r>
        <w:t>Decision latency</w:t>
      </w:r>
    </w:p>
    <w:p>
      <w:r>
        <w:t xml:space="preserve">74%. That is the decision latency signal recorded in Rwanda, and the headline figure understates the problem: disaggregated by group, frontline workers sit well below it. The clearest gap sits in Rwanda, concentrated among frontline workers. A twelve-month delay would let the gap compound into a harder, costlier problem.</w:t>
      </w:r>
    </w:p>
    <w:p>
      <w:r>
        <w:t xml:space="preserve">Evidence: EVI-INT-004, EVI-INT-007 • Confidence 92%</w:t>
      </w:r>
    </w:p>
    <w:p>
      <w:pPr>
        <w:pStyle w:val="Heading2"/>
      </w:pPr>
      <w:r>
        <w:t>Scenario sensitivity</w:t>
      </w:r>
    </w:p>
    <w:p>
      <w:r>
        <w:t xml:space="preserve">The strategic opportunity lies in the variation, not the average. At 75%, Kenya's scenario sensitivity signal shows where implementation can move quickly, while the experience of low-income households defines the safeguard that must accompany scale. The same gap that makes scenario sensitivity a risk also makes it an opportunity: Kenya could close most of the distance to the rest of East Africa within a year if action starts now, with the clearest gains reaching low-income households first.</w:t>
      </w:r>
    </w:p>
    <w:p>
      <w:r>
        <w:t xml:space="preserve">Evidence: EVI-INT-005, EVI-INT-008 • Confidence 93%</w:t>
      </w:r>
    </w:p>
    <w:p>
      <w:pPr>
        <w:pStyle w:val="Heading1"/>
      </w:pPr>
      <w:r>
        <w:t>Regional Intelligence</w:t>
      </w:r>
    </w:p>
    <w:p>
      <w:r>
        <w:t xml:space="preserve">Kenya: 77% • 1502 responses • Risk STABLE</w:t>
      </w:r>
    </w:p>
    <w:p>
      <w:r>
        <w:t xml:space="preserve">Tanzania: 78% • 1306 responses • Risk STABLE</w:t>
      </w:r>
    </w:p>
    <w:p>
      <w:r>
        <w:t xml:space="preserve">Uganda: 79% • 1113 responses • Risk STABLE</w:t>
      </w:r>
    </w:p>
    <w:p>
      <w:r>
        <w:t xml:space="preserve">Rwanda: 80% • 919 responses • Risk STABLE</w:t>
      </w:r>
    </w:p>
    <w:p>
      <w:pPr>
        <w:pStyle w:val="Heading1"/>
      </w:pPr>
      <w:r>
        <w:t>Indicators and Target Gaps</w:t>
      </w:r>
    </w:p>
    <w:p>
      <w:r>
        <w:t xml:space="preserve">IND-01 Regional convergence index: 57% vs 81% — OFF_TRACK</w:t>
      </w:r>
    </w:p>
    <w:p>
      <w:r>
        <w:t xml:space="preserve">IND-02 Cross-border access continuity: 58% vs 82% — OFF_TRACK</w:t>
      </w:r>
    </w:p>
    <w:p>
      <w:r>
        <w:t xml:space="preserve">IND-03 Evidence graph completeness: 59% vs 83% — OFF_TRACK</w:t>
      </w:r>
    </w:p>
    <w:p>
      <w:r>
        <w:t xml:space="preserve">IND-04 Decision latency: 60% vs 84% — OFF_TRACK</w:t>
      </w:r>
    </w:p>
    <w:p>
      <w:pPr>
        <w:pStyle w:val="Heading1"/>
      </w:pPr>
      <w:r>
        <w:t>Respondent Voice</w:t>
      </w:r>
    </w:p>
    <w:p>
      <w:r>
        <w:t xml:space="preserve">Kenya: “In Kenya, regional divergence shapes whether rural women can turn services into lasting outcomes.”</w:t>
      </w:r>
    </w:p>
    <w:p>
      <w:r>
        <w:t xml:space="preserve">Tanzania: “Young adults in Tanzania put it plainly: cross-border service access is what decides whether progress holds or slips back.”</w:t>
      </w:r>
    </w:p>
    <w:p>
      <w:r>
        <w:t xml:space="preserve">Uganda: “Why does Uganda lag behind? Ask persons with disabilities, and the answer comes back to evidence connectivity.”</w:t>
      </w:r>
    </w:p>
    <w:p>
      <w:r>
        <w:t xml:space="preserve">Rwanda: “Elsewhere, decision latency might be a footnote. For frontline workers in Rwanda, it is the whole story.”</w:t>
      </w:r>
    </w:p>
    <w:p>
      <w:r>
        <w:t xml:space="preserve">Kenya: “Low-income households in Kenya frame it simply: when scenario sensitivity breaks down, everything else does too.”</w:t>
      </w:r>
    </w:p>
    <w:p>
      <w:r>
        <w:t xml:space="preserve">Tanzania: “In Tanzania, regional divergence shapes whether service managers can turn services into lasting outcomes.”</w:t>
      </w:r>
    </w:p>
    <w:p>
      <w:r>
        <w:t xml:space="preserve">Uganda: “Community leaders in Uganda put it plainly: cross-border service access is what decides whether progress holds or slips back.”</w:t>
      </w:r>
    </w:p>
    <w:p>
      <w:r>
        <w:t xml:space="preserve">Rwanda: “Why does Rwanda lag behind? Ask private-sector partners, and the answer comes back to evidence connectivity.”</w:t>
      </w:r>
    </w:p>
    <w:p>
      <w:r>
        <w:t xml:space="preserve">Kenya: “Elsewhere, decision latency might be a footnote. For rural women in Kenya, it is the whole story.”</w:t>
      </w:r>
    </w:p>
    <w:p>
      <w:r>
        <w:t xml:space="preserve">Tanzania: “Young adults in Tanzania frame it simply: when scenario sensitivity breaks down, everything else does too.”</w:t>
      </w:r>
    </w:p>
    <w:p>
      <w:pPr>
        <w:pStyle w:val="Heading1"/>
      </w:pPr>
      <w:r>
        <w:t>Decision Intelligence</w:t>
      </w:r>
    </w:p>
    <w:p>
      <w:pPr>
        <w:pStyle w:val="Heading2"/>
      </w:pPr>
      <w:r>
        <w:t>DEC-INT-01 CRITICAL</w:t>
      </w:r>
    </w:p>
    <w:p>
      <w:r>
        <w:t xml:space="preserve">Activate a regional exception-monitoring workspace.</w:t>
      </w:r>
    </w:p>
    <w:p>
      <w:r>
        <w:t xml:space="preserve">Owner: Country Director / Programme Executive • Timeline: 0–90 days • Budget: Medium to high — requires a dedicated budget line and phased release • Indicator: Percentage of agreed milestones completed for DEC-INT-01</w:t>
      </w:r>
    </w:p>
    <w:p>
      <w:pPr>
        <w:pStyle w:val="Heading2"/>
      </w:pPr>
      <w:r>
        <w:t>DEC-INT-02 CRITICAL</w:t>
      </w:r>
    </w:p>
    <w:p>
      <w:r>
        <w:t xml:space="preserve">Create cross-border service continuity protocols.</w:t>
      </w:r>
    </w:p>
    <w:p>
      <w:r>
        <w:t xml:space="preserve">Owner: Country Director / Programme Executive • Timeline: 3–12 months • Budget: High — full business case and multi-year funding commitment required • Indicator: Share of the critical-tier delivery plan confirmed complete each quarter (DEC-INT-02)</w:t>
      </w:r>
    </w:p>
    <w:p>
      <w:pPr>
        <w:pStyle w:val="Heading2"/>
      </w:pPr>
      <w:r>
        <w:t>DEC-INT-03 HIGH</w:t>
      </w:r>
    </w:p>
    <w:p>
      <w:r>
        <w:t xml:space="preserve">Expose claim-to-source knowledge graph links.</w:t>
      </w:r>
    </w:p>
    <w:p>
      <w:r>
        <w:t xml:space="preserve">Owner: Country Director / Programme Executive • Timeline: 3–12 months • Budget: Medium — likely fundable from existing lines, pending confirmation • Indicator: Milestone completion rate tracked against the DEC-INT-03 delivery plan</w:t>
      </w:r>
    </w:p>
    <w:p>
      <w:pPr>
        <w:pStyle w:val="Heading2"/>
      </w:pPr>
      <w:r>
        <w:t>DEC-INT-04 HIGH</w:t>
      </w:r>
    </w:p>
    <w:p>
      <w:r>
        <w:t xml:space="preserve">Set decision turnaround service levels.</w:t>
      </w:r>
    </w:p>
    <w:p>
      <w:r>
        <w:t xml:space="preserve">Owner: Country Director / Programme Executive • Timeline: 3–12 months • Budget: Low to medium — validate through the formal planning cycle • Indicator: Proportion of agreed implementation steps verified on schedule for DEC-INT-04</w:t>
      </w:r>
    </w:p>
    <w:p>
      <w:pPr>
        <w:pStyle w:val="Heading2"/>
      </w:pPr>
      <w:r>
        <w:t>DEC-INT-05 MEDIUM</w:t>
      </w:r>
    </w:p>
    <w:p>
      <w:r>
        <w:t xml:space="preserve">Publish scenario assumptions beside every forecast.</w:t>
      </w:r>
    </w:p>
    <w:p>
      <w:r>
        <w:t xml:space="preserve">Owner: Country Director / Programme Executive • Timeline: 6–18 months • Budget: Low — absorbable within existing allocations, subject to confirmation • Indicator: Quarterly-verified progress against the milestones agreed for this medium-tier decision (DEC-INT-05)</w:t>
      </w:r>
    </w:p>
    <w:p>
      <w:pPr>
        <w:pStyle w:val="Heading1"/>
      </w:pPr>
      <w:r>
        <w:t>Methodology</w:t>
      </w:r>
    </w:p>
    <w:p>
      <w:r>
        <w:t xml:space="preserve">research objectives: ["Assess regional development performance and equity","Identify operational drivers and decision priorities"]</w:t>
      </w:r>
    </w:p>
    <w:p>
      <w:r>
        <w:t xml:space="preserve">evaluation questions: ["What outcomes are changing?","Who is being left behind?","Which actions are most likely to improve performance?"]</w:t>
      </w:r>
    </w:p>
    <w:p>
      <w:r>
        <w:t xml:space="preserve">sampling frame: Synthetic programme population frame for East Africa</w:t>
      </w:r>
    </w:p>
    <w:p>
      <w:r>
        <w:t xml:space="preserve">sample size: 4840</w:t>
      </w:r>
    </w:p>
    <w:p>
      <w:r>
        <w:t xml:space="preserve">stratification: ["Region","Location type","Sex","Age","Disability"]</w:t>
      </w:r>
    </w:p>
    <w:p>
      <w:r>
        <w:t xml:space="preserve">weights: Normalized post-stratification weights</w:t>
      </w:r>
    </w:p>
    <w:p>
      <w:r>
        <w:t xml:space="preserve">confidence intervals: 95%</w:t>
      </w:r>
    </w:p>
    <w:p>
      <w:r>
        <w:t xml:space="preserve">design effect: 1.6</w:t>
      </w:r>
    </w:p>
    <w:p>
      <w:r>
        <w:t xml:space="preserve">missing data: Documented and sensitivity-tested</w:t>
      </w:r>
    </w:p>
    <w:p>
      <w:r>
        <w:t xml:space="preserve">reliability: Cronbach alpha 0.86</w:t>
      </w:r>
    </w:p>
    <w:p>
      <w:r>
        <w:t xml:space="preserve">validity: Content and construct validity checks</w:t>
      </w:r>
    </w:p>
    <w:p>
      <w:r>
        <w:t xml:space="preserve">metadata: Complete synthetic data dictionary and lineage registry</w:t>
      </w:r>
    </w:p>
    <w:p>
      <w:pPr>
        <w:pStyle w:val="Heading1"/>
      </w:pPr>
      <w:r>
        <w:t>Institutional &amp; Methodology Assurance</w:t>
      </w:r>
    </w:p>
    <w:p>
      <w:r>
        <w:t xml:space="preserve">protocol: Governed synthetic research protocol with sampling, weighting, reliability, validity and reproducibility controls</w:t>
      </w:r>
    </w:p>
    <w:p>
      <w:r>
        <w:t xml:space="preserve">ethics: Synthetic records only; no real participants or personal data</w:t>
      </w:r>
    </w:p>
    <w:p>
      <w:r>
        <w:t xml:space="preserve">peer review: Independent synthetic-publication review checklist completed</w:t>
      </w:r>
    </w:p>
    <w:p>
      <w:r>
        <w:t xml:space="preserve">reproducibility: Deterministic inputs, versioned dataset and export manifest</w:t>
      </w:r>
    </w:p>
    <w:p>
      <w:pPr>
        <w:pStyle w:val="Heading1"/>
      </w:pPr>
      <w:r>
        <w:t>Analytical Depth &amp; Reproducibility</w:t>
      </w:r>
    </w:p>
    <w:p>
      <w:r>
        <w:t xml:space="preserve">inferential statistics: Enabled where assumptions and design permit</w:t>
      </w:r>
    </w:p>
    <w:p>
      <w:r>
        <w:t xml:space="preserve">segmentation: Evidence-led segments</w:t>
      </w:r>
    </w:p>
    <w:p>
      <w:r>
        <w:t xml:space="preserve">trend analysis: Three-period synthetic series</w:t>
      </w:r>
    </w:p>
    <w:p>
      <w:pPr>
        <w:pStyle w:val="Heading1"/>
      </w:pPr>
      <w:r>
        <w:t>Decision Architecture</w:t>
      </w:r>
    </w:p>
    <w:p>
      <w:pPr>
        <w:pStyle w:val="Heading2"/>
      </w:pPr>
      <w:r>
        <w:t>DEC-INT-01</w:t>
      </w:r>
    </w:p>
    <w:p>
      <w:r>
        <w:t xml:space="preserve">Activate a regional exception-monitoring workspace.</w:t>
      </w:r>
    </w:p>
    <w:p>
      <w:r>
        <w:t xml:space="preserve">Owner: Country Director / Programme Executive • Window: 0–90 days • Cost: Medium to high — requires a dedicated budget line and phased release • Indicator: Percentage of agreed milestones completed for DEC-INT-01</w:t>
      </w:r>
    </w:p>
    <w:p>
      <w:pPr>
        <w:pStyle w:val="Heading2"/>
      </w:pPr>
      <w:r>
        <w:t>DEC-INT-02</w:t>
      </w:r>
    </w:p>
    <w:p>
      <w:r>
        <w:t xml:space="preserve">Create cross-border service continuity protocols.</w:t>
      </w:r>
    </w:p>
    <w:p>
      <w:r>
        <w:t xml:space="preserve">Owner: Country Director / Programme Executive • Window: 3–12 months • Cost: High — full business case and multi-year funding commitment required • Indicator: Share of the critical-tier delivery plan confirmed complete each quarter (DEC-INT-02)</w:t>
      </w:r>
    </w:p>
    <w:p>
      <w:pPr>
        <w:pStyle w:val="Heading2"/>
      </w:pPr>
      <w:r>
        <w:t>DEC-INT-03</w:t>
      </w:r>
    </w:p>
    <w:p>
      <w:r>
        <w:t xml:space="preserve">Expose claim-to-source knowledge graph links.</w:t>
      </w:r>
    </w:p>
    <w:p>
      <w:r>
        <w:t xml:space="preserve">Owner: Country Director / Programme Executive • Window: 3–12 months • Cost: Medium — likely fundable from existing lines, pending confirmation • Indicator: Milestone completion rate tracked against the DEC-INT-03 delivery plan</w:t>
      </w:r>
    </w:p>
    <w:p>
      <w:pPr>
        <w:pStyle w:val="Heading2"/>
      </w:pPr>
      <w:r>
        <w:t>DEC-INT-04</w:t>
      </w:r>
    </w:p>
    <w:p>
      <w:r>
        <w:t xml:space="preserve">Set decision turnaround service levels.</w:t>
      </w:r>
    </w:p>
    <w:p>
      <w:r>
        <w:t xml:space="preserve">Owner: Country Director / Programme Executive • Window: 3–12 months • Cost: Low to medium — validate through the formal planning cycle • Indicator: Proportion of agreed implementation steps verified on schedule for DEC-INT-04</w:t>
      </w:r>
    </w:p>
    <w:p>
      <w:pPr>
        <w:pStyle w:val="Heading2"/>
      </w:pPr>
      <w:r>
        <w:t>DEC-INT-05</w:t>
      </w:r>
    </w:p>
    <w:p>
      <w:r>
        <w:t xml:space="preserve">Publish scenario assumptions beside every forecast.</w:t>
      </w:r>
    </w:p>
    <w:p>
      <w:r>
        <w:t xml:space="preserve">Owner: Country Director / Programme Executive • Window: 6–18 months • Cost: Low — absorbable within existing allocations, subject to confirmation • Indicator: Quarterly-verified progress against the milestones agreed for this medium-tier decision (DEC-INT-05)</w:t>
      </w:r>
    </w:p>
    <w:p>
      <w:pPr>
        <w:pStyle w:val="Heading1"/>
      </w:pPr>
      <w:r>
        <w:t>Evidence Lineage &amp; Citation Registry</w:t>
      </w:r>
    </w:p>
    <w:p>
      <w:r>
        <w:t xml:space="preserve">EVI-INT-001: [object Object] • APPROVED_SYNTHETIC_DEMONSTRATION • 93%</w:t>
      </w:r>
    </w:p>
    <w:p>
      <w:r>
        <w:t xml:space="preserve">EVI-INT-002: [object Object] • APPROVED_SYNTHETIC_DEMONSTRATION • 94%</w:t>
      </w:r>
    </w:p>
    <w:p>
      <w:r>
        <w:t xml:space="preserve">EVI-INT-003: [object Object] • APPROVED_SYNTHETIC_DEMONSTRATION • 95%</w:t>
      </w:r>
    </w:p>
    <w:p>
      <w:r>
        <w:t xml:space="preserve">EVI-INT-004: [object Object] • APPROVED_SYNTHETIC_DEMONSTRATION • 96%</w:t>
      </w:r>
    </w:p>
    <w:p>
      <w:r>
        <w:t xml:space="preserve">EVI-INT-005: [object Object] • APPROVED_SYNTHETIC_DEMONSTRATION • 97%</w:t>
      </w:r>
    </w:p>
    <w:p>
      <w:r>
        <w:t xml:space="preserve">EVI-INT-006: [object Object] • APPROVED_SYNTHETIC_DEMONSTRATION • 98%</w:t>
      </w:r>
    </w:p>
    <w:p>
      <w:r>
        <w:t xml:space="preserve">EVI-INT-007: [object Object] • APPROVED_SYNTHETIC_DEMONSTRATION • 88%</w:t>
      </w:r>
    </w:p>
    <w:p>
      <w:r>
        <w:t xml:space="preserve">EVI-INT-008: [object Object] • APPROVED_SYNTHETIC_DEMONSTRATION • 89%</w:t>
      </w:r>
    </w:p>
    <w:p>
      <w:r>
        <w:t xml:space="preserve">EVI-INT-009: [object Object] • APPROVED_SYNTHETIC_DEMONSTRATION • 90%</w:t>
      </w:r>
    </w:p>
    <w:p>
      <w:r>
        <w:t xml:space="preserve">EVI-INT-010: [object Object] • APPROVED_SYNTHETIC_DEMONSTRATION • 91%</w:t>
      </w:r>
    </w:p>
    <w:p>
      <w:r>
        <w:t xml:space="preserve">CIT-EVI-INT-001: VoiceInsights Africa. Interactive Intelligence Report. synthetic-interactive-intelligence-2026.1, EVI-INT-001, Q1: How does regional divergence affect regional development outcomes in Kenya?</w:t>
      </w:r>
    </w:p>
    <w:p>
      <w:r>
        <w:t xml:space="preserve">CIT-EVI-INT-002: VoiceInsights Africa. Interactive Intelligence Report. synthetic-interactive-intelligence-2026.1, EVI-INT-002, Q2: How does cross-border service access affect regional development outcomes in Tanzania?</w:t>
      </w:r>
    </w:p>
    <w:p>
      <w:r>
        <w:t xml:space="preserve">CIT-EVI-INT-003: VoiceInsights Africa. Interactive Intelligence Report. synthetic-interactive-intelligence-2026.1, EVI-INT-003, Q3: How does evidence connectivity affect regional development outcomes in Uganda?</w:t>
      </w:r>
    </w:p>
    <w:p>
      <w:r>
        <w:t xml:space="preserve">CIT-EVI-INT-004: VoiceInsights Africa. Interactive Intelligence Report. synthetic-interactive-intelligence-2026.1, EVI-INT-004, Q4: How does decision latency affect regional development outcomes in Rwanda?</w:t>
      </w:r>
    </w:p>
    <w:p>
      <w:r>
        <w:t xml:space="preserve">CIT-EVI-INT-005: VoiceInsights Africa. Interactive Intelligence Report. synthetic-interactive-intelligence-2026.1, EVI-INT-005, Q5: How does scenario sensitivity affect regional development outcomes in Kenya?</w:t>
      </w:r>
    </w:p>
    <w:p>
      <w:r>
        <w:t xml:space="preserve">CIT-EVI-INT-006: VoiceInsights Africa. Interactive Intelligence Report. synthetic-interactive-intelligence-2026.1, EVI-INT-006, Q6: How does regional divergence affect regional development outcomes in Tanzania?</w:t>
      </w:r>
    </w:p>
    <w:p>
      <w:r>
        <w:t xml:space="preserve">CIT-EVI-INT-007: VoiceInsights Africa. Interactive Intelligence Report. synthetic-interactive-intelligence-2026.1, EVI-INT-007, Q7: How does cross-border service access affect regional development outcomes in Uganda?</w:t>
      </w:r>
    </w:p>
    <w:p>
      <w:r>
        <w:t xml:space="preserve">CIT-EVI-INT-008: VoiceInsights Africa. Interactive Intelligence Report. synthetic-interactive-intelligence-2026.1, EVI-INT-008, Q8: How does evidence connectivity affect regional development outcomes in Rwanda?</w:t>
      </w:r>
    </w:p>
    <w:p>
      <w:r>
        <w:t xml:space="preserve">CIT-EVI-INT-009: VoiceInsights Africa. Interactive Intelligence Report. synthetic-interactive-intelligence-2026.1, EVI-INT-009, Q9: How does decision latency affect regional development outcomes in Kenya?</w:t>
      </w:r>
    </w:p>
    <w:p>
      <w:r>
        <w:t xml:space="preserve">CIT-EVI-INT-010: VoiceInsights Africa. Interactive Intelligence Report. synthetic-interactive-intelligence-2026.1, EVI-INT-010, Q10: How does scenario sensitivity affect regional development outcomes in Tanzania?</w:t>
      </w:r>
    </w:p>
    <w:p>
      <w:pPr>
        <w:pStyle w:val="Heading1"/>
      </w:pPr>
      <w:r>
        <w:t>Publication Architecture</w:t>
      </w:r>
    </w:p>
    <w:p>
      <w:r>
        <w:t xml:space="preserve">Executive Intelligence Book (2–7): Executive brief; Decision snapshot; Risks; Opportunities; Budget implications</w:t>
      </w:r>
    </w:p>
    <w:p>
      <w:r>
        <w:t xml:space="preserve">Evidence Intelligence Book (8–15): Critical findings; Respondent voice; Evidence chains; Citation registry</w:t>
      </w:r>
    </w:p>
    <w:p>
      <w:r>
        <w:t xml:space="preserve">Statistical Intelligence Book (16–22): Sampling; Weighting; Uncertainty; Reliability; Model diagnostics</w:t>
      </w:r>
    </w:p>
    <w:p>
      <w:r>
        <w:t xml:space="preserve">Decision Intelligence Book (23–27): Decision matrix; Ownership; Budget; Roadmap; Management response</w:t>
      </w:r>
    </w:p>
    <w:p>
      <w:r>
        <w:t xml:space="preserve">Standards &amp; Assurance (28–31): Relevant frameworks; Safeguarding; Privacy; Responsible AI; Accessibility</w:t>
      </w:r>
    </w:p>
    <w:p>
      <w:r>
        <w:t xml:space="preserve">Technical Appendices (32–34): Data dictionary; Quality gate; Export manifest; Responsible-use notice</w:t>
      </w:r>
    </w:p>
    <w:p>
      <w:pPr>
        <w:pStyle w:val="Heading1"/>
      </w:pPr>
      <w:r>
        <w:t>Peer Review &amp; Accessibility</w:t>
      </w:r>
    </w:p>
    <w:p>
      <w:r>
        <w:t xml:space="preserve">wcag target: WCAG 2.2 AA</w:t>
      </w:r>
    </w:p>
    <w:p>
      <w:r>
        <w:t xml:space="preserve">tagged pdf required: true</w:t>
      </w:r>
    </w:p>
    <w:p>
      <w:r>
        <w:t xml:space="preserve">alt text required: true</w:t>
      </w:r>
    </w:p>
    <w:p>
      <w:r>
        <w:t xml:space="preserve">table fallback required: true</w:t>
      </w:r>
    </w:p>
    <w:p>
      <w:r>
        <w:t xml:space="preserve">keyboard navigation required: true</w:t>
      </w:r>
    </w:p>
    <w:p>
      <w:r>
        <w:t xml:space="preserve">colour independent labels required: true</w:t>
      </w:r>
    </w:p>
    <w:p>
      <w:pPr>
        <w:pStyle w:val="Heading1"/>
      </w:pPr>
      <w:r>
        <w:t>International Standards Alignment</w:t>
      </w:r>
    </w:p>
    <w:p>
      <w:r>
        <w:t xml:space="preserve">Responsible AI: APPLIED_WHERE_RELEVANT — Mapped to EVI-INT-001, EVI-INT-002; Synthetic demonstration mapping; institutional validation not implied</w:t>
      </w:r>
    </w:p>
    <w:p>
      <w:r>
        <w:t xml:space="preserve">Data Protection: APPLIED_WHERE_RELEVANT — Mapped to EVI-INT-002, EVI-INT-003; Synthetic demonstration mapping; institutional validation not implied</w:t>
      </w:r>
    </w:p>
    <w:p>
      <w:r>
        <w:t xml:space="preserve">Accessibility: APPLIED_WHERE_RELEVANT — Mapped to EVI-INT-003, EVI-INT-004; Synthetic demonstration mapping; institutional validation not implied</w:t>
      </w:r>
    </w:p>
    <w:p>
      <w:r>
        <w:t xml:space="preserve">Evidence Traceability: APPLIED — Control linked to EVI-INT-001 and the deterministic publication gate.</w:t>
      </w:r>
    </w:p>
    <w:p>
      <w:r>
        <w:t xml:space="preserve">Research Ethics: APPLIED — Control linked to EVI-INT-002 and the deterministic publication gate.</w:t>
      </w:r>
    </w:p>
    <w:p>
      <w:r>
        <w:t xml:space="preserve">Data Protection: APPLIED — Control linked to EVI-INT-003 and the deterministic publication gate.</w:t>
      </w:r>
    </w:p>
    <w:p>
      <w:r>
        <w:t xml:space="preserve">Accessibility: APPLIED — Control linked to EVI-INT-004 and the deterministic publication gate.</w:t>
      </w:r>
    </w:p>
    <w:p>
      <w:r>
        <w:t xml:space="preserve">Responsible AI: APPLIED — Control linked to EVI-INT-005 and the deterministic publication gate.</w:t>
      </w:r>
    </w:p>
    <w:p>
      <w:r>
        <w:t xml:space="preserve">Publication Integrity: APPLIED — Control linked to EVI-INT-006 and the deterministic publication gate.</w:t>
      </w:r>
    </w:p>
    <w:p>
      <w:pPr>
        <w:pStyle w:val="Heading1"/>
      </w:pPr>
      <w:r>
        <w:t>SDG Contribution</w:t>
      </w:r>
    </w:p>
    <w:p>
      <w:r>
        <w:t xml:space="preserve">SDG 9: undefined — Indicators —</w:t>
      </w:r>
    </w:p>
    <w:p>
      <w:r>
        <w:t xml:space="preserve">SDG 10: undefined — Indicators —</w:t>
      </w:r>
    </w:p>
    <w:p>
      <w:r>
        <w:t xml:space="preserve">SDG 17: undefined — Indicators —</w:t>
      </w:r>
    </w:p>
    <w:p>
      <w:pPr>
        <w:pStyle w:val="Heading1"/>
      </w:pPr>
      <w:r>
        <w:t>OECD-DAC Evaluation Criteria</w:t>
      </w:r>
    </w:p>
    <w:p>
      <w:r>
        <w:t xml:space="preserve">Relevance: Synthetic evidence indicates a strong relevance signal, subject to the stated design limitations. (82/100) — Review relevance evidence at the next formal management gate.</w:t>
      </w:r>
    </w:p>
    <w:p>
      <w:r>
        <w:t xml:space="preserve">Coherence: Synthetic evidence indicates a moderate-to-strong coherence signal, subject to the stated design limitations. (83/100) — Review coherence evidence at the next formal management gate.</w:t>
      </w:r>
    </w:p>
    <w:p>
      <w:r>
        <w:t xml:space="preserve">Effectiveness: Synthetic evidence indicates a strong effectiveness signal, subject to the stated design limitations. (84/100) — Review effectiveness evidence at the next formal management gate.</w:t>
      </w:r>
    </w:p>
    <w:p>
      <w:r>
        <w:t xml:space="preserve">Efficiency: Synthetic evidence indicates a moderate-to-strong efficiency signal, subject to the stated design limitations. (85/100) — Review efficiency evidence at the next formal management gate.</w:t>
      </w:r>
    </w:p>
    <w:p>
      <w:r>
        <w:t xml:space="preserve">Impact: Synthetic evidence indicates a strong impact signal, subject to the stated design limitations. (86/100) — Review impact evidence at the next formal management gate.</w:t>
      </w:r>
    </w:p>
    <w:p>
      <w:r>
        <w:t xml:space="preserve">Sustainability: Synthetic evidence indicates a moderate-to-strong sustainability signal, subject to the stated design limitations. (87/100) — Review sustainability evidence at the next formal management gate.</w:t>
      </w:r>
    </w:p>
    <w:p>
      <w:pPr>
        <w:pStyle w:val="Heading1"/>
      </w:pPr>
      <w:r>
        <w:t>Results-Based Management</w:t>
      </w:r>
    </w:p>
    <w:p>
      <w:r>
        <w:t xml:space="preserve">Impact: Sustained, equitable improvement in regional development performance</w:t>
      </w:r>
    </w:p>
    <w:p>
      <w:r>
        <w:t xml:space="preserve">OC-01: Improved regional development delivery and accountability — Indicators IND-01, IND-02</w:t>
      </w:r>
    </w:p>
    <w:p>
      <w:r>
        <w:t xml:space="preserve">OC-02: More equitable and durable outcomes — Indicators IND-03, IND-04</w:t>
      </w:r>
    </w:p>
    <w:p>
      <w:r>
        <w:t xml:space="preserve">OUT-01: Verified findings and interpreted decision products</w:t>
      </w:r>
    </w:p>
    <w:p>
      <w:r>
        <w:t xml:space="preserve">OUT-02: Assigned actions with monitoring indicators</w:t>
      </w:r>
    </w:p>
    <w:p>
      <w:pPr>
        <w:pStyle w:val="Heading1"/>
      </w:pPr>
      <w:r>
        <w:t>CHS Accountability Mapping</w:t>
      </w:r>
    </w:p>
    <w:p>
      <w:r>
        <w:t xml:space="preserve">Commitment 1: CHS Commitment 1 — CONTEXT_ONLY. Validate relevance and assign an accountable owner before live use.</w:t>
      </w:r>
    </w:p>
    <w:p>
      <w:r>
        <w:t xml:space="preserve">Commitment 2: CHS Commitment 2 — CONTEXT_ONLY. Validate relevance and assign an accountable owner before live use.</w:t>
      </w:r>
    </w:p>
    <w:p>
      <w:r>
        <w:t xml:space="preserve">Commitment 3: CHS Commitment 3 — CONTEXT_ONLY. Validate relevance and assign an accountable owner before live use.</w:t>
      </w:r>
    </w:p>
    <w:p>
      <w:r>
        <w:t xml:space="preserve">Commitment 4: CHS Commitment 4 — CONTEXT_ONLY. Validate relevance and assign an accountable owner before live use.</w:t>
      </w:r>
    </w:p>
    <w:p>
      <w:r>
        <w:t xml:space="preserve">Commitment 5: CHS Commitment 5 — CONTEXT_ONLY. Validate relevance and assign an accountable owner before live use.</w:t>
      </w:r>
    </w:p>
    <w:p>
      <w:r>
        <w:t xml:space="preserve">Commitment 6: CHS Commitment 6 — CONTEXT_ONLY. Validate relevance and assign an accountable owner before live use.</w:t>
      </w:r>
    </w:p>
    <w:p>
      <w:r>
        <w:t xml:space="preserve">Commitment 7: CHS Commitment 7 — CONTEXT_ONLY. Validate relevance and assign an accountable owner before live use.</w:t>
      </w:r>
    </w:p>
    <w:p>
      <w:r>
        <w:t xml:space="preserve">Commitment 8: CHS Commitment 8 — CONTEXT_ONLY. Validate relevance and assign an accountable owner before live use.</w:t>
      </w:r>
    </w:p>
    <w:p>
      <w:r>
        <w:t xml:space="preserve">Commitment 9: CHS Commitment 9 — CONTEXT_ONLY. Validate relevance and assign an accountable owner before live use.</w:t>
      </w:r>
    </w:p>
    <w:p>
      <w:pPr>
        <w:pStyle w:val="Heading1"/>
      </w:pPr>
      <w:r>
        <w:t>Evidence Register</w:t>
      </w:r>
    </w:p>
    <w:p>
      <w:r>
        <w:t xml:space="preserve">EVI-INT-001 • survey • SYN-INTE-0001 • APPROVED • 93%</w:t>
      </w:r>
    </w:p>
    <w:p>
      <w:r>
        <w:t xml:space="preserve">EVI-INT-002 • key_informant_interview • SYN-INTE-0002 • APPROVED • 94%</w:t>
      </w:r>
    </w:p>
    <w:p>
      <w:r>
        <w:t xml:space="preserve">EVI-INT-003 • administrative_record • SYN-INTE-0003 • APPROVED • 95%</w:t>
      </w:r>
    </w:p>
    <w:p>
      <w:r>
        <w:t xml:space="preserve">EVI-INT-004 • survey • SYN-INTE-0004 • APPROVED • 96%</w:t>
      </w:r>
    </w:p>
    <w:p>
      <w:r>
        <w:t xml:space="preserve">EVI-INT-005 • key_informant_interview • SYN-INTE-0005 • APPROVED • 97%</w:t>
      </w:r>
    </w:p>
    <w:p>
      <w:r>
        <w:t xml:space="preserve">EVI-INT-006 • administrative_record • SYN-INTE-0006 • APPROVED • 98%</w:t>
      </w:r>
    </w:p>
    <w:p>
      <w:r>
        <w:t xml:space="preserve">EVI-INT-007 • survey • SYN-INTE-0007 • APPROVED • 88%</w:t>
      </w:r>
    </w:p>
    <w:p>
      <w:r>
        <w:t xml:space="preserve">EVI-INT-008 • key_informant_interview • SYN-INTE-0008 • APPROVED • 89%</w:t>
      </w:r>
    </w:p>
    <w:p>
      <w:r>
        <w:t xml:space="preserve">EVI-INT-009 • administrative_record • SYN-INTE-0009 • APPROVED • 90%</w:t>
      </w:r>
    </w:p>
    <w:p>
      <w:r>
        <w:t xml:space="preserve">EVI-INT-010 • survey • SYN-INTE-0010 • APPROVED • 91%</w:t>
      </w:r>
    </w:p>
    <w:p>
      <w:pPr>
        <w:pStyle w:val="Heading1"/>
      </w:pPr>
      <w:r>
        <w:t>Data Dictionary</w:t>
      </w:r>
    </w:p>
    <w:p>
      <w:r>
        <w:t xml:space="preserve">indicator_1: Synthetic Regional Development indicator 1; numeric; allowed: 0–100; missing: NA</w:t>
      </w:r>
    </w:p>
    <w:p>
      <w:r>
        <w:t xml:space="preserve">indicator_2: Synthetic Regional Development indicator 2; categorical; allowed: Documented code list; missing: NA</w:t>
      </w:r>
    </w:p>
    <w:p>
      <w:r>
        <w:t xml:space="preserve">indicator_3: Synthetic Regional Development indicator 3; categorical; allowed: Documented code list; missing: NA</w:t>
      </w:r>
    </w:p>
    <w:p>
      <w:r>
        <w:t xml:space="preserve">indicator_4: Synthetic Regional Development indicator 4; numeric; allowed: 0–100; missing: NA</w:t>
      </w:r>
    </w:p>
    <w:p>
      <w:r>
        <w:t xml:space="preserve">indicator_5: Synthetic Regional Development indicator 5; categorical; allowed: Documented code list; missing: NA</w:t>
      </w:r>
    </w:p>
    <w:p>
      <w:r>
        <w:t xml:space="preserve">indicator_6: Synthetic Regional Development indicator 6; categorical; allowed: Documented code list; missing: NA</w:t>
      </w:r>
    </w:p>
    <w:p>
      <w:r>
        <w:t xml:space="preserve">indicator_7: Synthetic Regional Development indicator 7; numeric; allowed: 0–100; missing: NA</w:t>
      </w:r>
    </w:p>
    <w:p>
      <w:r>
        <w:t xml:space="preserve">indicator_8: Synthetic Regional Development indicator 8; categorical; allowed: Documented code list; missing: NA</w:t>
      </w:r>
    </w:p>
    <w:p>
      <w:r>
        <w:t xml:space="preserve">indicator_9: Synthetic Regional Development indicator 9; categorical; allowed: Documented code list; missing: NA</w:t>
      </w:r>
    </w:p>
    <w:p>
      <w:r>
        <w:t xml:space="preserve">indicator_10: Synthetic Regional Development indicator 10; numeric; allowed: 0–100; missing: NA</w:t>
      </w:r>
    </w:p>
    <w:p>
      <w:r>
        <w:t xml:space="preserve">indicator_11: Synthetic Regional Development indicator 11; categorical; allowed: Documented code list; missing: NA</w:t>
      </w:r>
    </w:p>
    <w:p>
      <w:r>
        <w:t xml:space="preserve">indicator_12: Synthetic Regional Development indicator 12; categorical; allowed: Documented code list; missing: NA</w:t>
      </w:r>
    </w:p>
    <w:p>
      <w:pPr>
        <w:pStyle w:val="Heading1"/>
      </w:pPr>
      <w:r>
        <w:t>Limitations &amp; Responsible Use</w:t>
      </w:r>
    </w:p>
    <w:p>
      <w:r>
        <w:t xml:space="preserve">All content is synthetic and must not be interpreted as official statistics</w:t>
      </w:r>
    </w:p>
    <w:p>
      <w:r>
        <w:t xml:space="preserve">Geographic references are illustrative</w:t>
      </w:r>
    </w:p>
    <w:p>
      <w:r>
        <w:t xml:space="preserve">Budget implications are directional and require formal costing</w:t>
      </w:r>
    </w:p>
    <w:p>
      <w:r>
        <w:t xml:space="preserve">Causal claims are not made without an appropriate design</w:t>
      </w:r>
    </w:p>
    <w:sectPr>
      <w:pgSz w:w="11906" w:h="16838"/>
      <w:pgMar w:top="1100" w:right="1100" w:bottom="1100" w:left="1100"/>
    </w:sectPr>
  </w:body>
</w:document>
</file>

<file path=word/styles.xml><?xml version="1.0" encoding="utf-8"?>
<w:styles xmlns:w="http://schemas.openxmlformats.org/wordprocessingml/2006/main">
  <w:style w:type="paragraph" w:default="1" w:styleId="Normal">
    <w:name w:val="Normal"/>
    <w:rPr>
      <w:rFonts w:ascii="Aptos"/>
      <w:sz w:val="22"/>
    </w:rPr>
  </w:style>
  <w:style w:type="paragraph" w:styleId="Heading1">
    <w:name w:val="heading 1"/>
    <w:basedOn w:val="Normal"/>
    <w:rPr>
      <w:b/>
      <w:color w:val="0B2E59"/>
      <w:sz w:val="32"/>
    </w:rPr>
  </w:style>
  <w:style w:type="paragraph" w:styleId="Heading2">
    <w:name w:val="heading 2"/>
    <w:basedOn w:val="Normal"/>
    <w:rPr>
      <w:b/>
      <w:color w:val="1C7ED6"/>
      <w:sz w:val="26"/>
    </w:rPr>
  </w:style>
</w:styles>
</file>

<file path=word/_rels/document.xml.rels><?xml version="1.0"?><Relationships xmlns="http://schemas.openxmlformats.org/package/2006/relationships"><Relationship Id="rId1" Type="http://schemas.openxmlformats.org/officeDocument/2006/relationships/styles" Target="styles.xml"/></Relationships>
</file>