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Justice and Legal Services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Every number in this publication answers one question: what is actually happening with justice and legal services performance in Kenya, and for whom. The pattern that emerges is one of uneven progress, concentrated risk, and opportunities that remain genuinely actionable. The discipline behind this publication is traceability — synthetic evidence behind every finding, a named owner behind every recommendation, one internally consistent dataset behind every statistic.</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Case-backlog concentration by court</w:t>
      </w:r>
    </w:p>
    <w:p>
      <w:r>
        <w:t xml:space="preserve">Rural women in Nairobi Courts are living the consequence of case-backlog concentration by court, not simply reporting it. Their 85% signal is the clearest evidence leadership has that current measures fall short. rural women in Nairobi Courts do not experience case-backlog concentration by court as an abstract metric. They experience it as the difference between justice and legal services delivery that works and delivery that does not, and a twelve-month delay would deepen that gap rather than hold it steady.</w:t>
      </w:r>
    </w:p>
    <w:p>
      <w:r>
        <w:t xml:space="preserve">Evidence: EVI-JUS-001, EVI-JUS-004 • Confidence 93%</w:t>
      </w:r>
    </w:p>
    <w:p>
      <w:pPr>
        <w:pStyle w:val="Heading2"/>
      </w:pPr>
      <w:r>
        <w:t>Legal-aid reach gaps for vulnerable litigants</w:t>
      </w:r>
    </w:p>
    <w:p>
      <w:r>
        <w:t xml:space="preserve">The strategic opportunity lies in the variation, not the average. At 86%, Coast Region Courts's legal-aid reach gaps for vulnerable litigants signal shows where implementation can move quickly, while the experience of young adults defines the safeguard that must accompany scale. The same gap that makes legal-aid reach gaps for vulnerable litigants a risk also makes it an opportunity: Coast Region Courts could close most of the distance to the rest of Kenya within a year if action starts now, with the clearest gains reaching young adults first.</w:t>
      </w:r>
    </w:p>
    <w:p>
      <w:r>
        <w:t xml:space="preserve">Evidence: EVI-JUS-002, EVI-JUS-005 • Confidence 94%</w:t>
      </w:r>
    </w:p>
    <w:p>
      <w:pPr>
        <w:pStyle w:val="Heading2"/>
      </w:pPr>
      <w:r>
        <w:t>Time-to-resolution for priority case types</w:t>
      </w:r>
    </w:p>
    <w:p>
      <w:r>
        <w:t xml:space="preserve">Time-to-resolution for priority case types is not a marginal delivery issue. In Western Region Courts, the governed evidence indicates a 54% performance signal, with persons with disabilities carrying the most consequential constraint. Left unaddressed, time-to-resolution for priority case types becomes a structural risk to justice and legal services delivery in Kenya, not a temporary dip. Western Region Courts is furthest exposed, and persons with disabilities would carry the earliest and heaviest consequences of a further year's delay.</w:t>
      </w:r>
    </w:p>
    <w:p>
      <w:r>
        <w:t xml:space="preserve">Evidence: EVI-JUS-003, EVI-JUS-006 • Confidence 89.5%</w:t>
      </w:r>
    </w:p>
    <w:p>
      <w:pPr>
        <w:pStyle w:val="Heading2"/>
      </w:pPr>
      <w:r>
        <w:t>Access-to-justice barriers in remote counties</w:t>
      </w:r>
    </w:p>
    <w:p>
      <w:r>
        <w:t xml:space="preserve">Access-to-justice barriers in remote counties has become an accountability question rather than a measurement question. Evidence from Rift Valley Courts places the signal at 55% and shows that frontline workers experience the largest gap between policy intent and lived delivery. The choice facing justice and legal services leadership in Kenya is straightforward even if the fix is not: act on access-to-justice barriers in remote counties now, concentrated in Rift Valley Courts where frontline workers carry the largest share of the gap, or accept a wider gap in a year's time.</w:t>
      </w:r>
    </w:p>
    <w:p>
      <w:r>
        <w:t xml:space="preserve">Evidence: EVI-JUS-004, EVI-JUS-007 • Confidence 90.5%</w:t>
      </w:r>
    </w:p>
    <w:p>
      <w:pPr>
        <w:pStyle w:val="Heading2"/>
      </w:pPr>
      <w:r>
        <w:t>Court-user trust in case handling</w:t>
      </w:r>
    </w:p>
    <w:p>
      <w:r>
        <w:t xml:space="preserve">The aggregate result conceals a material implementation divide. Nairobi Courts records a 56% signal for court-user trust in case handling; the shortfall is concentrated among low-income households, where service continuity and confidence move together. low-income households in Nairobi Courts do not experience court-user trust in case handling as an abstract metric. They experience it as the difference between justice and legal services delivery that works and delivery that does not, and a twelve-month delay would deepen that gap rather than hold it steady.</w:t>
      </w:r>
    </w:p>
    <w:p>
      <w:r>
        <w:t xml:space="preserve">Evidence: EVI-JUS-005, EVI-JUS-008 • Confidence 91.5%</w:t>
      </w:r>
    </w:p>
    <w:p>
      <w:pPr>
        <w:pStyle w:val="Heading1"/>
      </w:pPr>
      <w:r>
        <w:t>Regional Intelligence</w:t>
      </w:r>
    </w:p>
    <w:p>
      <w:r>
        <w:t xml:space="preserve">Nairobi Courts: 65% • 1111 responses • Risk WATCH</w:t>
      </w:r>
    </w:p>
    <w:p>
      <w:r>
        <w:t xml:space="preserve">Coast Region Courts: 66% • 966 responses • Risk WATCH</w:t>
      </w:r>
    </w:p>
    <w:p>
      <w:r>
        <w:t xml:space="preserve">Western Region Courts: 67% • 823 responses • Risk WATCH</w:t>
      </w:r>
    </w:p>
    <w:p>
      <w:r>
        <w:t xml:space="preserve">Rift Valley Courts: 68% • 680 responses • Risk WATCH</w:t>
      </w:r>
    </w:p>
    <w:p>
      <w:pPr>
        <w:pStyle w:val="Heading1"/>
      </w:pPr>
      <w:r>
        <w:t>Indicators and Target Gaps</w:t>
      </w:r>
    </w:p>
    <w:p>
      <w:r>
        <w:t xml:space="preserve">IND-01 Case backlog clearance rate: 55% vs 79% — OFF_TRACK</w:t>
      </w:r>
    </w:p>
    <w:p>
      <w:r>
        <w:t xml:space="preserve">IND-02 Legal-aid coverage rate: 56% vs 80% — OFF_TRACK</w:t>
      </w:r>
    </w:p>
    <w:p>
      <w:r>
        <w:t xml:space="preserve">IND-03 Time-to-resolution for priority cases: 57% vs 81% — OFF_TRACK</w:t>
      </w:r>
    </w:p>
    <w:p>
      <w:r>
        <w:t xml:space="preserve">IND-04 Court-user trust index: 58% vs 82% — OFF_TRACK</w:t>
      </w:r>
    </w:p>
    <w:p>
      <w:pPr>
        <w:pStyle w:val="Heading1"/>
      </w:pPr>
      <w:r>
        <w:t>Respondent Voice</w:t>
      </w:r>
    </w:p>
    <w:p>
      <w:r>
        <w:t xml:space="preserve">Nairobi Courts: “In Nairobi Courts, case-backlog concentration by court shapes whether rural women can turn services into lasting outcomes.”</w:t>
      </w:r>
    </w:p>
    <w:p>
      <w:r>
        <w:t xml:space="preserve">Coast Region Courts: “Young adults in Coast Region Courts put it plainly: legal-aid reach gaps for vulnerable litigants is what decides whether progress holds or slips back.”</w:t>
      </w:r>
    </w:p>
    <w:p>
      <w:r>
        <w:t xml:space="preserve">Western Region Courts: “Why does Western Region Courts lag behind? Ask persons with disabilities, and the answer comes back to time-to-resolution for priority case types.”</w:t>
      </w:r>
    </w:p>
    <w:p>
      <w:r>
        <w:t xml:space="preserve">Rift Valley Courts: “Elsewhere, access-to-justice barriers in remote counties might be a footnote. For frontline workers in Rift Valley Courts, it is the whole story.”</w:t>
      </w:r>
    </w:p>
    <w:p>
      <w:r>
        <w:t xml:space="preserve">Nairobi Courts: “Low-income households in Nairobi Courts frame it simply: when court-user trust in case handling breaks down, everything else does too.”</w:t>
      </w:r>
    </w:p>
    <w:p>
      <w:r>
        <w:t xml:space="preserve">Coast Region Courts: “In Coast Region Courts, case-backlog concentration by court shapes whether service managers can turn services into lasting outcomes.”</w:t>
      </w:r>
    </w:p>
    <w:p>
      <w:r>
        <w:t xml:space="preserve">Western Region Courts: “Community leaders in Western Region Courts put it plainly: legal-aid reach gaps for vulnerable litigants is what decides whether progress holds or slips back.”</w:t>
      </w:r>
    </w:p>
    <w:p>
      <w:r>
        <w:t xml:space="preserve">Rift Valley Courts: “Why does Rift Valley Courts lag behind? Ask private-sector partners, and the answer comes back to time-to-resolution for priority case types.”</w:t>
      </w:r>
    </w:p>
    <w:p>
      <w:r>
        <w:t xml:space="preserve">Nairobi Courts: “Elsewhere, access-to-justice barriers in remote counties might be a footnote. For rural women in Nairobi Courts, it is the whole story.”</w:t>
      </w:r>
    </w:p>
    <w:p>
      <w:r>
        <w:t xml:space="preserve">Coast Region Courts: “Young adults in Coast Region Courts frame it simply: when court-user trust in case handling breaks down, everything else does too.”</w:t>
      </w:r>
    </w:p>
    <w:p>
      <w:pPr>
        <w:pStyle w:val="Heading1"/>
      </w:pPr>
      <w:r>
        <w:t>Decision Intelligence</w:t>
      </w:r>
    </w:p>
    <w:p>
      <w:pPr>
        <w:pStyle w:val="Heading2"/>
      </w:pPr>
      <w:r>
        <w:t>DEC-JUS-01 HIGH</w:t>
      </w:r>
    </w:p>
    <w:p>
      <w:r>
        <w:t xml:space="preserve">Target backlog-reduction resources at the most congested courts.</w:t>
      </w:r>
    </w:p>
    <w:p>
      <w:r>
        <w:t xml:space="preserve">Owner: Permanent Secretary • Timeline: 3–12 months • Budget: Medium — likely fundable from existing lines, pending confirmation • Indicator: Quarterly-verified progress against the milestones agreed for this high-tier decision (DEC-JUS-01)</w:t>
      </w:r>
    </w:p>
    <w:p>
      <w:pPr>
        <w:pStyle w:val="Heading2"/>
      </w:pPr>
      <w:r>
        <w:t>DEC-JUS-02 MEDIUM</w:t>
      </w:r>
    </w:p>
    <w:p>
      <w:r>
        <w:t xml:space="preserve">Expand legal-aid reach to underserved litigant groups.</w:t>
      </w:r>
    </w:p>
    <w:p>
      <w:r>
        <w:t xml:space="preserve">Owner: Permanent Secretary • Timeline: 6–18 months • Budget: Low to medium — validate through the formal planning cycle • Indicator: Number of agreed milestones for DEC-JUS-02 confirmed complete at each quarterly review</w:t>
      </w:r>
    </w:p>
    <w:p>
      <w:pPr>
        <w:pStyle w:val="Heading2"/>
      </w:pPr>
      <w:r>
        <w:t>DEC-JUS-03 CRITICAL</w:t>
      </w:r>
    </w:p>
    <w:p>
      <w:r>
        <w:t xml:space="preserve">Prioritise time-to-resolution reform for the highest-impact case types.</w:t>
      </w:r>
    </w:p>
    <w:p>
      <w:r>
        <w:t xml:space="preserve">Owner: Permanent Secretary • Timeline: 0–90 days • Budget: Medium to high — requires a dedicated budget line and phased release • Indicator: Percentage of agreed milestones completed for DEC-JUS-03</w:t>
      </w:r>
    </w:p>
    <w:p>
      <w:pPr>
        <w:pStyle w:val="Heading2"/>
      </w:pPr>
      <w:r>
        <w:t>DEC-JUS-04 CRITICAL</w:t>
      </w:r>
    </w:p>
    <w:p>
      <w:r>
        <w:t xml:space="preserve">Deploy mobile court services to remote counties.</w:t>
      </w:r>
    </w:p>
    <w:p>
      <w:r>
        <w:t xml:space="preserve">Owner: Permanent Secretary • Timeline: 3–12 months • Budget: High — full business case and multi-year funding commitment required • Indicator: Share of the critical-tier delivery plan confirmed complete each quarter (DEC-JUS-04)</w:t>
      </w:r>
    </w:p>
    <w:p>
      <w:pPr>
        <w:pStyle w:val="Heading2"/>
      </w:pPr>
      <w:r>
        <w:t>DEC-JUS-05 HIGH</w:t>
      </w:r>
    </w:p>
    <w:p>
      <w:r>
        <w:t xml:space="preserve">Publish a court-user trust and service-quality dashboard.</w:t>
      </w:r>
    </w:p>
    <w:p>
      <w:r>
        <w:t xml:space="preserve">Owner: Permanent Secretary • Timeline: 3–12 months • Budget: Medium — likely fundable from existing lines, pending confirmation • Indicator: Milestone completion rate tracked against the DEC-JUS-05 delivery plan</w:t>
      </w:r>
    </w:p>
    <w:p>
      <w:pPr>
        <w:pStyle w:val="Heading1"/>
      </w:pPr>
      <w:r>
        <w:t>Methodology</w:t>
      </w:r>
    </w:p>
    <w:p>
      <w:r>
        <w:t xml:space="preserve">research objectives: ["Assess justice and legal services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Kenya</w:t>
      </w:r>
    </w:p>
    <w:p>
      <w:r>
        <w:t xml:space="preserve">sample size: 3580</w:t>
      </w:r>
    </w:p>
    <w:p>
      <w:r>
        <w:t xml:space="preserve">stratification: ["Region","Location type","Sex","Age","Disability"]</w:t>
      </w:r>
    </w:p>
    <w:p>
      <w:r>
        <w:t xml:space="preserve">weights: Normalized post-stratification weights</w:t>
      </w:r>
    </w:p>
    <w:p>
      <w:r>
        <w:t xml:space="preserve">confidence intervals: 95%</w:t>
      </w:r>
    </w:p>
    <w:p>
      <w:r>
        <w:t xml:space="preserve">design effect: 1.6</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DEC-JUS-01</w:t>
      </w:r>
    </w:p>
    <w:p>
      <w:r>
        <w:t xml:space="preserve">Target backlog-reduction resources at the most congested courts.</w:t>
      </w:r>
    </w:p>
    <w:p>
      <w:r>
        <w:t xml:space="preserve">Owner: Permanent Secretary • Window: 3–12 months • Cost: Medium — likely fundable from existing lines, pending confirmation • Indicator: Quarterly-verified progress against the milestones agreed for this high-tier decision (DEC-JUS-01)</w:t>
      </w:r>
    </w:p>
    <w:p>
      <w:pPr>
        <w:pStyle w:val="Heading2"/>
      </w:pPr>
      <w:r>
        <w:t>DEC-JUS-02</w:t>
      </w:r>
    </w:p>
    <w:p>
      <w:r>
        <w:t xml:space="preserve">Expand legal-aid reach to underserved litigant groups.</w:t>
      </w:r>
    </w:p>
    <w:p>
      <w:r>
        <w:t xml:space="preserve">Owner: Permanent Secretary • Window: 6–18 months • Cost: Low to medium — validate through the formal planning cycle • Indicator: Number of agreed milestones for DEC-JUS-02 confirmed complete at each quarterly review</w:t>
      </w:r>
    </w:p>
    <w:p>
      <w:pPr>
        <w:pStyle w:val="Heading2"/>
      </w:pPr>
      <w:r>
        <w:t>DEC-JUS-03</w:t>
      </w:r>
    </w:p>
    <w:p>
      <w:r>
        <w:t xml:space="preserve">Prioritise time-to-resolution reform for the highest-impact case types.</w:t>
      </w:r>
    </w:p>
    <w:p>
      <w:r>
        <w:t xml:space="preserve">Owner: Permanent Secretary • Window: 0–90 days • Cost: Medium to high — requires a dedicated budget line and phased release • Indicator: Percentage of agreed milestones completed for DEC-JUS-03</w:t>
      </w:r>
    </w:p>
    <w:p>
      <w:pPr>
        <w:pStyle w:val="Heading2"/>
      </w:pPr>
      <w:r>
        <w:t>DEC-JUS-04</w:t>
      </w:r>
    </w:p>
    <w:p>
      <w:r>
        <w:t xml:space="preserve">Deploy mobile court services to remote counties.</w:t>
      </w:r>
    </w:p>
    <w:p>
      <w:r>
        <w:t xml:space="preserve">Owner: Permanent Secretary • Window: 3–12 months • Cost: High — full business case and multi-year funding commitment required • Indicator: Share of the critical-tier delivery plan confirmed complete each quarter (DEC-JUS-04)</w:t>
      </w:r>
    </w:p>
    <w:p>
      <w:pPr>
        <w:pStyle w:val="Heading2"/>
      </w:pPr>
      <w:r>
        <w:t>DEC-JUS-05</w:t>
      </w:r>
    </w:p>
    <w:p>
      <w:r>
        <w:t xml:space="preserve">Publish a court-user trust and service-quality dashboard.</w:t>
      </w:r>
    </w:p>
    <w:p>
      <w:r>
        <w:t xml:space="preserve">Owner: Permanent Secretary • Window: 3–12 months • Cost: Medium — likely fundable from existing lines, pending confirmation • Indicator: Milestone completion rate tracked against the DEC-JUS-05 delivery plan</w:t>
      </w:r>
    </w:p>
    <w:p>
      <w:pPr>
        <w:pStyle w:val="Heading1"/>
      </w:pPr>
      <w:r>
        <w:t>Evidence Lineage &amp; Citation Registry</w:t>
      </w:r>
    </w:p>
    <w:p>
      <w:r>
        <w:t xml:space="preserve">EVI-JUS-001: [object Object] • APPROVED_SYNTHETIC_DEMONSTRATION • 97%</w:t>
      </w:r>
    </w:p>
    <w:p>
      <w:r>
        <w:t xml:space="preserve">EVI-JUS-002: [object Object] • APPROVED_SYNTHETIC_DEMONSTRATION • 98%</w:t>
      </w:r>
    </w:p>
    <w:p>
      <w:r>
        <w:t xml:space="preserve">EVI-JUS-003: [object Object] • APPROVED_SYNTHETIC_DEMONSTRATION • 88%</w:t>
      </w:r>
    </w:p>
    <w:p>
      <w:r>
        <w:t xml:space="preserve">EVI-JUS-004: [object Object] • APPROVED_SYNTHETIC_DEMONSTRATION • 89%</w:t>
      </w:r>
    </w:p>
    <w:p>
      <w:r>
        <w:t xml:space="preserve">EVI-JUS-005: [object Object] • APPROVED_SYNTHETIC_DEMONSTRATION • 90%</w:t>
      </w:r>
    </w:p>
    <w:p>
      <w:r>
        <w:t xml:space="preserve">EVI-JUS-006: [object Object] • APPROVED_SYNTHETIC_DEMONSTRATION • 91%</w:t>
      </w:r>
    </w:p>
    <w:p>
      <w:r>
        <w:t xml:space="preserve">EVI-JUS-007: [object Object] • APPROVED_SYNTHETIC_DEMONSTRATION • 92%</w:t>
      </w:r>
    </w:p>
    <w:p>
      <w:r>
        <w:t xml:space="preserve">EVI-JUS-008: [object Object] • APPROVED_SYNTHETIC_DEMONSTRATION • 93%</w:t>
      </w:r>
    </w:p>
    <w:p>
      <w:r>
        <w:t xml:space="preserve">EVI-JUS-009: [object Object] • APPROVED_SYNTHETIC_DEMONSTRATION • 94%</w:t>
      </w:r>
    </w:p>
    <w:p>
      <w:r>
        <w:t xml:space="preserve">EVI-JUS-010: [object Object] • APPROVED_SYNTHETIC_DEMONSTRATION • 95%</w:t>
      </w:r>
    </w:p>
    <w:p>
      <w:r>
        <w:t xml:space="preserve">CIT-EVI-JUS-001: VoiceInsights Africa. Justice and Legal Services Intelligence Report. synthetic-justice-legal-services-intelligence-2026.1, EVI-JUS-001, Q1: How does case-backlog concentration by court affect justice and legal services outcomes in Nairobi Courts?</w:t>
      </w:r>
    </w:p>
    <w:p>
      <w:r>
        <w:t xml:space="preserve">CIT-EVI-JUS-002: VoiceInsights Africa. Justice and Legal Services Intelligence Report. synthetic-justice-legal-services-intelligence-2026.1, EVI-JUS-002, Q2: How does legal-aid reach gaps for vulnerable litigants affect justice and legal services outcomes in Coast Region Courts?</w:t>
      </w:r>
    </w:p>
    <w:p>
      <w:r>
        <w:t xml:space="preserve">CIT-EVI-JUS-003: VoiceInsights Africa. Justice and Legal Services Intelligence Report. synthetic-justice-legal-services-intelligence-2026.1, EVI-JUS-003, Q3: How does time-to-resolution for priority case types affect justice and legal services outcomes in Western Region Courts?</w:t>
      </w:r>
    </w:p>
    <w:p>
      <w:r>
        <w:t xml:space="preserve">CIT-EVI-JUS-004: VoiceInsights Africa. Justice and Legal Services Intelligence Report. synthetic-justice-legal-services-intelligence-2026.1, EVI-JUS-004, Q4: How does access-to-justice barriers in remote counties affect justice and legal services outcomes in Rift Valley Courts?</w:t>
      </w:r>
    </w:p>
    <w:p>
      <w:r>
        <w:t xml:space="preserve">CIT-EVI-JUS-005: VoiceInsights Africa. Justice and Legal Services Intelligence Report. synthetic-justice-legal-services-intelligence-2026.1, EVI-JUS-005, Q5: How does court-user trust in case handling affect justice and legal services outcomes in Nairobi Courts?</w:t>
      </w:r>
    </w:p>
    <w:p>
      <w:r>
        <w:t xml:space="preserve">CIT-EVI-JUS-006: VoiceInsights Africa. Justice and Legal Services Intelligence Report. synthetic-justice-legal-services-intelligence-2026.1, EVI-JUS-006, Q6: How does case-backlog concentration by court affect justice and legal services outcomes in Coast Region Courts?</w:t>
      </w:r>
    </w:p>
    <w:p>
      <w:r>
        <w:t xml:space="preserve">CIT-EVI-JUS-007: VoiceInsights Africa. Justice and Legal Services Intelligence Report. synthetic-justice-legal-services-intelligence-2026.1, EVI-JUS-007, Q7: How does legal-aid reach gaps for vulnerable litigants affect justice and legal services outcomes in Western Region Courts?</w:t>
      </w:r>
    </w:p>
    <w:p>
      <w:r>
        <w:t xml:space="preserve">CIT-EVI-JUS-008: VoiceInsights Africa. Justice and Legal Services Intelligence Report. synthetic-justice-legal-services-intelligence-2026.1, EVI-JUS-008, Q8: How does time-to-resolution for priority case types affect justice and legal services outcomes in Rift Valley Courts?</w:t>
      </w:r>
    </w:p>
    <w:p>
      <w:r>
        <w:t xml:space="preserve">CIT-EVI-JUS-009: VoiceInsights Africa. Justice and Legal Services Intelligence Report. synthetic-justice-legal-services-intelligence-2026.1, EVI-JUS-009, Q9: How does access-to-justice barriers in remote counties affect justice and legal services outcomes in Nairobi Courts?</w:t>
      </w:r>
    </w:p>
    <w:p>
      <w:r>
        <w:t xml:space="preserve">CIT-EVI-JUS-010: VoiceInsights Africa. Justice and Legal Services Intelligence Report. synthetic-justice-legal-services-intelligence-2026.1, EVI-JUS-010, Q10: How does court-user trust in case handling affect justice and legal services outcomes in Coast Region Courts?</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SDG 16: APPLIED_WHERE_RELEVANT — Mapped to EVI-JUS-001, EVI-JUS-002; Synthetic demonstration mapping; institutional validation not implied</w:t>
      </w:r>
    </w:p>
    <w:p>
      <w:r>
        <w:t xml:space="preserve">Data Protection: APPLIED_WHERE_RELEVANT — Mapped to EVI-JUS-002, EVI-JUS-003; Synthetic demonstration mapping; institutional validation not implied</w:t>
      </w:r>
    </w:p>
    <w:p>
      <w:r>
        <w:t xml:space="preserve">Human Rights Based Approach: APPLIED_WHERE_RELEVANT — Mapped to EVI-JUS-003, EVI-JUS-004; Synthetic demonstration mapping; institutional validation not implied</w:t>
      </w:r>
    </w:p>
    <w:p>
      <w:r>
        <w:t xml:space="preserve">Evidence Traceability: APPLIED — Control linked to EVI-JUS-001 and the deterministic publication gate.</w:t>
      </w:r>
    </w:p>
    <w:p>
      <w:r>
        <w:t xml:space="preserve">Research Ethics: APPLIED — Control linked to EVI-JUS-002 and the deterministic publication gate.</w:t>
      </w:r>
    </w:p>
    <w:p>
      <w:r>
        <w:t xml:space="preserve">Data Protection: APPLIED — Control linked to EVI-JUS-003 and the deterministic publication gate.</w:t>
      </w:r>
    </w:p>
    <w:p>
      <w:r>
        <w:t xml:space="preserve">Accessibility: APPLIED — Control linked to EVI-JUS-004 and the deterministic publication gate.</w:t>
      </w:r>
    </w:p>
    <w:p>
      <w:r>
        <w:t xml:space="preserve">Responsible AI: APPLIED — Control linked to EVI-JUS-005 and the deterministic publication gate.</w:t>
      </w:r>
    </w:p>
    <w:p>
      <w:r>
        <w:t xml:space="preserve">Publication Integrity: APPLIED — Control linked to EVI-JUS-006 and the deterministic publication gate.</w:t>
      </w:r>
    </w:p>
    <w:p>
      <w:pPr>
        <w:pStyle w:val="Heading1"/>
      </w:pPr>
      <w:r>
        <w:t>SDG Contribution</w:t>
      </w:r>
    </w:p>
    <w:p>
      <w:r>
        <w:t xml:space="preserve">SDG 16: undefined — Indicators —</w:t>
      </w:r>
    </w:p>
    <w:p>
      <w:r>
        <w:t xml:space="preserve">SDG 16: undefined — Indicators —</w:t>
      </w:r>
    </w:p>
    <w:p>
      <w:r>
        <w:t xml:space="preserve">SDG 5: undefined — Indicators —</w:t>
      </w:r>
    </w:p>
    <w:p>
      <w:pPr>
        <w:pStyle w:val="Heading1"/>
      </w:pPr>
      <w:r>
        <w:t>OECD-DAC Evaluation Criteria</w:t>
      </w:r>
    </w:p>
    <w:p>
      <w:r>
        <w:t xml:space="preserve">Relevance: Synthetic evidence indicates a strong relevance signal, subject to the stated design limitations. (72/100) — Review relevance evidence at the next formal management gate.</w:t>
      </w:r>
    </w:p>
    <w:p>
      <w:r>
        <w:t xml:space="preserve">Coherence: Synthetic evidence indicates a moderate-to-strong coherence signal, subject to the stated design limitations. (73/100) — Review coherence evidence at the next formal management gate.</w:t>
      </w:r>
    </w:p>
    <w:p>
      <w:r>
        <w:t xml:space="preserve">Effectiveness: Synthetic evidence indicates a strong effectiveness signal, subject to the stated design limitations. (74/100) — Review effectiveness evidence at the next formal management gate.</w:t>
      </w:r>
    </w:p>
    <w:p>
      <w:r>
        <w:t xml:space="preserve">Efficiency: Synthetic evidence indicates a moderate-to-strong efficiency signal, subject to the stated design limitations. (75/100) — Review efficiency evidence at the next formal management gate.</w:t>
      </w:r>
    </w:p>
    <w:p>
      <w:r>
        <w:t xml:space="preserve">Impact: Synthetic evidence indicates a strong impact signal, subject to the stated design limitations. (76/100) — Review impact evidence at the next formal management gate.</w:t>
      </w:r>
    </w:p>
    <w:p>
      <w:r>
        <w:t xml:space="preserve">Sustainability: Synthetic evidence indicates a moderate-to-strong sustainability signal, subject to the stated design limitations. (77/100) — Review sustainability evidence at the next formal management gate.</w:t>
      </w:r>
    </w:p>
    <w:p>
      <w:pPr>
        <w:pStyle w:val="Heading1"/>
      </w:pPr>
      <w:r>
        <w:t>Results-Based Management</w:t>
      </w:r>
    </w:p>
    <w:p>
      <w:r>
        <w:t xml:space="preserve">Impact: Sustained, equitable improvement in justice and legal services performance</w:t>
      </w:r>
    </w:p>
    <w:p>
      <w:r>
        <w:t xml:space="preserve">OC-01: Improved justice and legal services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EVI-JUS-001 • survey • SYN-JUST-0001 • APPROVED • 97%</w:t>
      </w:r>
    </w:p>
    <w:p>
      <w:r>
        <w:t xml:space="preserve">EVI-JUS-002 • key_informant_interview • SYN-JUST-0002 • APPROVED • 98%</w:t>
      </w:r>
    </w:p>
    <w:p>
      <w:r>
        <w:t xml:space="preserve">EVI-JUS-003 • administrative_record • SYN-JUST-0003 • APPROVED • 88%</w:t>
      </w:r>
    </w:p>
    <w:p>
      <w:r>
        <w:t xml:space="preserve">EVI-JUS-004 • survey • SYN-JUST-0004 • APPROVED • 89%</w:t>
      </w:r>
    </w:p>
    <w:p>
      <w:r>
        <w:t xml:space="preserve">EVI-JUS-005 • key_informant_interview • SYN-JUST-0005 • APPROVED • 90%</w:t>
      </w:r>
    </w:p>
    <w:p>
      <w:r>
        <w:t xml:space="preserve">EVI-JUS-006 • administrative_record • SYN-JUST-0006 • APPROVED • 91%</w:t>
      </w:r>
    </w:p>
    <w:p>
      <w:r>
        <w:t xml:space="preserve">EVI-JUS-007 • survey • SYN-JUST-0007 • APPROVED • 92%</w:t>
      </w:r>
    </w:p>
    <w:p>
      <w:r>
        <w:t xml:space="preserve">EVI-JUS-008 • key_informant_interview • SYN-JUST-0008 • APPROVED • 93%</w:t>
      </w:r>
    </w:p>
    <w:p>
      <w:r>
        <w:t xml:space="preserve">EVI-JUS-009 • administrative_record • SYN-JUST-0009 • APPROVED • 94%</w:t>
      </w:r>
    </w:p>
    <w:p>
      <w:r>
        <w:t xml:space="preserve">EVI-JUS-010 • survey • SYN-JUST-0010 • APPROVED • 95%</w:t>
      </w:r>
    </w:p>
    <w:p>
      <w:pPr>
        <w:pStyle w:val="Heading1"/>
      </w:pPr>
      <w:r>
        <w:t>Data Dictionary</w:t>
      </w:r>
    </w:p>
    <w:p>
      <w:r>
        <w:t xml:space="preserve">indicator_1: Synthetic Justice and Legal Services indicator 1; numeric; allowed: 0–100; missing: NA</w:t>
      </w:r>
    </w:p>
    <w:p>
      <w:r>
        <w:t xml:space="preserve">indicator_2: Synthetic Justice and Legal Services indicator 2; categorical; allowed: Documented code list; missing: NA</w:t>
      </w:r>
    </w:p>
    <w:p>
      <w:r>
        <w:t xml:space="preserve">indicator_3: Synthetic Justice and Legal Services indicator 3; categorical; allowed: Documented code list; missing: NA</w:t>
      </w:r>
    </w:p>
    <w:p>
      <w:r>
        <w:t xml:space="preserve">indicator_4: Synthetic Justice and Legal Services indicator 4; numeric; allowed: 0–100; missing: NA</w:t>
      </w:r>
    </w:p>
    <w:p>
      <w:r>
        <w:t xml:space="preserve">indicator_5: Synthetic Justice and Legal Services indicator 5; categorical; allowed: Documented code list; missing: NA</w:t>
      </w:r>
    </w:p>
    <w:p>
      <w:r>
        <w:t xml:space="preserve">indicator_6: Synthetic Justice and Legal Services indicator 6; categorical; allowed: Documented code list; missing: NA</w:t>
      </w:r>
    </w:p>
    <w:p>
      <w:r>
        <w:t xml:space="preserve">indicator_7: Synthetic Justice and Legal Services indicator 7; numeric; allowed: 0–100; missing: NA</w:t>
      </w:r>
    </w:p>
    <w:p>
      <w:r>
        <w:t xml:space="preserve">indicator_8: Synthetic Justice and Legal Services indicator 8; categorical; allowed: Documented code list; missing: NA</w:t>
      </w:r>
    </w:p>
    <w:p>
      <w:r>
        <w:t xml:space="preserve">indicator_9: Synthetic Justice and Legal Services indicator 9; categorical; allowed: Documented code list; missing: NA</w:t>
      </w:r>
    </w:p>
    <w:p>
      <w:r>
        <w:t xml:space="preserve">indicator_10: Synthetic Justice and Legal Services indicator 10; numeric; allowed: 0–100; missing: NA</w:t>
      </w:r>
    </w:p>
    <w:p>
      <w:r>
        <w:t xml:space="preserve">indicator_11: Synthetic Justice and Legal Services indicator 11; categorical; allowed: Documented code list; missing: NA</w:t>
      </w:r>
    </w:p>
    <w:p>
      <w:r>
        <w:t xml:space="preserve">indicator_12: Synthetic Justice and Legal Services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