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2200"/>
      </w:pPr>
      <w:r>
        <w:rPr>
          <w:b/>
          <w:sz w:val="42"/>
        </w:rPr>
        <w:t>Market Intelligence Report</w:t>
      </w:r>
    </w:p>
    <w:p>
      <w:r>
        <w:t xml:space="preserve">VoiceInsights Africa — Full Synthetic Demonstration Publication</w:t>
      </w:r>
    </w:p>
    <w:p>
      <w:r>
        <w:t xml:space="preserve">Synthetic Demonstration Publication produced by VoiceInsights Africa. All people, quotations, locations and statistics are synthetic, internally governed demonstration content and are not official statistics.</w:t>
      </w:r>
    </w:p>
    <w:p>
      <w:pPr>
        <w:pStyle w:val="Heading1"/>
      </w:pPr>
      <w:r>
        <w:t>Executive Intelligence</w:t>
      </w:r>
    </w:p>
    <w:p>
      <w:r>
        <w:t xml:space="preserve">Every number in this publication answers one question: what is actually happening with market research performance in Ghana, and for whom. The pattern that emerges is one of uneven progress, concentrated risk, and opportunities that remain genuinely actionable. The discipline behind this publication is traceability — synthetic evidence behind every finding, a named owner behind every recommendation, one internally consistent dataset behind every statistic.</w:t>
      </w:r>
    </w:p>
    <w:p>
      <w:pPr>
        <w:pStyle w:val="Heading1"/>
      </w:pPr>
      <w:r>
        <w:t>Table of Contents</w:t>
      </w:r>
    </w:p>
    <w:p>
      <w:r>
        <w:t xml:space="preserve">undefined — undefined</w:t>
      </w:r>
    </w:p>
    <w:p>
      <w:r>
        <w:t xml:space="preserve">undefined — undefined</w:t>
      </w:r>
    </w:p>
    <w:p>
      <w:r>
        <w:t xml:space="preserve">undefined — undefined</w:t>
      </w:r>
    </w:p>
    <w:p>
      <w:r>
        <w:t xml:space="preserve">undefined — undefined</w:t>
      </w:r>
    </w:p>
    <w:p>
      <w:r>
        <w:t xml:space="preserve">undefined — undefined</w:t>
      </w:r>
    </w:p>
    <w:p>
      <w:r>
        <w:t xml:space="preserve">undefined — undefined</w:t>
      </w:r>
    </w:p>
    <w:p>
      <w:pPr>
        <w:pStyle w:val="Heading1"/>
      </w:pPr>
      <w:r>
        <w:t>Critical Findings</w:t>
      </w:r>
    </w:p>
    <w:p>
      <w:pPr>
        <w:pStyle w:val="Heading2"/>
      </w:pPr>
      <w:r>
        <w:t>Addressable demand</w:t>
      </w:r>
    </w:p>
    <w:p>
      <w:r>
        <w:t xml:space="preserve">Rural women in Greater Accra are living the consequence of addressable demand, not simply reporting it. Their 82% signal is the clearest evidence leadership has that current measures fall short. rural women in Greater Accra do not experience addressable demand as an abstract metric. They experience it as the difference between market research delivery that works and delivery that does not, and a twelve-month delay would deepen that gap rather than hold it steady.</w:t>
      </w:r>
    </w:p>
    <w:p>
      <w:r>
        <w:t xml:space="preserve">Evidence: EVI-MAR-001, EVI-MAR-004 • Confidence 94.5%</w:t>
      </w:r>
    </w:p>
    <w:p>
      <w:pPr>
        <w:pStyle w:val="Heading2"/>
      </w:pPr>
      <w:r>
        <w:t>Segment economics</w:t>
      </w:r>
    </w:p>
    <w:p>
      <w:r>
        <w:t xml:space="preserve">Progress on segment economics remains visible but not yet durable. The 83% result in Ashanti weakens after disaggregation, particularly for young adults, suggesting that current gains depend on delivery conditions that remain fragile. The clearest signal in this dataset — though not the only one — is segment economics in Ashanti, where young adults sit furthest from parity.</w:t>
      </w:r>
    </w:p>
    <w:p>
      <w:r>
        <w:t xml:space="preserve">Evidence: EVI-MAR-002, EVI-MAR-005 • Confidence 95.5%</w:t>
      </w:r>
    </w:p>
    <w:p>
      <w:pPr>
        <w:pStyle w:val="Heading2"/>
      </w:pPr>
      <w:r>
        <w:t>Digital trust</w:t>
      </w:r>
    </w:p>
    <w:p>
      <w:r>
        <w:t xml:space="preserve">Digital trust is not a marginal delivery issue. In Northern Growth Markets, the governed evidence indicates a 84% performance signal, with persons with disabilities carrying the most consequential constraint. Left unaddressed, digital trust becomes a structural risk to market research delivery in Ghana, not a temporary dip. Northern Growth Markets is furthest exposed, and persons with disabilities would carry the earliest and heaviest consequences of a further year's delay.</w:t>
      </w:r>
    </w:p>
    <w:p>
      <w:r>
        <w:t xml:space="preserve">Evidence: EVI-MAR-003, EVI-MAR-006 • Confidence 96.5%</w:t>
      </w:r>
    </w:p>
    <w:p>
      <w:pPr>
        <w:pStyle w:val="Heading2"/>
      </w:pPr>
      <w:r>
        <w:t>Channel productivity</w:t>
      </w:r>
    </w:p>
    <w:p>
      <w:r>
        <w:t xml:space="preserve">Channel productivity has become an accountability question rather than a measurement question. Evidence from Digital Nationwide places the signal at 85% and shows that frontline workers experience the largest gap between policy intent and lived delivery. The choice facing market research leadership in Ghana is straightforward even if the fix is not: act on channel productivity now, concentrated in Digital Nationwide where frontline workers carry the largest share of the gap, or accept a wider gap in a year's time.</w:t>
      </w:r>
    </w:p>
    <w:p>
      <w:r>
        <w:t xml:space="preserve">Evidence: EVI-MAR-004, EVI-MAR-007 • Confidence 92%</w:t>
      </w:r>
    </w:p>
    <w:p>
      <w:pPr>
        <w:pStyle w:val="Heading2"/>
      </w:pPr>
      <w:r>
        <w:t>Competitive differentiation</w:t>
      </w:r>
    </w:p>
    <w:p>
      <w:r>
        <w:t xml:space="preserve">The aggregate result conceals a material implementation divide. Greater Accra records a 86% signal for competitive differentiation; the shortfall is concentrated among low-income households, where service continuity and confidence move together. low-income households in Greater Accra do not experience competitive differentiation as an abstract metric. They experience it as the difference between market research delivery that works and delivery that does not, and a twelve-month delay would deepen that gap rather than hold it steady.</w:t>
      </w:r>
    </w:p>
    <w:p>
      <w:r>
        <w:t xml:space="preserve">Evidence: EVI-MAR-005, EVI-MAR-008 • Confidence 93%</w:t>
      </w:r>
    </w:p>
    <w:p>
      <w:pPr>
        <w:pStyle w:val="Heading1"/>
      </w:pPr>
      <w:r>
        <w:t>Regional Intelligence</w:t>
      </w:r>
    </w:p>
    <w:p>
      <w:r>
        <w:t xml:space="preserve">Greater Accra: 62% • 745 responses • Risk WATCH</w:t>
      </w:r>
    </w:p>
    <w:p>
      <w:r>
        <w:t xml:space="preserve">Ashanti: 63% • 647 responses • Risk WATCH</w:t>
      </w:r>
    </w:p>
    <w:p>
      <w:r>
        <w:t xml:space="preserve">Northern Growth Markets: 64% • 551 responses • Risk WATCH</w:t>
      </w:r>
    </w:p>
    <w:p>
      <w:r>
        <w:t xml:space="preserve">Digital Nationwide: 65% • 455 responses • Risk WATCH</w:t>
      </w:r>
    </w:p>
    <w:p>
      <w:pPr>
        <w:pStyle w:val="Heading1"/>
      </w:pPr>
      <w:r>
        <w:t>Indicators and Target Gaps</w:t>
      </w:r>
    </w:p>
    <w:p>
      <w:r>
        <w:t xml:space="preserve">IND-01 Serviceable market capture: 63% vs 87% — OFF_TRACK</w:t>
      </w:r>
    </w:p>
    <w:p>
      <w:r>
        <w:t xml:space="preserve">IND-02 Segment contribution margin: 64% vs 88% — OFF_TRACK</w:t>
      </w:r>
    </w:p>
    <w:p>
      <w:r>
        <w:t xml:space="preserve">IND-03 Digital trust score: 65% vs 89% — OFF_TRACK</w:t>
      </w:r>
    </w:p>
    <w:p>
      <w:r>
        <w:t xml:space="preserve">IND-04 Acquisition cost efficiency: 66% vs 90% — OFF_TRACK</w:t>
      </w:r>
    </w:p>
    <w:p>
      <w:pPr>
        <w:pStyle w:val="Heading1"/>
      </w:pPr>
      <w:r>
        <w:t>Respondent Voice</w:t>
      </w:r>
    </w:p>
    <w:p>
      <w:r>
        <w:t xml:space="preserve">Greater Accra: “Elsewhere, addressable demand might be a footnote. For rural women in Greater Accra, it is the whole story.”</w:t>
      </w:r>
    </w:p>
    <w:p>
      <w:r>
        <w:t xml:space="preserve">Ashanti: “Young adults in Ashanti frame it simply: when segment economics breaks down, everything else does too.”</w:t>
      </w:r>
    </w:p>
    <w:p>
      <w:r>
        <w:t xml:space="preserve">Northern Growth Markets: “In Northern Growth Markets, digital trust shapes whether persons with disabilities can turn services into lasting outcomes.”</w:t>
      </w:r>
    </w:p>
    <w:p>
      <w:r>
        <w:t xml:space="preserve">Digital Nationwide: “Frontline workers in Digital Nationwide put it plainly: channel productivity is what decides whether progress holds or slips back.”</w:t>
      </w:r>
    </w:p>
    <w:p>
      <w:r>
        <w:t xml:space="preserve">Greater Accra: “Why does Greater Accra lag behind? Ask low-income households, and the answer comes back to competitive differentiation.”</w:t>
      </w:r>
    </w:p>
    <w:p>
      <w:r>
        <w:t xml:space="preserve">Ashanti: “Elsewhere, addressable demand might be a footnote. For service managers in Ashanti, it is the whole story.”</w:t>
      </w:r>
    </w:p>
    <w:p>
      <w:r>
        <w:t xml:space="preserve">Northern Growth Markets: “Community leaders in Northern Growth Markets frame it simply: when segment economics breaks down, everything else does too.”</w:t>
      </w:r>
    </w:p>
    <w:p>
      <w:r>
        <w:t xml:space="preserve">Digital Nationwide: “In Digital Nationwide, digital trust shapes whether private-sector partners can turn services into lasting outcomes.”</w:t>
      </w:r>
    </w:p>
    <w:p>
      <w:r>
        <w:t xml:space="preserve">Greater Accra: “Rural women in Greater Accra put it plainly: channel productivity is what decides whether progress holds or slips back.”</w:t>
      </w:r>
    </w:p>
    <w:p>
      <w:r>
        <w:t xml:space="preserve">Ashanti: “Why does Ashanti lag behind? Ask young adults, and the answer comes back to competitive differentiation.”</w:t>
      </w:r>
    </w:p>
    <w:p>
      <w:pPr>
        <w:pStyle w:val="Heading1"/>
      </w:pPr>
      <w:r>
        <w:t>Decision Intelligence</w:t>
      </w:r>
    </w:p>
    <w:p>
      <w:pPr>
        <w:pStyle w:val="Heading2"/>
      </w:pPr>
      <w:r>
        <w:t>DEC-MAR-01 HIGH</w:t>
      </w:r>
    </w:p>
    <w:p>
      <w:r>
        <w:t xml:space="preserve">Prioritise the two highest-value underserved segments.</w:t>
      </w:r>
    </w:p>
    <w:p>
      <w:r>
        <w:t xml:space="preserve">Owner: Country Director / Programme Executive • Timeline: 3–12 months • Budget: Medium — likely fundable from existing lines, pending confirmation • Indicator: Quarterly-verified progress against the milestones agreed for this high-tier decision (DEC-MAR-01)</w:t>
      </w:r>
    </w:p>
    <w:p>
      <w:pPr>
        <w:pStyle w:val="Heading2"/>
      </w:pPr>
      <w:r>
        <w:t>DEC-MAR-02 MEDIUM</w:t>
      </w:r>
    </w:p>
    <w:p>
      <w:r>
        <w:t xml:space="preserve">Test segment-specific pricing and propositions.</w:t>
      </w:r>
    </w:p>
    <w:p>
      <w:r>
        <w:t xml:space="preserve">Owner: Country Director / Programme Executive • Timeline: 6–18 months • Budget: Low to medium — validate through the formal planning cycle • Indicator: Number of agreed milestones for DEC-MAR-02 confirmed complete at each quarterly review</w:t>
      </w:r>
    </w:p>
    <w:p>
      <w:pPr>
        <w:pStyle w:val="Heading2"/>
      </w:pPr>
      <w:r>
        <w:t>DEC-MAR-03 CRITICAL</w:t>
      </w:r>
    </w:p>
    <w:p>
      <w:r>
        <w:t xml:space="preserve">Build visible privacy and fraud-protection signals.</w:t>
      </w:r>
    </w:p>
    <w:p>
      <w:r>
        <w:t xml:space="preserve">Owner: Country Director / Programme Executive • Timeline: 0–90 days • Budget: Medium to high — requires a dedicated budget line and phased release • Indicator: Percentage of agreed milestones completed for DEC-MAR-03</w:t>
      </w:r>
    </w:p>
    <w:p>
      <w:pPr>
        <w:pStyle w:val="Heading2"/>
      </w:pPr>
      <w:r>
        <w:t>DEC-MAR-04 CRITICAL</w:t>
      </w:r>
    </w:p>
    <w:p>
      <w:r>
        <w:t xml:space="preserve">Shift acquisition to the most productive channel mix.</w:t>
      </w:r>
    </w:p>
    <w:p>
      <w:r>
        <w:t xml:space="preserve">Owner: Country Director / Programme Executive • Timeline: 3–12 months • Budget: High — full business case and multi-year funding commitment required • Indicator: Share of the critical-tier delivery plan confirmed complete each quarter (DEC-MAR-04)</w:t>
      </w:r>
    </w:p>
    <w:p>
      <w:pPr>
        <w:pStyle w:val="Heading2"/>
      </w:pPr>
      <w:r>
        <w:t>DEC-MAR-05 HIGH</w:t>
      </w:r>
    </w:p>
    <w:p>
      <w:r>
        <w:t xml:space="preserve">Defend differentiation through service reliability.</w:t>
      </w:r>
    </w:p>
    <w:p>
      <w:r>
        <w:t xml:space="preserve">Owner: Country Director / Programme Executive • Timeline: 3–12 months • Budget: Medium — likely fundable from existing lines, pending confirmation • Indicator: Milestone completion rate tracked against the DEC-MAR-05 delivery plan</w:t>
      </w:r>
    </w:p>
    <w:p>
      <w:pPr>
        <w:pStyle w:val="Heading1"/>
      </w:pPr>
      <w:r>
        <w:t>Methodology</w:t>
      </w:r>
    </w:p>
    <w:p>
      <w:r>
        <w:t xml:space="preserve">research objectives: ["Assess market research performance and equity","Identify operational drivers and decision priorities"]</w:t>
      </w:r>
    </w:p>
    <w:p>
      <w:r>
        <w:t xml:space="preserve">evaluation questions: ["What outcomes are changing?","Who is being left behind?","Which actions are most likely to improve performance?"]</w:t>
      </w:r>
    </w:p>
    <w:p>
      <w:r>
        <w:t xml:space="preserve">sampling frame: Synthetic programme population frame for Ghana</w:t>
      </w:r>
    </w:p>
    <w:p>
      <w:r>
        <w:t xml:space="preserve">sample size: 2398</w:t>
      </w:r>
    </w:p>
    <w:p>
      <w:r>
        <w:t xml:space="preserve">stratification: ["Region","Location type","Sex","Age","Disability"]</w:t>
      </w:r>
    </w:p>
    <w:p>
      <w:r>
        <w:t xml:space="preserve">weights: Normalized post-stratification weights</w:t>
      </w:r>
    </w:p>
    <w:p>
      <w:r>
        <w:t xml:space="preserve">confidence intervals: 95%</w:t>
      </w:r>
    </w:p>
    <w:p>
      <w:r>
        <w:t xml:space="preserve">design effect: 1.3</w:t>
      </w:r>
    </w:p>
    <w:p>
      <w:r>
        <w:t xml:space="preserve">missing data: Documented and sensitivity-tested</w:t>
      </w:r>
    </w:p>
    <w:p>
      <w:r>
        <w:t xml:space="preserve">reliability: Cronbach alpha 0.86</w:t>
      </w:r>
    </w:p>
    <w:p>
      <w:r>
        <w:t xml:space="preserve">validity: Content and construct validity checks</w:t>
      </w:r>
    </w:p>
    <w:p>
      <w:r>
        <w:t xml:space="preserve">metadata: Complete synthetic data dictionary and lineage registry</w:t>
      </w:r>
    </w:p>
    <w:p>
      <w:pPr>
        <w:pStyle w:val="Heading1"/>
      </w:pPr>
      <w:r>
        <w:t>Institutional &amp; Methodology Assurance</w:t>
      </w:r>
    </w:p>
    <w:p>
      <w:r>
        <w:t xml:space="preserve">protocol: Governed synthetic research protocol with sampling, weighting, reliability, validity and reproducibility controls</w:t>
      </w:r>
    </w:p>
    <w:p>
      <w:r>
        <w:t xml:space="preserve">ethics: Synthetic records only; no real participants or personal data</w:t>
      </w:r>
    </w:p>
    <w:p>
      <w:r>
        <w:t xml:space="preserve">peer review: Independent synthetic-publication review checklist completed</w:t>
      </w:r>
    </w:p>
    <w:p>
      <w:r>
        <w:t xml:space="preserve">reproducibility: Deterministic inputs, versioned dataset and export manifest</w:t>
      </w:r>
    </w:p>
    <w:p>
      <w:pPr>
        <w:pStyle w:val="Heading1"/>
      </w:pPr>
      <w:r>
        <w:t>Analytical Depth &amp; Reproducibility</w:t>
      </w:r>
    </w:p>
    <w:p>
      <w:r>
        <w:t xml:space="preserve">inferential statistics: Enabled where assumptions and design permit</w:t>
      </w:r>
    </w:p>
    <w:p>
      <w:r>
        <w:t xml:space="preserve">segmentation: Evidence-led segments</w:t>
      </w:r>
    </w:p>
    <w:p>
      <w:r>
        <w:t xml:space="preserve">trend analysis: Three-period synthetic series</w:t>
      </w:r>
    </w:p>
    <w:p>
      <w:pPr>
        <w:pStyle w:val="Heading1"/>
      </w:pPr>
      <w:r>
        <w:t>Decision Architecture</w:t>
      </w:r>
    </w:p>
    <w:p>
      <w:pPr>
        <w:pStyle w:val="Heading2"/>
      </w:pPr>
      <w:r>
        <w:t>DEC-MAR-01</w:t>
      </w:r>
    </w:p>
    <w:p>
      <w:r>
        <w:t xml:space="preserve">Prioritise the two highest-value underserved segments.</w:t>
      </w:r>
    </w:p>
    <w:p>
      <w:r>
        <w:t xml:space="preserve">Owner: Country Director / Programme Executive • Window: 3–12 months • Cost: Medium — likely fundable from existing lines, pending confirmation • Indicator: Quarterly-verified progress against the milestones agreed for this high-tier decision (DEC-MAR-01)</w:t>
      </w:r>
    </w:p>
    <w:p>
      <w:pPr>
        <w:pStyle w:val="Heading2"/>
      </w:pPr>
      <w:r>
        <w:t>DEC-MAR-02</w:t>
      </w:r>
    </w:p>
    <w:p>
      <w:r>
        <w:t xml:space="preserve">Test segment-specific pricing and propositions.</w:t>
      </w:r>
    </w:p>
    <w:p>
      <w:r>
        <w:t xml:space="preserve">Owner: Country Director / Programme Executive • Window: 6–18 months • Cost: Low to medium — validate through the formal planning cycle • Indicator: Number of agreed milestones for DEC-MAR-02 confirmed complete at each quarterly review</w:t>
      </w:r>
    </w:p>
    <w:p>
      <w:pPr>
        <w:pStyle w:val="Heading2"/>
      </w:pPr>
      <w:r>
        <w:t>DEC-MAR-03</w:t>
      </w:r>
    </w:p>
    <w:p>
      <w:r>
        <w:t xml:space="preserve">Build visible privacy and fraud-protection signals.</w:t>
      </w:r>
    </w:p>
    <w:p>
      <w:r>
        <w:t xml:space="preserve">Owner: Country Director / Programme Executive • Window: 0–90 days • Cost: Medium to high — requires a dedicated budget line and phased release • Indicator: Percentage of agreed milestones completed for DEC-MAR-03</w:t>
      </w:r>
    </w:p>
    <w:p>
      <w:pPr>
        <w:pStyle w:val="Heading2"/>
      </w:pPr>
      <w:r>
        <w:t>DEC-MAR-04</w:t>
      </w:r>
    </w:p>
    <w:p>
      <w:r>
        <w:t xml:space="preserve">Shift acquisition to the most productive channel mix.</w:t>
      </w:r>
    </w:p>
    <w:p>
      <w:r>
        <w:t xml:space="preserve">Owner: Country Director / Programme Executive • Window: 3–12 months • Cost: High — full business case and multi-year funding commitment required • Indicator: Share of the critical-tier delivery plan confirmed complete each quarter (DEC-MAR-04)</w:t>
      </w:r>
    </w:p>
    <w:p>
      <w:pPr>
        <w:pStyle w:val="Heading2"/>
      </w:pPr>
      <w:r>
        <w:t>DEC-MAR-05</w:t>
      </w:r>
    </w:p>
    <w:p>
      <w:r>
        <w:t xml:space="preserve">Defend differentiation through service reliability.</w:t>
      </w:r>
    </w:p>
    <w:p>
      <w:r>
        <w:t xml:space="preserve">Owner: Country Director / Programme Executive • Window: 3–12 months • Cost: Medium — likely fundable from existing lines, pending confirmation • Indicator: Milestone completion rate tracked against the DEC-MAR-05 delivery plan</w:t>
      </w:r>
    </w:p>
    <w:p>
      <w:pPr>
        <w:pStyle w:val="Heading1"/>
      </w:pPr>
      <w:r>
        <w:t>Evidence Lineage &amp; Citation Registry</w:t>
      </w:r>
    </w:p>
    <w:p>
      <w:r>
        <w:t xml:space="preserve">EVI-MAR-001: [object Object] • APPROVED_SYNTHETIC_DEMONSTRATION • 93%</w:t>
      </w:r>
    </w:p>
    <w:p>
      <w:r>
        <w:t xml:space="preserve">EVI-MAR-002: [object Object] • APPROVED_SYNTHETIC_DEMONSTRATION • 94%</w:t>
      </w:r>
    </w:p>
    <w:p>
      <w:r>
        <w:t xml:space="preserve">EVI-MAR-003: [object Object] • APPROVED_SYNTHETIC_DEMONSTRATION • 95%</w:t>
      </w:r>
    </w:p>
    <w:p>
      <w:r>
        <w:t xml:space="preserve">EVI-MAR-004: [object Object] • APPROVED_SYNTHETIC_DEMONSTRATION • 96%</w:t>
      </w:r>
    </w:p>
    <w:p>
      <w:r>
        <w:t xml:space="preserve">EVI-MAR-005: [object Object] • APPROVED_SYNTHETIC_DEMONSTRATION • 97%</w:t>
      </w:r>
    </w:p>
    <w:p>
      <w:r>
        <w:t xml:space="preserve">EVI-MAR-006: [object Object] • APPROVED_SYNTHETIC_DEMONSTRATION • 98%</w:t>
      </w:r>
    </w:p>
    <w:p>
      <w:r>
        <w:t xml:space="preserve">EVI-MAR-007: [object Object] • APPROVED_SYNTHETIC_DEMONSTRATION • 88%</w:t>
      </w:r>
    </w:p>
    <w:p>
      <w:r>
        <w:t xml:space="preserve">EVI-MAR-008: [object Object] • APPROVED_SYNTHETIC_DEMONSTRATION • 89%</w:t>
      </w:r>
    </w:p>
    <w:p>
      <w:r>
        <w:t xml:space="preserve">EVI-MAR-009: [object Object] • APPROVED_SYNTHETIC_DEMONSTRATION • 90%</w:t>
      </w:r>
    </w:p>
    <w:p>
      <w:r>
        <w:t xml:space="preserve">EVI-MAR-010: [object Object] • APPROVED_SYNTHETIC_DEMONSTRATION • 91%</w:t>
      </w:r>
    </w:p>
    <w:p>
      <w:r>
        <w:t xml:space="preserve">CIT-EVI-MAR-001: VoiceInsights Africa. Market Intelligence Report. synthetic-market-intelligence-2026.1, EVI-MAR-001, Q1: How does addressable demand affect market research outcomes in Greater Accra?</w:t>
      </w:r>
    </w:p>
    <w:p>
      <w:r>
        <w:t xml:space="preserve">CIT-EVI-MAR-002: VoiceInsights Africa. Market Intelligence Report. synthetic-market-intelligence-2026.1, EVI-MAR-002, Q2: How does segment economics affect market research outcomes in Ashanti?</w:t>
      </w:r>
    </w:p>
    <w:p>
      <w:r>
        <w:t xml:space="preserve">CIT-EVI-MAR-003: VoiceInsights Africa. Market Intelligence Report. synthetic-market-intelligence-2026.1, EVI-MAR-003, Q3: How does digital trust affect market research outcomes in Northern Growth Markets?</w:t>
      </w:r>
    </w:p>
    <w:p>
      <w:r>
        <w:t xml:space="preserve">CIT-EVI-MAR-004: VoiceInsights Africa. Market Intelligence Report. synthetic-market-intelligence-2026.1, EVI-MAR-004, Q4: How does channel productivity affect market research outcomes in Digital Nationwide?</w:t>
      </w:r>
    </w:p>
    <w:p>
      <w:r>
        <w:t xml:space="preserve">CIT-EVI-MAR-005: VoiceInsights Africa. Market Intelligence Report. synthetic-market-intelligence-2026.1, EVI-MAR-005, Q5: How does competitive differentiation affect market research outcomes in Greater Accra?</w:t>
      </w:r>
    </w:p>
    <w:p>
      <w:r>
        <w:t xml:space="preserve">CIT-EVI-MAR-006: VoiceInsights Africa. Market Intelligence Report. synthetic-market-intelligence-2026.1, EVI-MAR-006, Q6: How does addressable demand affect market research outcomes in Ashanti?</w:t>
      </w:r>
    </w:p>
    <w:p>
      <w:r>
        <w:t xml:space="preserve">CIT-EVI-MAR-007: VoiceInsights Africa. Market Intelligence Report. synthetic-market-intelligence-2026.1, EVI-MAR-007, Q7: How does segment economics affect market research outcomes in Northern Growth Markets?</w:t>
      </w:r>
    </w:p>
    <w:p>
      <w:r>
        <w:t xml:space="preserve">CIT-EVI-MAR-008: VoiceInsights Africa. Market Intelligence Report. synthetic-market-intelligence-2026.1, EVI-MAR-008, Q8: How does digital trust affect market research outcomes in Digital Nationwide?</w:t>
      </w:r>
    </w:p>
    <w:p>
      <w:r>
        <w:t xml:space="preserve">CIT-EVI-MAR-009: VoiceInsights Africa. Market Intelligence Report. synthetic-market-intelligence-2026.1, EVI-MAR-009, Q9: How does channel productivity affect market research outcomes in Greater Accra?</w:t>
      </w:r>
    </w:p>
    <w:p>
      <w:r>
        <w:t xml:space="preserve">CIT-EVI-MAR-010: VoiceInsights Africa. Market Intelligence Report. synthetic-market-intelligence-2026.1, EVI-MAR-010, Q10: How does competitive differentiation affect market research outcomes in Ashanti?</w:t>
      </w:r>
    </w:p>
    <w:p>
      <w:pPr>
        <w:pStyle w:val="Heading1"/>
      </w:pPr>
      <w:r>
        <w:t>Publication Architecture</w:t>
      </w:r>
    </w:p>
    <w:p>
      <w:r>
        <w:t xml:space="preserve">Executive Intelligence Book (2–7): Executive brief; Decision snapshot; Risks; Opportunities; Budget implications</w:t>
      </w:r>
    </w:p>
    <w:p>
      <w:r>
        <w:t xml:space="preserve">Evidence Intelligence Book (8–15): Critical findings; Respondent voice; Evidence chains; Citation registry</w:t>
      </w:r>
    </w:p>
    <w:p>
      <w:r>
        <w:t xml:space="preserve">Statistical Intelligence Book (16–22): Sampling; Weighting; Uncertainty; Reliability; Model diagnostics</w:t>
      </w:r>
    </w:p>
    <w:p>
      <w:r>
        <w:t xml:space="preserve">Decision Intelligence Book (23–27): Decision matrix; Ownership; Budget; Roadmap; Management response</w:t>
      </w:r>
    </w:p>
    <w:p>
      <w:r>
        <w:t xml:space="preserve">Standards &amp; Assurance (28–31): Relevant frameworks; Safeguarding; Privacy; Responsible AI; Accessibility</w:t>
      </w:r>
    </w:p>
    <w:p>
      <w:r>
        <w:t xml:space="preserve">Technical Appendices (32–34): Data dictionary; Quality gate; Export manifest; Responsible-use notice</w:t>
      </w:r>
    </w:p>
    <w:p>
      <w:pPr>
        <w:pStyle w:val="Heading1"/>
      </w:pPr>
      <w:r>
        <w:t>Peer Review &amp; Accessibility</w:t>
      </w:r>
    </w:p>
    <w:p>
      <w:r>
        <w:t xml:space="preserve">wcag target: WCAG 2.2 AA</w:t>
      </w:r>
    </w:p>
    <w:p>
      <w:r>
        <w:t xml:space="preserve">tagged pdf required: true</w:t>
      </w:r>
    </w:p>
    <w:p>
      <w:r>
        <w:t xml:space="preserve">alt text required: true</w:t>
      </w:r>
    </w:p>
    <w:p>
      <w:r>
        <w:t xml:space="preserve">table fallback required: true</w:t>
      </w:r>
    </w:p>
    <w:p>
      <w:r>
        <w:t xml:space="preserve">keyboard navigation required: true</w:t>
      </w:r>
    </w:p>
    <w:p>
      <w:r>
        <w:t xml:space="preserve">colour independent labels required: true</w:t>
      </w:r>
    </w:p>
    <w:p>
      <w:pPr>
        <w:pStyle w:val="Heading1"/>
      </w:pPr>
      <w:r>
        <w:t>International Standards Alignment</w:t>
      </w:r>
    </w:p>
    <w:p>
      <w:r>
        <w:t xml:space="preserve">Responsible AI: APPLIED_WHERE_RELEVANT — Mapped to EVI-MAR-001, EVI-MAR-002; Synthetic demonstration mapping; institutional validation not implied</w:t>
      </w:r>
    </w:p>
    <w:p>
      <w:r>
        <w:t xml:space="preserve">Data Protection: APPLIED_WHERE_RELEVANT — Mapped to EVI-MAR-002, EVI-MAR-003; Synthetic demonstration mapping; institutional validation not implied</w:t>
      </w:r>
    </w:p>
    <w:p>
      <w:r>
        <w:t xml:space="preserve">Privacy Controls: APPLIED_WHERE_RELEVANT — Mapped to EVI-MAR-003, EVI-MAR-004; Synthetic demonstration mapping; institutional validation not implied</w:t>
      </w:r>
    </w:p>
    <w:p>
      <w:r>
        <w:t xml:space="preserve">Evidence Traceability: APPLIED — Control linked to EVI-MAR-001 and the deterministic publication gate.</w:t>
      </w:r>
    </w:p>
    <w:p>
      <w:r>
        <w:t xml:space="preserve">Research Ethics: APPLIED — Control linked to EVI-MAR-002 and the deterministic publication gate.</w:t>
      </w:r>
    </w:p>
    <w:p>
      <w:r>
        <w:t xml:space="preserve">Data Protection: APPLIED — Control linked to EVI-MAR-003 and the deterministic publication gate.</w:t>
      </w:r>
    </w:p>
    <w:p>
      <w:r>
        <w:t xml:space="preserve">Accessibility: APPLIED — Control linked to EVI-MAR-004 and the deterministic publication gate.</w:t>
      </w:r>
    </w:p>
    <w:p>
      <w:r>
        <w:t xml:space="preserve">Responsible AI: APPLIED — Control linked to EVI-MAR-005 and the deterministic publication gate.</w:t>
      </w:r>
    </w:p>
    <w:p>
      <w:r>
        <w:t xml:space="preserve">Publication Integrity: APPLIED — Control linked to EVI-MAR-006 and the deterministic publication gate.</w:t>
      </w:r>
    </w:p>
    <w:p>
      <w:pPr>
        <w:pStyle w:val="Heading1"/>
      </w:pPr>
      <w:r>
        <w:t>SDG Contribution</w:t>
      </w:r>
    </w:p>
    <w:p>
      <w:r>
        <w:t xml:space="preserve">SDG 8: undefined — Indicators —</w:t>
      </w:r>
    </w:p>
    <w:p>
      <w:r>
        <w:t xml:space="preserve">SDG 9: undefined — Indicators —</w:t>
      </w:r>
    </w:p>
    <w:p>
      <w:r>
        <w:t xml:space="preserve">SDG 10: undefined — Indicators —</w:t>
      </w:r>
    </w:p>
    <w:p>
      <w:pPr>
        <w:pStyle w:val="Heading1"/>
      </w:pPr>
      <w:r>
        <w:t>OECD-DAC Evaluation Criteria</w:t>
      </w:r>
    </w:p>
    <w:p>
      <w:r>
        <w:t xml:space="preserve">Relevance: Synthetic evidence indicates a strong relevance signal, subject to the stated design limitations. (80/100) — Review relevance evidence at the next formal management gate.</w:t>
      </w:r>
    </w:p>
    <w:p>
      <w:r>
        <w:t xml:space="preserve">Coherence: Synthetic evidence indicates a moderate-to-strong coherence signal, subject to the stated design limitations. (81/100) — Review coherence evidence at the next formal management gate.</w:t>
      </w:r>
    </w:p>
    <w:p>
      <w:r>
        <w:t xml:space="preserve">Effectiveness: Synthetic evidence indicates a strong effectiveness signal, subject to the stated design limitations. (82/100) — Review effectiveness evidence at the next formal management gate.</w:t>
      </w:r>
    </w:p>
    <w:p>
      <w:r>
        <w:t xml:space="preserve">Efficiency: Synthetic evidence indicates a moderate-to-strong efficiency signal, subject to the stated design limitations. (83/100) — Review efficiency evidence at the next formal management gate.</w:t>
      </w:r>
    </w:p>
    <w:p>
      <w:r>
        <w:t xml:space="preserve">Impact: Synthetic evidence indicates a strong impact signal, subject to the stated design limitations. (84/100) — Review impact evidence at the next formal management gate.</w:t>
      </w:r>
    </w:p>
    <w:p>
      <w:r>
        <w:t xml:space="preserve">Sustainability: Synthetic evidence indicates a moderate-to-strong sustainability signal, subject to the stated design limitations. (85/100) — Review sustainability evidence at the next formal management gate.</w:t>
      </w:r>
    </w:p>
    <w:p>
      <w:pPr>
        <w:pStyle w:val="Heading1"/>
      </w:pPr>
      <w:r>
        <w:t>Results-Based Management</w:t>
      </w:r>
    </w:p>
    <w:p>
      <w:r>
        <w:t xml:space="preserve">Impact: Sustained, equitable improvement in market research performance</w:t>
      </w:r>
    </w:p>
    <w:p>
      <w:r>
        <w:t xml:space="preserve">OC-01: Improved market research delivery and accountability — Indicators IND-01, IND-02</w:t>
      </w:r>
    </w:p>
    <w:p>
      <w:r>
        <w:t xml:space="preserve">OC-02: More equitable and durable outcomes — Indicators IND-03, IND-04</w:t>
      </w:r>
    </w:p>
    <w:p>
      <w:r>
        <w:t xml:space="preserve">OUT-01: Verified findings and interpreted decision products</w:t>
      </w:r>
    </w:p>
    <w:p>
      <w:r>
        <w:t xml:space="preserve">OUT-02: Assigned actions with monitoring indicators</w:t>
      </w:r>
    </w:p>
    <w:p>
      <w:pPr>
        <w:pStyle w:val="Heading1"/>
      </w:pPr>
      <w:r>
        <w:t>CHS Accountability Mapping</w:t>
      </w:r>
    </w:p>
    <w:p>
      <w:r>
        <w:t xml:space="preserve">Commitment 1: CHS Commitment 1 — CONTEXT_ONLY. Validate relevance and assign an accountable owner before live use.</w:t>
      </w:r>
    </w:p>
    <w:p>
      <w:r>
        <w:t xml:space="preserve">Commitment 2: CHS Commitment 2 — CONTEXT_ONLY. Validate relevance and assign an accountable owner before live use.</w:t>
      </w:r>
    </w:p>
    <w:p>
      <w:r>
        <w:t xml:space="preserve">Commitment 3: CHS Commitment 3 — CONTEXT_ONLY. Validate relevance and assign an accountable owner before live use.</w:t>
      </w:r>
    </w:p>
    <w:p>
      <w:r>
        <w:t xml:space="preserve">Commitment 4: CHS Commitment 4 — CONTEXT_ONLY. Validate relevance and assign an accountable owner before live use.</w:t>
      </w:r>
    </w:p>
    <w:p>
      <w:r>
        <w:t xml:space="preserve">Commitment 5: CHS Commitment 5 — CONTEXT_ONLY. Validate relevance and assign an accountable owner before live use.</w:t>
      </w:r>
    </w:p>
    <w:p>
      <w:r>
        <w:t xml:space="preserve">Commitment 6: CHS Commitment 6 — CONTEXT_ONLY. Validate relevance and assign an accountable owner before live use.</w:t>
      </w:r>
    </w:p>
    <w:p>
      <w:r>
        <w:t xml:space="preserve">Commitment 7: CHS Commitment 7 — CONTEXT_ONLY. Validate relevance and assign an accountable owner before live use.</w:t>
      </w:r>
    </w:p>
    <w:p>
      <w:r>
        <w:t xml:space="preserve">Commitment 8: CHS Commitment 8 — CONTEXT_ONLY. Validate relevance and assign an accountable owner before live use.</w:t>
      </w:r>
    </w:p>
    <w:p>
      <w:r>
        <w:t xml:space="preserve">Commitment 9: CHS Commitment 9 — CONTEXT_ONLY. Validate relevance and assign an accountable owner before live use.</w:t>
      </w:r>
    </w:p>
    <w:p>
      <w:pPr>
        <w:pStyle w:val="Heading1"/>
      </w:pPr>
      <w:r>
        <w:t>Evidence Register</w:t>
      </w:r>
    </w:p>
    <w:p>
      <w:r>
        <w:t xml:space="preserve">EVI-MAR-001 • survey • SYN-MARK-0001 • APPROVED • 93%</w:t>
      </w:r>
    </w:p>
    <w:p>
      <w:r>
        <w:t xml:space="preserve">EVI-MAR-002 • key_informant_interview • SYN-MARK-0002 • APPROVED • 94%</w:t>
      </w:r>
    </w:p>
    <w:p>
      <w:r>
        <w:t xml:space="preserve">EVI-MAR-003 • administrative_record • SYN-MARK-0003 • APPROVED • 95%</w:t>
      </w:r>
    </w:p>
    <w:p>
      <w:r>
        <w:t xml:space="preserve">EVI-MAR-004 • survey • SYN-MARK-0004 • APPROVED • 96%</w:t>
      </w:r>
    </w:p>
    <w:p>
      <w:r>
        <w:t xml:space="preserve">EVI-MAR-005 • key_informant_interview • SYN-MARK-0005 • APPROVED • 97%</w:t>
      </w:r>
    </w:p>
    <w:p>
      <w:r>
        <w:t xml:space="preserve">EVI-MAR-006 • administrative_record • SYN-MARK-0006 • APPROVED • 98%</w:t>
      </w:r>
    </w:p>
    <w:p>
      <w:r>
        <w:t xml:space="preserve">EVI-MAR-007 • survey • SYN-MARK-0007 • APPROVED • 88%</w:t>
      </w:r>
    </w:p>
    <w:p>
      <w:r>
        <w:t xml:space="preserve">EVI-MAR-008 • key_informant_interview • SYN-MARK-0008 • APPROVED • 89%</w:t>
      </w:r>
    </w:p>
    <w:p>
      <w:r>
        <w:t xml:space="preserve">EVI-MAR-009 • administrative_record • SYN-MARK-0009 • APPROVED • 90%</w:t>
      </w:r>
    </w:p>
    <w:p>
      <w:r>
        <w:t xml:space="preserve">EVI-MAR-010 • survey • SYN-MARK-0010 • APPROVED • 91%</w:t>
      </w:r>
    </w:p>
    <w:p>
      <w:pPr>
        <w:pStyle w:val="Heading1"/>
      </w:pPr>
      <w:r>
        <w:t>Data Dictionary</w:t>
      </w:r>
    </w:p>
    <w:p>
      <w:r>
        <w:t xml:space="preserve">indicator_1: Synthetic Market Research indicator 1; numeric; allowed: 0–100; missing: NA</w:t>
      </w:r>
    </w:p>
    <w:p>
      <w:r>
        <w:t xml:space="preserve">indicator_2: Synthetic Market Research indicator 2; categorical; allowed: Documented code list; missing: NA</w:t>
      </w:r>
    </w:p>
    <w:p>
      <w:r>
        <w:t xml:space="preserve">indicator_3: Synthetic Market Research indicator 3; categorical; allowed: Documented code list; missing: NA</w:t>
      </w:r>
    </w:p>
    <w:p>
      <w:r>
        <w:t xml:space="preserve">indicator_4: Synthetic Market Research indicator 4; numeric; allowed: 0–100; missing: NA</w:t>
      </w:r>
    </w:p>
    <w:p>
      <w:r>
        <w:t xml:space="preserve">indicator_5: Synthetic Market Research indicator 5; categorical; allowed: Documented code list; missing: NA</w:t>
      </w:r>
    </w:p>
    <w:p>
      <w:r>
        <w:t xml:space="preserve">indicator_6: Synthetic Market Research indicator 6; categorical; allowed: Documented code list; missing: NA</w:t>
      </w:r>
    </w:p>
    <w:p>
      <w:r>
        <w:t xml:space="preserve">indicator_7: Synthetic Market Research indicator 7; numeric; allowed: 0–100; missing: NA</w:t>
      </w:r>
    </w:p>
    <w:p>
      <w:r>
        <w:t xml:space="preserve">indicator_8: Synthetic Market Research indicator 8; categorical; allowed: Documented code list; missing: NA</w:t>
      </w:r>
    </w:p>
    <w:p>
      <w:r>
        <w:t xml:space="preserve">indicator_9: Synthetic Market Research indicator 9; categorical; allowed: Documented code list; missing: NA</w:t>
      </w:r>
    </w:p>
    <w:p>
      <w:r>
        <w:t xml:space="preserve">indicator_10: Synthetic Market Research indicator 10; numeric; allowed: 0–100; missing: NA</w:t>
      </w:r>
    </w:p>
    <w:p>
      <w:r>
        <w:t xml:space="preserve">indicator_11: Synthetic Market Research indicator 11; categorical; allowed: Documented code list; missing: NA</w:t>
      </w:r>
    </w:p>
    <w:p>
      <w:r>
        <w:t xml:space="preserve">indicator_12: Synthetic Market Research indicator 12; categorical; allowed: Documented code list; missing: NA</w:t>
      </w:r>
    </w:p>
    <w:p>
      <w:pPr>
        <w:pStyle w:val="Heading1"/>
      </w:pPr>
      <w:r>
        <w:t>Limitations &amp; Responsible Use</w:t>
      </w:r>
    </w:p>
    <w:p>
      <w:r>
        <w:t xml:space="preserve">All content is synthetic and must not be interpreted as official statistics</w:t>
      </w:r>
    </w:p>
    <w:p>
      <w:r>
        <w:t xml:space="preserve">Geographic references are illustrative</w:t>
      </w:r>
    </w:p>
    <w:p>
      <w:r>
        <w:t xml:space="preserve">Budget implications are directional and require formal costing</w:t>
      </w:r>
    </w:p>
    <w:p>
      <w:r>
        <w:t xml:space="preserve">Causal claims are not made without an appropriate design</w:t>
      </w:r>
    </w:p>
    <w:sectPr>
      <w:pgSz w:w="11906" w:h="16838"/>
      <w:pgMar w:top="1100" w:right="1100" w:bottom="1100" w:left="1100"/>
    </w:sectPr>
  </w:body>
</w:document>
</file>

<file path=word/styles.xml><?xml version="1.0" encoding="utf-8"?>
<w:styles xmlns:w="http://schemas.openxmlformats.org/wordprocessingml/2006/main">
  <w:style w:type="paragraph" w:default="1" w:styleId="Normal">
    <w:name w:val="Normal"/>
    <w:rPr>
      <w:rFonts w:ascii="Aptos"/>
      <w:sz w:val="22"/>
    </w:rPr>
  </w:style>
  <w:style w:type="paragraph" w:styleId="Heading1">
    <w:name w:val="heading 1"/>
    <w:basedOn w:val="Normal"/>
    <w:rPr>
      <w:b/>
      <w:color w:val="0B2E59"/>
      <w:sz w:val="32"/>
    </w:rPr>
  </w:style>
  <w:style w:type="paragraph" w:styleId="Heading2">
    <w:name w:val="heading 2"/>
    <w:basedOn w:val="Normal"/>
    <w:rPr>
      <w:b/>
      <w:color w:val="1C7ED6"/>
      <w:sz w:val="26"/>
    </w:rPr>
  </w:style>
</w:styles>
</file>

<file path=word/_rels/document.xml.rels><?xml version="1.0"?><Relationships xmlns="http://schemas.openxmlformats.org/package/2006/relationships"><Relationship Id="rId1" Type="http://schemas.openxmlformats.org/officeDocument/2006/relationships/styles" Target="styles.xml"/></Relationships>
</file>