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Maternal &amp; Child Health Continuity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Every number in this publication answers one question: what is actually happening with maternal and child health performance in Uganda, and for whom. The pattern that emerges is one of uneven progress, concentrated risk, and opportunities that remain genuinely actionable. The discipline behind this publication is traceability — synthetic evidence behind every finding, a named owner behind every recommendation, one internally consistent dataset behind every statistic.</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Antenatal-care continuity</w:t>
      </w:r>
    </w:p>
    <w:p>
      <w:r>
        <w:t xml:space="preserve">Antenatal-care continuity is not a marginal delivery issue. In Northern Uganda, the governed evidence indicates a 62% performance signal, with rural women carrying the most consequential constraint. Left unaddressed, antenatal-care continuity becomes a structural risk to maternal and child health delivery in Uganda, not a temporary dip. Northern Uganda is furthest exposed, and rural women would carry the earliest and heaviest consequences of a further year's delay.</w:t>
      </w:r>
    </w:p>
    <w:p>
      <w:r>
        <w:t xml:space="preserve">Evidence: EVI-MAT-001, EVI-MAT-004 • Confidence 92.5%</w:t>
      </w:r>
    </w:p>
    <w:p>
      <w:pPr>
        <w:pStyle w:val="Heading2"/>
      </w:pPr>
      <w:r>
        <w:t>Skilled birth attendance</w:t>
      </w:r>
    </w:p>
    <w:p>
      <w:r>
        <w:t xml:space="preserve">Skilled birth attendance has become an accountability question rather than a measurement question. Evidence from Karamoja Sub-region places the signal at 63% and shows that young adults experience the largest gap between policy intent and lived delivery. The choice facing maternal and child health leadership in Uganda is straightforward even if the fix is not: act on skilled birth attendance now, concentrated in Karamoja Sub-region where young adults carry the largest share of the gap, or accept a wider gap in a year's time.</w:t>
      </w:r>
    </w:p>
    <w:p>
      <w:r>
        <w:t xml:space="preserve">Evidence: EVI-MAT-002, EVI-MAT-005 • Confidence 93.5%</w:t>
      </w:r>
    </w:p>
    <w:p>
      <w:pPr>
        <w:pStyle w:val="Heading2"/>
      </w:pPr>
      <w:r>
        <w:t>Postnatal follow-up completion</w:t>
      </w:r>
    </w:p>
    <w:p>
      <w:r>
        <w:t xml:space="preserve">Persons with disabilities in Eastern Uganda are living the consequence of postnatal follow-up completion, not simply reporting it. Their 64% signal is the clearest evidence leadership has that current measures fall short. persons with disabilities in Eastern Uganda do not experience postnatal follow-up completion as an abstract metric. They experience it as the difference between maternal and child health delivery that works and delivery that does not, and a twelve-month delay would deepen that gap rather than hold it steady.</w:t>
      </w:r>
    </w:p>
    <w:p>
      <w:r>
        <w:t xml:space="preserve">Evidence: EVI-MAT-003, EVI-MAT-006 • Confidence 94.5%</w:t>
      </w:r>
    </w:p>
    <w:p>
      <w:pPr>
        <w:pStyle w:val="Heading2"/>
      </w:pPr>
      <w:r>
        <w:t>Under-five growth monitoring</w:t>
      </w:r>
    </w:p>
    <w:p>
      <w:r>
        <w:t xml:space="preserve">65%. That is the under-five growth monitoring signal recorded in West Nile, and the headline figure understates the problem: disaggregated by group, frontline workers sit well below it. The clearest gap sits in West Nile, concentrated among frontline workers. A twelve-month delay would let the gap compound into a harder, costlier problem.</w:t>
      </w:r>
    </w:p>
    <w:p>
      <w:r>
        <w:t xml:space="preserve">Evidence: EVI-MAT-004, EVI-MAT-007 • Confidence 95.5%</w:t>
      </w:r>
    </w:p>
    <w:p>
      <w:pPr>
        <w:pStyle w:val="Heading2"/>
      </w:pPr>
      <w:r>
        <w:t>Emergency obstetric referral timeliness</w:t>
      </w:r>
    </w:p>
    <w:p>
      <w:r>
        <w:t xml:space="preserve">The strategic opportunity lies in the variation, not the average. At 66%, Northern Uganda's emergency obstetric referral timeliness signal shows where implementation can move quickly, while the experience of low-income households defines the safeguard that must accompany scale. The same gap that makes emergency obstetric referral timeliness a risk also makes it an opportunity: Northern Uganda could close most of the distance to the rest of Uganda within a year if action starts now, with the clearest gains reaching low-income households first.</w:t>
      </w:r>
    </w:p>
    <w:p>
      <w:r>
        <w:t xml:space="preserve">Evidence: EVI-MAT-005, EVI-MAT-008 • Confidence 96.5%</w:t>
      </w:r>
    </w:p>
    <w:p>
      <w:pPr>
        <w:pStyle w:val="Heading1"/>
      </w:pPr>
      <w:r>
        <w:t>Regional Intelligence</w:t>
      </w:r>
    </w:p>
    <w:p>
      <w:r>
        <w:t xml:space="preserve">Northern Uganda: 52% • 1482 responses • Risk CRITICAL</w:t>
      </w:r>
    </w:p>
    <w:p>
      <w:r>
        <w:t xml:space="preserve">Karamoja Sub-region: 53% • 1289 responses • Risk CRITICAL</w:t>
      </w:r>
    </w:p>
    <w:p>
      <w:r>
        <w:t xml:space="preserve">Eastern Uganda: 54% • 1098 responses • Risk CRITICAL</w:t>
      </w:r>
    </w:p>
    <w:p>
      <w:r>
        <w:t xml:space="preserve">West Nile: 55% • 907 responses • Risk CRITICAL</w:t>
      </w:r>
    </w:p>
    <w:p>
      <w:pPr>
        <w:pStyle w:val="Heading1"/>
      </w:pPr>
      <w:r>
        <w:t>Indicators and Target Gaps</w:t>
      </w:r>
    </w:p>
    <w:p>
      <w:r>
        <w:t xml:space="preserve">IND-01 Antenatal-care continuity rate: 61% vs 85% — OFF_TRACK</w:t>
      </w:r>
    </w:p>
    <w:p>
      <w:r>
        <w:t xml:space="preserve">IND-02 Skilled birth attendance rate: 62% vs 86% — OFF_TRACK</w:t>
      </w:r>
    </w:p>
    <w:p>
      <w:r>
        <w:t xml:space="preserve">IND-03 Postnatal follow-up completion: 63% vs 87% — OFF_TRACK</w:t>
      </w:r>
    </w:p>
    <w:p>
      <w:r>
        <w:t xml:space="preserve">IND-04 Under-five growth monitoring coverage: 64% vs 88% — OFF_TRACK</w:t>
      </w:r>
    </w:p>
    <w:p>
      <w:pPr>
        <w:pStyle w:val="Heading1"/>
      </w:pPr>
      <w:r>
        <w:t>Respondent Voice</w:t>
      </w:r>
    </w:p>
    <w:p>
      <w:r>
        <w:t xml:space="preserve">Northern Uganda: “Rural women in Northern Uganda frame it simply: when antenatal-care continuity breaks down, everything else does too.”</w:t>
      </w:r>
    </w:p>
    <w:p>
      <w:r>
        <w:t xml:space="preserve">Karamoja Sub-region: “In Karamoja Sub-region, skilled birth attendance shapes whether young adults can turn services into lasting outcomes.”</w:t>
      </w:r>
    </w:p>
    <w:p>
      <w:r>
        <w:t xml:space="preserve">Eastern Uganda: “Persons with disabilities in Eastern Uganda put it plainly: postnatal follow-up completion is what decides whether progress holds or slips back.”</w:t>
      </w:r>
    </w:p>
    <w:p>
      <w:r>
        <w:t xml:space="preserve">West Nile: “Why does West Nile lag behind? Ask frontline workers, and the answer comes back to under-five growth monitoring.”</w:t>
      </w:r>
    </w:p>
    <w:p>
      <w:r>
        <w:t xml:space="preserve">Northern Uganda: “Elsewhere, emergency obstetric referral timeliness might be a footnote. For low-income households in Northern Uganda, it is the whole story.”</w:t>
      </w:r>
    </w:p>
    <w:p>
      <w:r>
        <w:t xml:space="preserve">Karamoja Sub-region: “Service managers in Karamoja Sub-region frame it simply: when antenatal-care continuity breaks down, everything else does too.”</w:t>
      </w:r>
    </w:p>
    <w:p>
      <w:r>
        <w:t xml:space="preserve">Eastern Uganda: “In Eastern Uganda, skilled birth attendance shapes whether community leaders can turn services into lasting outcomes.”</w:t>
      </w:r>
    </w:p>
    <w:p>
      <w:r>
        <w:t xml:space="preserve">West Nile: “Private-sector partners in West Nile put it plainly: postnatal follow-up completion is what decides whether progress holds or slips back.”</w:t>
      </w:r>
    </w:p>
    <w:p>
      <w:r>
        <w:t xml:space="preserve">Northern Uganda: “Why does Northern Uganda lag behind? Ask rural women, and the answer comes back to under-five growth monitoring.”</w:t>
      </w:r>
    </w:p>
    <w:p>
      <w:r>
        <w:t xml:space="preserve">Karamoja Sub-region: “Elsewhere, emergency obstetric referral timeliness might be a footnote. For young adults in Karamoja Sub-region, it is the whole story.”</w:t>
      </w:r>
    </w:p>
    <w:p>
      <w:pPr>
        <w:pStyle w:val="Heading1"/>
      </w:pPr>
      <w:r>
        <w:t>Decision Intelligence</w:t>
      </w:r>
    </w:p>
    <w:p>
      <w:pPr>
        <w:pStyle w:val="Heading2"/>
      </w:pPr>
      <w:r>
        <w:t>DEC-MAT-01 CRITICAL</w:t>
      </w:r>
    </w:p>
    <w:p>
      <w:r>
        <w:t xml:space="preserve">Target antenatal-continuity investment in the lowest-completion districts.</w:t>
      </w:r>
    </w:p>
    <w:p>
      <w:r>
        <w:t xml:space="preserve">Owner: Country Director / Programme Executive • Timeline: 0–90 days • Budget: High — full business case and multi-year funding commitment required • Indicator: Quarterly-verified progress against the milestones agreed for this critical-tier decision (DEC-MAT-01)</w:t>
      </w:r>
    </w:p>
    <w:p>
      <w:pPr>
        <w:pStyle w:val="Heading2"/>
      </w:pPr>
      <w:r>
        <w:t>DEC-MAT-02 CRITICAL</w:t>
      </w:r>
    </w:p>
    <w:p>
      <w:r>
        <w:t xml:space="preserve">Expand skilled birth attendance at facility level in underserved districts.</w:t>
      </w:r>
    </w:p>
    <w:p>
      <w:r>
        <w:t xml:space="preserve">Owner: Country Director / Programme Executive • Timeline: 3–12 months • Budget: Medium — detailed costing and fiduciary review required • Indicator: Number of agreed milestones for DEC-MAT-02 confirmed complete at each quarterly review</w:t>
      </w:r>
    </w:p>
    <w:p>
      <w:pPr>
        <w:pStyle w:val="Heading2"/>
      </w:pPr>
      <w:r>
        <w:t>DEC-MAT-03 HIGH</w:t>
      </w:r>
    </w:p>
    <w:p>
      <w:r>
        <w:t xml:space="preserve">Strengthen postnatal follow-up scheduling and reminder systems.</w:t>
      </w:r>
    </w:p>
    <w:p>
      <w:r>
        <w:t xml:space="preserve">Owner: Country Director / Programme Executive • Timeline: 3–12 months • Budget: Medium — likely fundable from existing lines, pending confirmation • Indicator: Percentage of agreed milestones completed for DEC-MAT-03</w:t>
      </w:r>
    </w:p>
    <w:p>
      <w:pPr>
        <w:pStyle w:val="Heading2"/>
      </w:pPr>
      <w:r>
        <w:t>DEC-MAT-04 HIGH</w:t>
      </w:r>
    </w:p>
    <w:p>
      <w:r>
        <w:t xml:space="preserve">Scale routine under-five growth monitoring at community level.</w:t>
      </w:r>
    </w:p>
    <w:p>
      <w:r>
        <w:t xml:space="preserve">Owner: Country Director / Programme Executive • Timeline: 3–12 months • Budget: Low to medium — validate through the formal planning cycle • Indicator: Share of the high-tier delivery plan confirmed complete each quarter (DEC-MAT-04)</w:t>
      </w:r>
    </w:p>
    <w:p>
      <w:pPr>
        <w:pStyle w:val="Heading2"/>
      </w:pPr>
      <w:r>
        <w:t>DEC-MAT-05 MEDIUM</w:t>
      </w:r>
    </w:p>
    <w:p>
      <w:r>
        <w:t xml:space="preserve">Cut emergency obstetric referral delays through transport and communication fixes.</w:t>
      </w:r>
    </w:p>
    <w:p>
      <w:r>
        <w:t xml:space="preserve">Owner: Country Director / Programme Executive • Timeline: 6–18 months • Budget: Low — absorbable within existing allocations, subject to confirmation • Indicator: Milestone completion rate tracked against the DEC-MAT-05 delivery plan</w:t>
      </w:r>
    </w:p>
    <w:p>
      <w:pPr>
        <w:pStyle w:val="Heading1"/>
      </w:pPr>
      <w:r>
        <w:t>Methodology</w:t>
      </w:r>
    </w:p>
    <w:p>
      <w:r>
        <w:t xml:space="preserve">research objectives: ["Assess maternal and child health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Uganda</w:t>
      </w:r>
    </w:p>
    <w:p>
      <w:r>
        <w:t xml:space="preserve">sample size: 4776</w:t>
      </w:r>
    </w:p>
    <w:p>
      <w:r>
        <w:t xml:space="preserve">stratification: ["Region","Location type","Sex","Age","Disability"]</w:t>
      </w:r>
    </w:p>
    <w:p>
      <w:r>
        <w:t xml:space="preserve">weights: Normalized post-stratification weights</w:t>
      </w:r>
    </w:p>
    <w:p>
      <w:r>
        <w:t xml:space="preserve">confidence intervals: 95%</w:t>
      </w:r>
    </w:p>
    <w:p>
      <w:r>
        <w:t xml:space="preserve">design effect: 1.2</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DEC-MAT-01</w:t>
      </w:r>
    </w:p>
    <w:p>
      <w:r>
        <w:t xml:space="preserve">Target antenatal-continuity investment in the lowest-completion districts.</w:t>
      </w:r>
    </w:p>
    <w:p>
      <w:r>
        <w:t xml:space="preserve">Owner: Country Director / Programme Executive • Window: 0–90 days • Cost: High — full business case and multi-year funding commitment required • Indicator: Quarterly-verified progress against the milestones agreed for this critical-tier decision (DEC-MAT-01)</w:t>
      </w:r>
    </w:p>
    <w:p>
      <w:pPr>
        <w:pStyle w:val="Heading2"/>
      </w:pPr>
      <w:r>
        <w:t>DEC-MAT-02</w:t>
      </w:r>
    </w:p>
    <w:p>
      <w:r>
        <w:t xml:space="preserve">Expand skilled birth attendance at facility level in underserved districts.</w:t>
      </w:r>
    </w:p>
    <w:p>
      <w:r>
        <w:t xml:space="preserve">Owner: Country Director / Programme Executive • Window: 3–12 months • Cost: Medium — detailed costing and fiduciary review required • Indicator: Number of agreed milestones for DEC-MAT-02 confirmed complete at each quarterly review</w:t>
      </w:r>
    </w:p>
    <w:p>
      <w:pPr>
        <w:pStyle w:val="Heading2"/>
      </w:pPr>
      <w:r>
        <w:t>DEC-MAT-03</w:t>
      </w:r>
    </w:p>
    <w:p>
      <w:r>
        <w:t xml:space="preserve">Strengthen postnatal follow-up scheduling and reminder systems.</w:t>
      </w:r>
    </w:p>
    <w:p>
      <w:r>
        <w:t xml:space="preserve">Owner: Country Director / Programme Executive • Window: 3–12 months • Cost: Medium — likely fundable from existing lines, pending confirmation • Indicator: Percentage of agreed milestones completed for DEC-MAT-03</w:t>
      </w:r>
    </w:p>
    <w:p>
      <w:pPr>
        <w:pStyle w:val="Heading2"/>
      </w:pPr>
      <w:r>
        <w:t>DEC-MAT-04</w:t>
      </w:r>
    </w:p>
    <w:p>
      <w:r>
        <w:t xml:space="preserve">Scale routine under-five growth monitoring at community level.</w:t>
      </w:r>
    </w:p>
    <w:p>
      <w:r>
        <w:t xml:space="preserve">Owner: Country Director / Programme Executive • Window: 3–12 months • Cost: Low to medium — validate through the formal planning cycle • Indicator: Share of the high-tier delivery plan confirmed complete each quarter (DEC-MAT-04)</w:t>
      </w:r>
    </w:p>
    <w:p>
      <w:pPr>
        <w:pStyle w:val="Heading2"/>
      </w:pPr>
      <w:r>
        <w:t>DEC-MAT-05</w:t>
      </w:r>
    </w:p>
    <w:p>
      <w:r>
        <w:t xml:space="preserve">Cut emergency obstetric referral delays through transport and communication fixes.</w:t>
      </w:r>
    </w:p>
    <w:p>
      <w:r>
        <w:t xml:space="preserve">Owner: Country Director / Programme Executive • Window: 6–18 months • Cost: Low — absorbable within existing allocations, subject to confirmation • Indicator: Milestone completion rate tracked against the DEC-MAT-05 delivery plan</w:t>
      </w:r>
    </w:p>
    <w:p>
      <w:pPr>
        <w:pStyle w:val="Heading1"/>
      </w:pPr>
      <w:r>
        <w:t>Evidence Lineage &amp; Citation Registry</w:t>
      </w:r>
    </w:p>
    <w:p>
      <w:r>
        <w:t xml:space="preserve">EVI-MAT-001: [object Object] • APPROVED_SYNTHETIC_DEMONSTRATION • 91%</w:t>
      </w:r>
    </w:p>
    <w:p>
      <w:r>
        <w:t xml:space="preserve">EVI-MAT-002: [object Object] • APPROVED_SYNTHETIC_DEMONSTRATION • 92%</w:t>
      </w:r>
    </w:p>
    <w:p>
      <w:r>
        <w:t xml:space="preserve">EVI-MAT-003: [object Object] • APPROVED_SYNTHETIC_DEMONSTRATION • 93%</w:t>
      </w:r>
    </w:p>
    <w:p>
      <w:r>
        <w:t xml:space="preserve">EVI-MAT-004: [object Object] • APPROVED_SYNTHETIC_DEMONSTRATION • 94%</w:t>
      </w:r>
    </w:p>
    <w:p>
      <w:r>
        <w:t xml:space="preserve">EVI-MAT-005: [object Object] • APPROVED_SYNTHETIC_DEMONSTRATION • 95%</w:t>
      </w:r>
    </w:p>
    <w:p>
      <w:r>
        <w:t xml:space="preserve">EVI-MAT-006: [object Object] • APPROVED_SYNTHETIC_DEMONSTRATION • 96%</w:t>
      </w:r>
    </w:p>
    <w:p>
      <w:r>
        <w:t xml:space="preserve">EVI-MAT-007: [object Object] • APPROVED_SYNTHETIC_DEMONSTRATION • 97%</w:t>
      </w:r>
    </w:p>
    <w:p>
      <w:r>
        <w:t xml:space="preserve">EVI-MAT-008: [object Object] • APPROVED_SYNTHETIC_DEMONSTRATION • 98%</w:t>
      </w:r>
    </w:p>
    <w:p>
      <w:r>
        <w:t xml:space="preserve">EVI-MAT-009: [object Object] • APPROVED_SYNTHETIC_DEMONSTRATION • 88%</w:t>
      </w:r>
    </w:p>
    <w:p>
      <w:r>
        <w:t xml:space="preserve">EVI-MAT-010: [object Object] • APPROVED_SYNTHETIC_DEMONSTRATION • 89%</w:t>
      </w:r>
    </w:p>
    <w:p>
      <w:r>
        <w:t xml:space="preserve">CIT-EVI-MAT-001: VoiceInsights Africa. Maternal &amp; Child Health Continuity Intelligence Report. synthetic-maternal-child-health-intelligence-2026.1, EVI-MAT-001, Q1: How does antenatal-care continuity affect maternal and child health outcomes in Northern Uganda?</w:t>
      </w:r>
    </w:p>
    <w:p>
      <w:r>
        <w:t xml:space="preserve">CIT-EVI-MAT-002: VoiceInsights Africa. Maternal &amp; Child Health Continuity Intelligence Report. synthetic-maternal-child-health-intelligence-2026.1, EVI-MAT-002, Q2: How does skilled birth attendance affect maternal and child health outcomes in Karamoja Sub-region?</w:t>
      </w:r>
    </w:p>
    <w:p>
      <w:r>
        <w:t xml:space="preserve">CIT-EVI-MAT-003: VoiceInsights Africa. Maternal &amp; Child Health Continuity Intelligence Report. synthetic-maternal-child-health-intelligence-2026.1, EVI-MAT-003, Q3: How does postnatal follow-up completion affect maternal and child health outcomes in Eastern Uganda?</w:t>
      </w:r>
    </w:p>
    <w:p>
      <w:r>
        <w:t xml:space="preserve">CIT-EVI-MAT-004: VoiceInsights Africa. Maternal &amp; Child Health Continuity Intelligence Report. synthetic-maternal-child-health-intelligence-2026.1, EVI-MAT-004, Q4: How does under-five growth monitoring affect maternal and child health outcomes in West Nile?</w:t>
      </w:r>
    </w:p>
    <w:p>
      <w:r>
        <w:t xml:space="preserve">CIT-EVI-MAT-005: VoiceInsights Africa. Maternal &amp; Child Health Continuity Intelligence Report. synthetic-maternal-child-health-intelligence-2026.1, EVI-MAT-005, Q5: How does emergency obstetric referral timeliness affect maternal and child health outcomes in Northern Uganda?</w:t>
      </w:r>
    </w:p>
    <w:p>
      <w:r>
        <w:t xml:space="preserve">CIT-EVI-MAT-006: VoiceInsights Africa. Maternal &amp; Child Health Continuity Intelligence Report. synthetic-maternal-child-health-intelligence-2026.1, EVI-MAT-006, Q6: How does antenatal-care continuity affect maternal and child health outcomes in Karamoja Sub-region?</w:t>
      </w:r>
    </w:p>
    <w:p>
      <w:r>
        <w:t xml:space="preserve">CIT-EVI-MAT-007: VoiceInsights Africa. Maternal &amp; Child Health Continuity Intelligence Report. synthetic-maternal-child-health-intelligence-2026.1, EVI-MAT-007, Q7: How does skilled birth attendance affect maternal and child health outcomes in Eastern Uganda?</w:t>
      </w:r>
    </w:p>
    <w:p>
      <w:r>
        <w:t xml:space="preserve">CIT-EVI-MAT-008: VoiceInsights Africa. Maternal &amp; Child Health Continuity Intelligence Report. synthetic-maternal-child-health-intelligence-2026.1, EVI-MAT-008, Q8: How does postnatal follow-up completion affect maternal and child health outcomes in West Nile?</w:t>
      </w:r>
    </w:p>
    <w:p>
      <w:r>
        <w:t xml:space="preserve">CIT-EVI-MAT-009: VoiceInsights Africa. Maternal &amp; Child Health Continuity Intelligence Report. synthetic-maternal-child-health-intelligence-2026.1, EVI-MAT-009, Q9: How does under-five growth monitoring affect maternal and child health outcomes in Northern Uganda?</w:t>
      </w:r>
    </w:p>
    <w:p>
      <w:r>
        <w:t xml:space="preserve">CIT-EVI-MAT-010: VoiceInsights Africa. Maternal &amp; Child Health Continuity Intelligence Report. synthetic-maternal-child-health-intelligence-2026.1, EVI-MAT-010, Q10: How does emergency obstetric referral timeliness affect maternal and child health outcomes in Karamoja Sub-region?</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3: APPLIED_WHERE_RELEVANT — Mapped to EVI-MAT-001, EVI-MAT-002; Synthetic demonstration mapping; institutional validation not implied</w:t>
      </w:r>
    </w:p>
    <w:p>
      <w:r>
        <w:t xml:space="preserve">Every Newborn Action Plan: APPLIED_WHERE_RELEVANT — Mapped to EVI-MAT-002, EVI-MAT-003; Synthetic demonstration mapping; institutional validation not implied</w:t>
      </w:r>
    </w:p>
    <w:p>
      <w:r>
        <w:t xml:space="preserve">Gender Equality: APPLIED_WHERE_RELEVANT — Mapped to EVI-MAT-003, EVI-MAT-004; Synthetic demonstration mapping; institutional validation not implied</w:t>
      </w:r>
    </w:p>
    <w:p>
      <w:r>
        <w:t xml:space="preserve">Evidence Traceability: APPLIED — Control linked to EVI-MAT-001 and the deterministic publication gate.</w:t>
      </w:r>
    </w:p>
    <w:p>
      <w:r>
        <w:t xml:space="preserve">Research Ethics: APPLIED — Control linked to EVI-MAT-002 and the deterministic publication gate.</w:t>
      </w:r>
    </w:p>
    <w:p>
      <w:r>
        <w:t xml:space="preserve">Data Protection: APPLIED — Control linked to EVI-MAT-003 and the deterministic publication gate.</w:t>
      </w:r>
    </w:p>
    <w:p>
      <w:r>
        <w:t xml:space="preserve">Accessibility: APPLIED — Control linked to EVI-MAT-004 and the deterministic publication gate.</w:t>
      </w:r>
    </w:p>
    <w:p>
      <w:r>
        <w:t xml:space="preserve">Responsible AI: APPLIED — Control linked to EVI-MAT-005 and the deterministic publication gate.</w:t>
      </w:r>
    </w:p>
    <w:p>
      <w:r>
        <w:t xml:space="preserve">Publication Integrity: APPLIED — Control linked to EVI-MAT-006 and the deterministic publication gate.</w:t>
      </w:r>
    </w:p>
    <w:p>
      <w:pPr>
        <w:pStyle w:val="Heading1"/>
      </w:pPr>
      <w:r>
        <w:t>SDG Contribution</w:t>
      </w:r>
    </w:p>
    <w:p>
      <w:r>
        <w:t xml:space="preserve">SDG 3: undefined — Indicators —</w:t>
      </w:r>
    </w:p>
    <w:p>
      <w:r>
        <w:t xml:space="preserve">SDG 3: undefined — Indicators —</w:t>
      </w:r>
    </w:p>
    <w:p>
      <w:r>
        <w:t xml:space="preserve">SDG 3: undefined — Indicators —</w:t>
      </w:r>
    </w:p>
    <w:p>
      <w:r>
        <w:t xml:space="preserve">SDG 5: undefined — Indicators —</w:t>
      </w:r>
    </w:p>
    <w:p>
      <w:pPr>
        <w:pStyle w:val="Heading1"/>
      </w:pPr>
      <w:r>
        <w:t>OECD-DAC Evaluation Criteria</w:t>
      </w:r>
    </w:p>
    <w:p>
      <w:r>
        <w:t xml:space="preserve">Relevance: Synthetic evidence indicates a strong relevance signal, subject to the stated design limitations. (86/100) — Review relevance evidence at the next formal management gate.</w:t>
      </w:r>
    </w:p>
    <w:p>
      <w:r>
        <w:t xml:space="preserve">Coherence: Synthetic evidence indicates a moderate-to-strong coherence signal, subject to the stated design limitations. (87/100) — Review coherence evidence at the next formal management gate.</w:t>
      </w:r>
    </w:p>
    <w:p>
      <w:r>
        <w:t xml:space="preserve">Effectiveness: Synthetic evidence indicates a strong effectiveness signal, subject to the stated design limitations. (88/100) — Review effectiveness evidence at the next formal management gate.</w:t>
      </w:r>
    </w:p>
    <w:p>
      <w:r>
        <w:t xml:space="preserve">Efficiency: Synthetic evidence indicates a moderate-to-strong efficiency signal, subject to the stated design limitations. (89/100) — Review efficiency evidence at the next formal management gate.</w:t>
      </w:r>
    </w:p>
    <w:p>
      <w:r>
        <w:t xml:space="preserve">Impact: Synthetic evidence indicates a strong impact signal, subject to the stated design limitations. (90/100) — Review impact evidence at the next formal management gate.</w:t>
      </w:r>
    </w:p>
    <w:p>
      <w:r>
        <w:t xml:space="preserve">Sustainability: Synthetic evidence indicates a moderate-to-strong sustainability signal, subject to the stated design limitations. (91/100) — Review sustainability evidence at the next formal management gate.</w:t>
      </w:r>
    </w:p>
    <w:p>
      <w:pPr>
        <w:pStyle w:val="Heading1"/>
      </w:pPr>
      <w:r>
        <w:t>Results-Based Management</w:t>
      </w:r>
    </w:p>
    <w:p>
      <w:r>
        <w:t xml:space="preserve">Impact: Sustained, equitable improvement in maternal and child health performance</w:t>
      </w:r>
    </w:p>
    <w:p>
      <w:r>
        <w:t xml:space="preserve">OC-01: Improved maternal and child health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EVI-MAT-001 • survey • SYN-MATE-0001 • APPROVED • 91%</w:t>
      </w:r>
    </w:p>
    <w:p>
      <w:r>
        <w:t xml:space="preserve">EVI-MAT-002 • key_informant_interview • SYN-MATE-0002 • APPROVED • 92%</w:t>
      </w:r>
    </w:p>
    <w:p>
      <w:r>
        <w:t xml:space="preserve">EVI-MAT-003 • administrative_record • SYN-MATE-0003 • APPROVED • 93%</w:t>
      </w:r>
    </w:p>
    <w:p>
      <w:r>
        <w:t xml:space="preserve">EVI-MAT-004 • survey • SYN-MATE-0004 • APPROVED • 94%</w:t>
      </w:r>
    </w:p>
    <w:p>
      <w:r>
        <w:t xml:space="preserve">EVI-MAT-005 • key_informant_interview • SYN-MATE-0005 • APPROVED • 95%</w:t>
      </w:r>
    </w:p>
    <w:p>
      <w:r>
        <w:t xml:space="preserve">EVI-MAT-006 • administrative_record • SYN-MATE-0006 • APPROVED • 96%</w:t>
      </w:r>
    </w:p>
    <w:p>
      <w:r>
        <w:t xml:space="preserve">EVI-MAT-007 • survey • SYN-MATE-0007 • APPROVED • 97%</w:t>
      </w:r>
    </w:p>
    <w:p>
      <w:r>
        <w:t xml:space="preserve">EVI-MAT-008 • key_informant_interview • SYN-MATE-0008 • APPROVED • 98%</w:t>
      </w:r>
    </w:p>
    <w:p>
      <w:r>
        <w:t xml:space="preserve">EVI-MAT-009 • administrative_record • SYN-MATE-0009 • APPROVED • 88%</w:t>
      </w:r>
    </w:p>
    <w:p>
      <w:r>
        <w:t xml:space="preserve">EVI-MAT-010 • survey • SYN-MATE-0010 • APPROVED • 89%</w:t>
      </w:r>
    </w:p>
    <w:p>
      <w:pPr>
        <w:pStyle w:val="Heading1"/>
      </w:pPr>
      <w:r>
        <w:t>Data Dictionary</w:t>
      </w:r>
    </w:p>
    <w:p>
      <w:r>
        <w:t xml:space="preserve">indicator_1: Synthetic Maternal and Child Health indicator 1; numeric; allowed: 0–100; missing: NA</w:t>
      </w:r>
    </w:p>
    <w:p>
      <w:r>
        <w:t xml:space="preserve">indicator_2: Synthetic Maternal and Child Health indicator 2; categorical; allowed: Documented code list; missing: NA</w:t>
      </w:r>
    </w:p>
    <w:p>
      <w:r>
        <w:t xml:space="preserve">indicator_3: Synthetic Maternal and Child Health indicator 3; categorical; allowed: Documented code list; missing: NA</w:t>
      </w:r>
    </w:p>
    <w:p>
      <w:r>
        <w:t xml:space="preserve">indicator_4: Synthetic Maternal and Child Health indicator 4; numeric; allowed: 0–100; missing: NA</w:t>
      </w:r>
    </w:p>
    <w:p>
      <w:r>
        <w:t xml:space="preserve">indicator_5: Synthetic Maternal and Child Health indicator 5; categorical; allowed: Documented code list; missing: NA</w:t>
      </w:r>
    </w:p>
    <w:p>
      <w:r>
        <w:t xml:space="preserve">indicator_6: Synthetic Maternal and Child Health indicator 6; categorical; allowed: Documented code list; missing: NA</w:t>
      </w:r>
    </w:p>
    <w:p>
      <w:r>
        <w:t xml:space="preserve">indicator_7: Synthetic Maternal and Child Health indicator 7; numeric; allowed: 0–100; missing: NA</w:t>
      </w:r>
    </w:p>
    <w:p>
      <w:r>
        <w:t xml:space="preserve">indicator_8: Synthetic Maternal and Child Health indicator 8; categorical; allowed: Documented code list; missing: NA</w:t>
      </w:r>
    </w:p>
    <w:p>
      <w:r>
        <w:t xml:space="preserve">indicator_9: Synthetic Maternal and Child Health indicator 9; categorical; allowed: Documented code list; missing: NA</w:t>
      </w:r>
    </w:p>
    <w:p>
      <w:r>
        <w:t xml:space="preserve">indicator_10: Synthetic Maternal and Child Health indicator 10; numeric; allowed: 0–100; missing: NA</w:t>
      </w:r>
    </w:p>
    <w:p>
      <w:r>
        <w:t xml:space="preserve">indicator_11: Synthetic Maternal and Child Health indicator 11; categorical; allowed: Documented code list; missing: NA</w:t>
      </w:r>
    </w:p>
    <w:p>
      <w:r>
        <w:t xml:space="preserve">indicator_12: Synthetic Maternal and Child Health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