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National Human Development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What follows is a governed account of human development performance in Tanzania: where it is working, where it is not, and what to do next. The evidence identifies uneven progress, concentrated risk, and a set of opportunities still open to act on. Every finding traces to a synthetic source record, every recommendation names an accountable owner, and every statistic in this publication is drawn from a single,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Multidimensional poverty transitions</w:t>
      </w:r>
    </w:p>
    <w:p>
      <w:r>
        <w:t xml:space="preserve">67%. That is the multidimensional poverty transitions signal recorded in Lake Zone, and the headline figure understates the problem: disaggregated by group, rural women sit well below it. The clearest gap sits in Lake Zone, concentrated among rural women. A twelve-month delay would let the gap compound into a harder, costlier problem.</w:t>
      </w:r>
    </w:p>
    <w:p>
      <w:r>
        <w:t xml:space="preserve">Evidence: EVI-NAT-001, EVI-NAT-004 • Confidence 91.5%</w:t>
      </w:r>
    </w:p>
    <w:p>
      <w:pPr>
        <w:pStyle w:val="Heading2"/>
      </w:pPr>
      <w:r>
        <w:t>Primary healthcare continuity</w:t>
      </w:r>
    </w:p>
    <w:p>
      <w:r>
        <w:t xml:space="preserve">What would it take to fix primary healthcare continuity? Start with Central Corridor, where the signal sits at 68% and young adults carry most of the shortfall. The honest answer is sustained attention, not a single intervention. Central Corridor shows the sharpest divide, where young adults carry the largest share of the gap. Left unaddressed for a year, the imbalance is likely to erode equity, delivery confidence and the durability of results.</w:t>
      </w:r>
    </w:p>
    <w:p>
      <w:r>
        <w:t xml:space="preserve">Evidence: EVI-NAT-002, EVI-NAT-005 • Confidence 92.5%</w:t>
      </w:r>
    </w:p>
    <w:p>
      <w:pPr>
        <w:pStyle w:val="Heading2"/>
      </w:pPr>
      <w:r>
        <w:t>School-to-work mobility</w:t>
      </w:r>
    </w:p>
    <w:p>
      <w:r>
        <w:t xml:space="preserve">The aggregate result conceals a material implementation divide. Northern Highlands records a 69% signal for school-to-work mobility; the shortfall is concentrated among persons with disabilities, where service continuity and confidence move together. Of every study area examined in Tanzania, school-to-work mobility shows up hardest there, and persons with disabilities feel it most. A year of inaction would turn a gap into a pattern that is far harder to reverse.</w:t>
      </w:r>
    </w:p>
    <w:p>
      <w:r>
        <w:t xml:space="preserve">Evidence: EVI-NAT-003, EVI-NAT-006 • Confidence 93.5%</w:t>
      </w:r>
    </w:p>
    <w:p>
      <w:pPr>
        <w:pStyle w:val="Heading2"/>
      </w:pPr>
      <w:r>
        <w:t>Gendered time poverty</w:t>
      </w:r>
    </w:p>
    <w:p>
      <w:r>
        <w:t xml:space="preserve">Two things are true at once about gendered time poverty. The national picture is improving, and Coastal Belt — where frontline workers report a 70% signal — is not improving fast enough to close the gap. Human development performance in Tanzania looks stable in aggregate but splits sharply once gendered time poverty is disaggregated. Coastal Belt anchors the low end, and frontline workers bear most of that shortfall — a pattern that risks compounding without intervention within the year.</w:t>
      </w:r>
    </w:p>
    <w:p>
      <w:r>
        <w:t xml:space="preserve">Evidence: EVI-NAT-004, EVI-NAT-007 • Confidence 94.5%</w:t>
      </w:r>
    </w:p>
    <w:p>
      <w:pPr>
        <w:pStyle w:val="Heading2"/>
      </w:pPr>
      <w:r>
        <w:t>District capability gaps</w:t>
      </w:r>
    </w:p>
    <w:p>
      <w:r>
        <w:t xml:space="preserve">Progress on district capability gaps remains visible but not yet durable. The 71% result in Lake Zone weakens after disaggregation, particularly for low-income households, suggesting that current gains depend on delivery conditions that remain fragile. The clearest signal in this dataset — though not the only one — is district capability gaps in Lake Zone, where low-income households sit furthest from parity.</w:t>
      </w:r>
    </w:p>
    <w:p>
      <w:r>
        <w:t xml:space="preserve">Evidence: EVI-NAT-005, EVI-NAT-008 • Confidence 95.5%</w:t>
      </w:r>
    </w:p>
    <w:p>
      <w:pPr>
        <w:pStyle w:val="Heading1"/>
      </w:pPr>
      <w:r>
        <w:t>Regional Intelligence</w:t>
      </w:r>
    </w:p>
    <w:p>
      <w:r>
        <w:t xml:space="preserve">Lake Zone: 82% • 1038 responses • Risk STABLE</w:t>
      </w:r>
    </w:p>
    <w:p>
      <w:r>
        <w:t xml:space="preserve">Central Corridor: 83% • 902 responses • Risk STABLE</w:t>
      </w:r>
    </w:p>
    <w:p>
      <w:r>
        <w:t xml:space="preserve">Northern Highlands: 84% • 768 responses • Risk STABLE</w:t>
      </w:r>
    </w:p>
    <w:p>
      <w:r>
        <w:t xml:space="preserve">Coastal Belt: 52% • 634 responses • Risk CRITICAL</w:t>
      </w:r>
    </w:p>
    <w:p>
      <w:pPr>
        <w:pStyle w:val="Heading1"/>
      </w:pPr>
      <w:r>
        <w:t>Indicators and Target Gaps</w:t>
      </w:r>
    </w:p>
    <w:p>
      <w:r>
        <w:t xml:space="preserve">IND-01 Human development opportunity score: 55% vs 79% — OFF_TRACK</w:t>
      </w:r>
    </w:p>
    <w:p>
      <w:r>
        <w:t xml:space="preserve">IND-02 Essential health continuity: 56% vs 80% — OFF_TRACK</w:t>
      </w:r>
    </w:p>
    <w:p>
      <w:r>
        <w:t xml:space="preserve">IND-03 Learning-to-work transition: 57% vs 81% — OFF_TRACK</w:t>
      </w:r>
    </w:p>
    <w:p>
      <w:r>
        <w:t xml:space="preserve">IND-04 Overlapping deprivation rate: 58% vs 82% — OFF_TRACK</w:t>
      </w:r>
    </w:p>
    <w:p>
      <w:pPr>
        <w:pStyle w:val="Heading1"/>
      </w:pPr>
      <w:r>
        <w:t>Respondent Voice</w:t>
      </w:r>
    </w:p>
    <w:p>
      <w:r>
        <w:t xml:space="preserve">Lake Zone: “Rural women in Lake Zone put it plainly: multidimensional poverty transitions are what decides whether progress holds or slips back.”</w:t>
      </w:r>
    </w:p>
    <w:p>
      <w:r>
        <w:t xml:space="preserve">Central Corridor: “Why does Central Corridor lag behind? Ask young adults, and the answer comes back to primary healthcare continuity.”</w:t>
      </w:r>
    </w:p>
    <w:p>
      <w:r>
        <w:t xml:space="preserve">Northern Highlands: “Elsewhere, school-to-work mobility might be a footnote. For persons with disabilities in Northern Highlands, it is the whole story.”</w:t>
      </w:r>
    </w:p>
    <w:p>
      <w:r>
        <w:t xml:space="preserve">Coastal Belt: “Frontline workers in Coastal Belt frame it simply: when gendered time poverty breaks down, everything else does too.”</w:t>
      </w:r>
    </w:p>
    <w:p>
      <w:r>
        <w:t xml:space="preserve">Lake Zone: “In Lake Zone, district capability gaps shape whether low-income households can turn services into lasting outcomes.”</w:t>
      </w:r>
    </w:p>
    <w:p>
      <w:r>
        <w:t xml:space="preserve">Central Corridor: “Service managers in Central Corridor put it plainly: multidimensional poverty transitions are what decides whether progress holds or slips back.”</w:t>
      </w:r>
    </w:p>
    <w:p>
      <w:r>
        <w:t xml:space="preserve">Northern Highlands: “Why does Northern Highlands lag behind? Ask community leaders, and the answer comes back to primary healthcare continuity.”</w:t>
      </w:r>
    </w:p>
    <w:p>
      <w:r>
        <w:t xml:space="preserve">Coastal Belt: “Elsewhere, school-to-work mobility might be a footnote. For private-sector partners in Coastal Belt, it is the whole story.”</w:t>
      </w:r>
    </w:p>
    <w:p>
      <w:r>
        <w:t xml:space="preserve">Lake Zone: “Rural women in Lake Zone frame it simply: when gendered time poverty breaks down, everything else does too.”</w:t>
      </w:r>
    </w:p>
    <w:p>
      <w:r>
        <w:t xml:space="preserve">Central Corridor: “In Central Corridor, district capability gaps shape whether young adults can turn services into lasting outcomes.”</w:t>
      </w:r>
    </w:p>
    <w:p>
      <w:pPr>
        <w:pStyle w:val="Heading1"/>
      </w:pPr>
      <w:r>
        <w:t>Decision Intelligence</w:t>
      </w:r>
    </w:p>
    <w:p>
      <w:pPr>
        <w:pStyle w:val="Heading2"/>
      </w:pPr>
      <w:r>
        <w:t>DEC-NAT-01 CRITICAL</w:t>
      </w:r>
    </w:p>
    <w:p>
      <w:r>
        <w:t xml:space="preserve">Adopt a cabinet-owned human development delivery compact.</w:t>
      </w:r>
    </w:p>
    <w:p>
      <w:r>
        <w:t xml:space="preserve">Owner: Permanent Secretary • Timeline: 0–90 days • Budget: Medium — detailed costing and fiduciary review required • Indicator: Milestone completion rate tracked against the DEC-NAT-01 delivery plan</w:t>
      </w:r>
    </w:p>
    <w:p>
      <w:pPr>
        <w:pStyle w:val="Heading2"/>
      </w:pPr>
      <w:r>
        <w:t>DEC-NAT-02 CRITICAL</w:t>
      </w:r>
    </w:p>
    <w:p>
      <w:r>
        <w:t xml:space="preserve">Protect primary-care and foundational-learning allocations.</w:t>
      </w:r>
    </w:p>
    <w:p>
      <w:r>
        <w:t xml:space="preserve">Owner: Permanent Secretary • Timeline: 3–12 months • Budget: Medium to high — requires a dedicated budget line and phased release • Indicator: Proportion of agreed implementation steps verified on schedule for DEC-NAT-02</w:t>
      </w:r>
    </w:p>
    <w:p>
      <w:pPr>
        <w:pStyle w:val="Heading2"/>
      </w:pPr>
      <w:r>
        <w:t>DEC-NAT-03 HIGH</w:t>
      </w:r>
    </w:p>
    <w:p>
      <w:r>
        <w:t xml:space="preserve">Target social protection to overlapping deprivations.</w:t>
      </w:r>
    </w:p>
    <w:p>
      <w:r>
        <w:t xml:space="preserve">Owner: Permanent Secretary • Timeline: 3–12 months • Budget: Low — absorbable within existing allocations, subject to confirmation • Indicator: Quarterly-verified progress against the milestones agreed for this high-tier decision (DEC-NAT-03)</w:t>
      </w:r>
    </w:p>
    <w:p>
      <w:pPr>
        <w:pStyle w:val="Heading2"/>
      </w:pPr>
      <w:r>
        <w:t>DEC-NAT-04 HIGH</w:t>
      </w:r>
    </w:p>
    <w:p>
      <w:r>
        <w:t xml:space="preserve">Publish a gender-responsive district performance scorecard.</w:t>
      </w:r>
    </w:p>
    <w:p>
      <w:r>
        <w:t xml:space="preserve">Owner: Permanent Secretary • Timeline: 3–12 months • Budget: Low — deliverable inside the current operating budget with light validation • Indicator: Number of agreed milestones for DEC-NAT-04 confirmed complete at each quarterly review</w:t>
      </w:r>
    </w:p>
    <w:p>
      <w:pPr>
        <w:pStyle w:val="Heading2"/>
      </w:pPr>
      <w:r>
        <w:t>DEC-NAT-05 MEDIUM</w:t>
      </w:r>
    </w:p>
    <w:p>
      <w:r>
        <w:t xml:space="preserve">Run a twelve-month district capability accelerator.</w:t>
      </w:r>
    </w:p>
    <w:p>
      <w:r>
        <w:t xml:space="preserve">Owner: Permanent Secretary • Timeline: 6–18 months • Budget: Medium — likely fundable from existing lines, pending confirmation • Indicator: Percentage of agreed milestones completed for DEC-NAT-05</w:t>
      </w:r>
    </w:p>
    <w:p>
      <w:pPr>
        <w:pStyle w:val="Heading1"/>
      </w:pPr>
      <w:r>
        <w:t>Methodology</w:t>
      </w:r>
    </w:p>
    <w:p>
      <w:r>
        <w:t xml:space="preserve">research objectives: ["Assess human development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Tanzania</w:t>
      </w:r>
    </w:p>
    <w:p>
      <w:r>
        <w:t xml:space="preserve">sample size: 3342</w:t>
      </w:r>
    </w:p>
    <w:p>
      <w:r>
        <w:t xml:space="preserve">stratification: ["Region","Location type","Sex","Age","Disability"]</w:t>
      </w:r>
    </w:p>
    <w:p>
      <w:r>
        <w:t xml:space="preserve">weights: Normalized post-stratification weights</w:t>
      </w:r>
    </w:p>
    <w:p>
      <w:r>
        <w:t xml:space="preserve">confidence intervals: 95%</w:t>
      </w:r>
    </w:p>
    <w:p>
      <w:r>
        <w:t xml:space="preserve">design effect: 1.2</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DEC-NAT-01</w:t>
      </w:r>
    </w:p>
    <w:p>
      <w:r>
        <w:t xml:space="preserve">Adopt a cabinet-owned human development delivery compact.</w:t>
      </w:r>
    </w:p>
    <w:p>
      <w:r>
        <w:t xml:space="preserve">Owner: Permanent Secretary • Window: 0–90 days • Cost: Medium — detailed costing and fiduciary review required • Indicator: Milestone completion rate tracked against the DEC-NAT-01 delivery plan</w:t>
      </w:r>
    </w:p>
    <w:p>
      <w:pPr>
        <w:pStyle w:val="Heading2"/>
      </w:pPr>
      <w:r>
        <w:t>DEC-NAT-02</w:t>
      </w:r>
    </w:p>
    <w:p>
      <w:r>
        <w:t xml:space="preserve">Protect primary-care and foundational-learning allocations.</w:t>
      </w:r>
    </w:p>
    <w:p>
      <w:r>
        <w:t xml:space="preserve">Owner: Permanent Secretary • Window: 3–12 months • Cost: Medium to high — requires a dedicated budget line and phased release • Indicator: Proportion of agreed implementation steps verified on schedule for DEC-NAT-02</w:t>
      </w:r>
    </w:p>
    <w:p>
      <w:pPr>
        <w:pStyle w:val="Heading2"/>
      </w:pPr>
      <w:r>
        <w:t>DEC-NAT-03</w:t>
      </w:r>
    </w:p>
    <w:p>
      <w:r>
        <w:t xml:space="preserve">Target social protection to overlapping deprivations.</w:t>
      </w:r>
    </w:p>
    <w:p>
      <w:r>
        <w:t xml:space="preserve">Owner: Permanent Secretary • Window: 3–12 months • Cost: Low — absorbable within existing allocations, subject to confirmation • Indicator: Quarterly-verified progress against the milestones agreed for this high-tier decision (DEC-NAT-03)</w:t>
      </w:r>
    </w:p>
    <w:p>
      <w:pPr>
        <w:pStyle w:val="Heading2"/>
      </w:pPr>
      <w:r>
        <w:t>DEC-NAT-04</w:t>
      </w:r>
    </w:p>
    <w:p>
      <w:r>
        <w:t xml:space="preserve">Publish a gender-responsive district performance scorecard.</w:t>
      </w:r>
    </w:p>
    <w:p>
      <w:r>
        <w:t xml:space="preserve">Owner: Permanent Secretary • Window: 3–12 months • Cost: Low — deliverable inside the current operating budget with light validation • Indicator: Number of agreed milestones for DEC-NAT-04 confirmed complete at each quarterly review</w:t>
      </w:r>
    </w:p>
    <w:p>
      <w:pPr>
        <w:pStyle w:val="Heading2"/>
      </w:pPr>
      <w:r>
        <w:t>DEC-NAT-05</w:t>
      </w:r>
    </w:p>
    <w:p>
      <w:r>
        <w:t xml:space="preserve">Run a twelve-month district capability accelerator.</w:t>
      </w:r>
    </w:p>
    <w:p>
      <w:r>
        <w:t xml:space="preserve">Owner: Permanent Secretary • Window: 6–18 months • Cost: Medium — likely fundable from existing lines, pending confirmation • Indicator: Percentage of agreed milestones completed for DEC-NAT-05</w:t>
      </w:r>
    </w:p>
    <w:p>
      <w:pPr>
        <w:pStyle w:val="Heading1"/>
      </w:pPr>
      <w:r>
        <w:t>Evidence Lineage &amp; Citation Registry</w:t>
      </w:r>
    </w:p>
    <w:p>
      <w:r>
        <w:t xml:space="preserve">EVI-NAT-001: [object Object] • APPROVED_SYNTHETIC_DEMONSTRATION • 90%</w:t>
      </w:r>
    </w:p>
    <w:p>
      <w:r>
        <w:t xml:space="preserve">EVI-NAT-002: [object Object] • APPROVED_SYNTHETIC_DEMONSTRATION • 91%</w:t>
      </w:r>
    </w:p>
    <w:p>
      <w:r>
        <w:t xml:space="preserve">EVI-NAT-003: [object Object] • APPROVED_SYNTHETIC_DEMONSTRATION • 92%</w:t>
      </w:r>
    </w:p>
    <w:p>
      <w:r>
        <w:t xml:space="preserve">EVI-NAT-004: [object Object] • APPROVED_SYNTHETIC_DEMONSTRATION • 93%</w:t>
      </w:r>
    </w:p>
    <w:p>
      <w:r>
        <w:t xml:space="preserve">EVI-NAT-005: [object Object] • APPROVED_SYNTHETIC_DEMONSTRATION • 94%</w:t>
      </w:r>
    </w:p>
    <w:p>
      <w:r>
        <w:t xml:space="preserve">EVI-NAT-006: [object Object] • APPROVED_SYNTHETIC_DEMONSTRATION • 95%</w:t>
      </w:r>
    </w:p>
    <w:p>
      <w:r>
        <w:t xml:space="preserve">EVI-NAT-007: [object Object] • APPROVED_SYNTHETIC_DEMONSTRATION • 96%</w:t>
      </w:r>
    </w:p>
    <w:p>
      <w:r>
        <w:t xml:space="preserve">EVI-NAT-008: [object Object] • APPROVED_SYNTHETIC_DEMONSTRATION • 97%</w:t>
      </w:r>
    </w:p>
    <w:p>
      <w:r>
        <w:t xml:space="preserve">EVI-NAT-009: [object Object] • APPROVED_SYNTHETIC_DEMONSTRATION • 98%</w:t>
      </w:r>
    </w:p>
    <w:p>
      <w:r>
        <w:t xml:space="preserve">EVI-NAT-010: [object Object] • APPROVED_SYNTHETIC_DEMONSTRATION • 88%</w:t>
      </w:r>
    </w:p>
    <w:p>
      <w:r>
        <w:t xml:space="preserve">CIT-EVI-NAT-001: VoiceInsights Africa. National Human Development Intelligence Report. synthetic-national-human-development-2026.1, EVI-NAT-001, Q1: How does multidimensional poverty transitions affect human development outcomes in Lake Zone?</w:t>
      </w:r>
    </w:p>
    <w:p>
      <w:r>
        <w:t xml:space="preserve">CIT-EVI-NAT-002: VoiceInsights Africa. National Human Development Intelligence Report. synthetic-national-human-development-2026.1, EVI-NAT-002, Q2: How does primary healthcare continuity affect human development outcomes in Central Corridor?</w:t>
      </w:r>
    </w:p>
    <w:p>
      <w:r>
        <w:t xml:space="preserve">CIT-EVI-NAT-003: VoiceInsights Africa. National Human Development Intelligence Report. synthetic-national-human-development-2026.1, EVI-NAT-003, Q3: How does school-to-work mobility affect human development outcomes in Northern Highlands?</w:t>
      </w:r>
    </w:p>
    <w:p>
      <w:r>
        <w:t xml:space="preserve">CIT-EVI-NAT-004: VoiceInsights Africa. National Human Development Intelligence Report. synthetic-national-human-development-2026.1, EVI-NAT-004, Q4: How does gendered time poverty affect human development outcomes in Coastal Belt?</w:t>
      </w:r>
    </w:p>
    <w:p>
      <w:r>
        <w:t xml:space="preserve">CIT-EVI-NAT-005: VoiceInsights Africa. National Human Development Intelligence Report. synthetic-national-human-development-2026.1, EVI-NAT-005, Q5: How does district capability gaps affect human development outcomes in Lake Zone?</w:t>
      </w:r>
    </w:p>
    <w:p>
      <w:r>
        <w:t xml:space="preserve">CIT-EVI-NAT-006: VoiceInsights Africa. National Human Development Intelligence Report. synthetic-national-human-development-2026.1, EVI-NAT-006, Q6: How does multidimensional poverty transitions affect human development outcomes in Central Corridor?</w:t>
      </w:r>
    </w:p>
    <w:p>
      <w:r>
        <w:t xml:space="preserve">CIT-EVI-NAT-007: VoiceInsights Africa. National Human Development Intelligence Report. synthetic-national-human-development-2026.1, EVI-NAT-007, Q7: How does primary healthcare continuity affect human development outcomes in Northern Highlands?</w:t>
      </w:r>
    </w:p>
    <w:p>
      <w:r>
        <w:t xml:space="preserve">CIT-EVI-NAT-008: VoiceInsights Africa. National Human Development Intelligence Report. synthetic-national-human-development-2026.1, EVI-NAT-008, Q8: How does school-to-work mobility affect human development outcomes in Coastal Belt?</w:t>
      </w:r>
    </w:p>
    <w:p>
      <w:r>
        <w:t xml:space="preserve">CIT-EVI-NAT-009: VoiceInsights Africa. National Human Development Intelligence Report. synthetic-national-human-development-2026.1, EVI-NAT-009, Q9: How does gendered time poverty affect human development outcomes in Lake Zone?</w:t>
      </w:r>
    </w:p>
    <w:p>
      <w:r>
        <w:t xml:space="preserve">CIT-EVI-NAT-010: VoiceInsights Africa. National Human Development Intelligence Report. synthetic-national-human-development-2026.1, EVI-NAT-010, Q10: How does district capability gaps affect human development outcomes in Central Corridor?</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1: APPLIED_WHERE_RELEVANT — Mapped to EVI-NAT-001, EVI-NAT-002; Synthetic demonstration mapping; institutional validation not implied</w:t>
      </w:r>
    </w:p>
    <w:p>
      <w:r>
        <w:t xml:space="preserve">SDG 3: APPLIED_WHERE_RELEVANT — Mapped to EVI-NAT-002, EVI-NAT-003; Synthetic demonstration mapping; institutional validation not implied</w:t>
      </w:r>
    </w:p>
    <w:p>
      <w:r>
        <w:t xml:space="preserve">SDG 4: APPLIED_WHERE_RELEVANT — Mapped to EVI-NAT-003, EVI-NAT-004; Synthetic demonstration mapping; institutional validation not implied</w:t>
      </w:r>
    </w:p>
    <w:p>
      <w:r>
        <w:t xml:space="preserve">SDG 5: APPLIED_WHERE_RELEVANT — Mapped to EVI-NAT-004, EVI-NAT-005; Synthetic demonstration mapping; institutional validation not implied</w:t>
      </w:r>
    </w:p>
    <w:p>
      <w:r>
        <w:t xml:space="preserve">Leave No One Behind: APPLIED_WHERE_RELEVANT — Mapped to EVI-NAT-005, EVI-NAT-006; Synthetic demonstration mapping; institutional validation not implied</w:t>
      </w:r>
    </w:p>
    <w:p>
      <w:r>
        <w:t xml:space="preserve">Human Rights Based Approach: APPLIED_WHERE_RELEVANT — Mapped to EVI-NAT-006, EVI-NAT-007; Synthetic demonstration mapping; institutional validation not implied</w:t>
      </w:r>
    </w:p>
    <w:p>
      <w:r>
        <w:t xml:space="preserve">Evidence Traceability: APPLIED — Control linked to EVI-NAT-001 and the deterministic publication gate.</w:t>
      </w:r>
    </w:p>
    <w:p>
      <w:r>
        <w:t xml:space="preserve">Research Ethics: APPLIED — Control linked to EVI-NAT-002 and the deterministic publication gate.</w:t>
      </w:r>
    </w:p>
    <w:p>
      <w:r>
        <w:t xml:space="preserve">Data Protection: APPLIED — Control linked to EVI-NAT-003 and the deterministic publication gate.</w:t>
      </w:r>
    </w:p>
    <w:p>
      <w:r>
        <w:t xml:space="preserve">Accessibility: APPLIED — Control linked to EVI-NAT-004 and the deterministic publication gate.</w:t>
      </w:r>
    </w:p>
    <w:p>
      <w:r>
        <w:t xml:space="preserve">Responsible AI: APPLIED — Control linked to EVI-NAT-005 and the deterministic publication gate.</w:t>
      </w:r>
    </w:p>
    <w:p>
      <w:r>
        <w:t xml:space="preserve">Publication Integrity: APPLIED — Control linked to EVI-NAT-006 and the deterministic publication gate.</w:t>
      </w:r>
    </w:p>
    <w:p>
      <w:pPr>
        <w:pStyle w:val="Heading1"/>
      </w:pPr>
      <w:r>
        <w:t>SDG Contribution</w:t>
      </w:r>
    </w:p>
    <w:p>
      <w:r>
        <w:t xml:space="preserve">SDG 1: undefined — Indicators —</w:t>
      </w:r>
    </w:p>
    <w:p>
      <w:r>
        <w:t xml:space="preserve">SDG 3: undefined — Indicators —</w:t>
      </w:r>
    </w:p>
    <w:p>
      <w:r>
        <w:t xml:space="preserve">SDG 4: undefined — Indicators —</w:t>
      </w:r>
    </w:p>
    <w:p>
      <w:r>
        <w:t xml:space="preserve">SDG 5: undefined — Indicators —</w:t>
      </w:r>
    </w:p>
    <w:p>
      <w:pPr>
        <w:pStyle w:val="Heading1"/>
      </w:pPr>
      <w:r>
        <w:t>OECD-DAC Evaluation Criteria</w:t>
      </w:r>
    </w:p>
    <w:p>
      <w:r>
        <w:t xml:space="preserve">Relevance: Synthetic evidence indicates a strong relevance signal, subject to the stated design limitations. (88/100) — Review relevance evidence at the next formal management gate.</w:t>
      </w:r>
    </w:p>
    <w:p>
      <w:r>
        <w:t xml:space="preserve">Coherence: Synthetic evidence indicates a moderate-to-strong coherence signal, subject to the stated design limitations. (89/100) — Review coherence evidence at the next formal management gate.</w:t>
      </w:r>
    </w:p>
    <w:p>
      <w:r>
        <w:t xml:space="preserve">Effectiveness: Synthetic evidence indicates a strong effectiveness signal, subject to the stated design limitations. (90/100) — Review effectiveness evidence at the next formal management gate.</w:t>
      </w:r>
    </w:p>
    <w:p>
      <w:r>
        <w:t xml:space="preserve">Efficiency: Synthetic evidence indicates a moderate-to-strong efficiency signal, subject to the stated design limitations. (91/100) — Review efficiency evidence at the next formal management gate.</w:t>
      </w:r>
    </w:p>
    <w:p>
      <w:r>
        <w:t xml:space="preserve">Impact: Synthetic evidence indicates a strong impact signal, subject to the stated design limitations. (72/100) — Review impact evidence at the next formal management gate.</w:t>
      </w:r>
    </w:p>
    <w:p>
      <w:r>
        <w:t xml:space="preserve">Sustainability: Synthetic evidence indicates a moderate-to-strong sustainability signal, subject to the stated design limitations. (73/100) — Review sustainability evidence at the next formal management gate.</w:t>
      </w:r>
    </w:p>
    <w:p>
      <w:pPr>
        <w:pStyle w:val="Heading1"/>
      </w:pPr>
      <w:r>
        <w:t>Results-Based Management</w:t>
      </w:r>
    </w:p>
    <w:p>
      <w:r>
        <w:t xml:space="preserve">Impact: Sustained, equitable improvement in human development performance</w:t>
      </w:r>
    </w:p>
    <w:p>
      <w:r>
        <w:t xml:space="preserve">OC-01: Improved human development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EVI-NAT-001 • survey • SYN-NATI-0001 • APPROVED • 90%</w:t>
      </w:r>
    </w:p>
    <w:p>
      <w:r>
        <w:t xml:space="preserve">EVI-NAT-002 • key_informant_interview • SYN-NATI-0002 • APPROVED • 91%</w:t>
      </w:r>
    </w:p>
    <w:p>
      <w:r>
        <w:t xml:space="preserve">EVI-NAT-003 • administrative_record • SYN-NATI-0003 • APPROVED • 92%</w:t>
      </w:r>
    </w:p>
    <w:p>
      <w:r>
        <w:t xml:space="preserve">EVI-NAT-004 • survey • SYN-NATI-0004 • APPROVED • 93%</w:t>
      </w:r>
    </w:p>
    <w:p>
      <w:r>
        <w:t xml:space="preserve">EVI-NAT-005 • key_informant_interview • SYN-NATI-0005 • APPROVED • 94%</w:t>
      </w:r>
    </w:p>
    <w:p>
      <w:r>
        <w:t xml:space="preserve">EVI-NAT-006 • administrative_record • SYN-NATI-0006 • APPROVED • 95%</w:t>
      </w:r>
    </w:p>
    <w:p>
      <w:r>
        <w:t xml:space="preserve">EVI-NAT-007 • survey • SYN-NATI-0007 • APPROVED • 96%</w:t>
      </w:r>
    </w:p>
    <w:p>
      <w:r>
        <w:t xml:space="preserve">EVI-NAT-008 • key_informant_interview • SYN-NATI-0008 • APPROVED • 97%</w:t>
      </w:r>
    </w:p>
    <w:p>
      <w:r>
        <w:t xml:space="preserve">EVI-NAT-009 • administrative_record • SYN-NATI-0009 • APPROVED • 98%</w:t>
      </w:r>
    </w:p>
    <w:p>
      <w:r>
        <w:t xml:space="preserve">EVI-NAT-010 • survey • SYN-NATI-0010 • APPROVED • 88%</w:t>
      </w:r>
    </w:p>
    <w:p>
      <w:pPr>
        <w:pStyle w:val="Heading1"/>
      </w:pPr>
      <w:r>
        <w:t>Data Dictionary</w:t>
      </w:r>
    </w:p>
    <w:p>
      <w:r>
        <w:t xml:space="preserve">indicator_1: Synthetic Human Development indicator 1; numeric; allowed: 0–100; missing: NA</w:t>
      </w:r>
    </w:p>
    <w:p>
      <w:r>
        <w:t xml:space="preserve">indicator_2: Synthetic Human Development indicator 2; categorical; allowed: Documented code list; missing: NA</w:t>
      </w:r>
    </w:p>
    <w:p>
      <w:r>
        <w:t xml:space="preserve">indicator_3: Synthetic Human Development indicator 3; categorical; allowed: Documented code list; missing: NA</w:t>
      </w:r>
    </w:p>
    <w:p>
      <w:r>
        <w:t xml:space="preserve">indicator_4: Synthetic Human Development indicator 4; numeric; allowed: 0–100; missing: NA</w:t>
      </w:r>
    </w:p>
    <w:p>
      <w:r>
        <w:t xml:space="preserve">indicator_5: Synthetic Human Development indicator 5; categorical; allowed: Documented code list; missing: NA</w:t>
      </w:r>
    </w:p>
    <w:p>
      <w:r>
        <w:t xml:space="preserve">indicator_6: Synthetic Human Development indicator 6; categorical; allowed: Documented code list; missing: NA</w:t>
      </w:r>
    </w:p>
    <w:p>
      <w:r>
        <w:t xml:space="preserve">indicator_7: Synthetic Human Development indicator 7; numeric; allowed: 0–100; missing: NA</w:t>
      </w:r>
    </w:p>
    <w:p>
      <w:r>
        <w:t xml:space="preserve">indicator_8: Synthetic Human Development indicator 8; categorical; allowed: Documented code list; missing: NA</w:t>
      </w:r>
    </w:p>
    <w:p>
      <w:r>
        <w:t xml:space="preserve">indicator_9: Synthetic Human Development indicator 9; categorical; allowed: Documented code list; missing: NA</w:t>
      </w:r>
    </w:p>
    <w:p>
      <w:r>
        <w:t xml:space="preserve">indicator_10: Synthetic Human Development indicator 10; numeric; allowed: 0–100; missing: NA</w:t>
      </w:r>
    </w:p>
    <w:p>
      <w:r>
        <w:t xml:space="preserve">indicator_11: Synthetic Human Development indicator 11; categorical; allowed: Documented code list; missing: NA</w:t>
      </w:r>
    </w:p>
    <w:p>
      <w:r>
        <w:t xml:space="preserve">indicator_12: Synthetic Human Development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