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200"/>
      </w:pPr>
      <w:r>
        <w:rPr>
          <w:b/>
          <w:sz w:val="42"/>
        </w:rPr>
        <w:t>Nutrition Security Intelligence Report</w:t>
      </w:r>
    </w:p>
    <w:p>
      <w:r>
        <w:t xml:space="preserve">VoiceInsights Africa — Full Synthetic Demonstration Publication</w:t>
      </w:r>
    </w:p>
    <w:p>
      <w:r>
        <w:t xml:space="preserve">Synthetic Demonstration Publication produced by VoiceInsights Africa. All people, quotations, locations and statistics are synthetic, internally governed demonstration content and are not official statistics.</w:t>
      </w:r>
    </w:p>
    <w:p>
      <w:pPr>
        <w:pStyle w:val="Heading1"/>
      </w:pPr>
      <w:r>
        <w:t>Executive Intelligence</w:t>
      </w:r>
    </w:p>
    <w:p>
      <w:r>
        <w:t xml:space="preserve">This is not a status update on nutrition security performance in Zambia — it is a decision brief. The governed evidence behind it shows uneven progress, concentrated risk, and a small number of opportunities worth acting on now. Nothing here is asserted without a source: findings are evidence-linked, recommendations are owned, and the underlying dataset is internally consistent throughout.</w:t>
      </w:r>
    </w:p>
    <w:p>
      <w:pPr>
        <w:pStyle w:val="Heading1"/>
      </w:pPr>
      <w:r>
        <w:t>Table of Contents</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r>
        <w:t xml:space="preserve">undefined — undefined</w:t>
      </w:r>
    </w:p>
    <w:p>
      <w:pPr>
        <w:pStyle w:val="Heading1"/>
      </w:pPr>
      <w:r>
        <w:t>Critical Findings</w:t>
      </w:r>
    </w:p>
    <w:p>
      <w:pPr>
        <w:pStyle w:val="Heading2"/>
      </w:pPr>
      <w:r>
        <w:t>Household food access</w:t>
      </w:r>
    </w:p>
    <w:p>
      <w:r>
        <w:t xml:space="preserve">Household food access has become an accountability question rather than a measurement question. Evidence from Eastern Province places the signal at 74% and shows that rural women experience the largest gap between policy intent and lived delivery. The choice facing nutrition security leadership in Zambia is straightforward even if the fix is not: act on household food access now, concentrated in Eastern Province where rural women carry the largest share of the gap, or accept a wider gap in a year's time.</w:t>
      </w:r>
    </w:p>
    <w:p>
      <w:r>
        <w:t xml:space="preserve">Evidence: EVI-NUT-001, EVI-NUT-004 • Confidence 90.5%</w:t>
      </w:r>
    </w:p>
    <w:p>
      <w:pPr>
        <w:pStyle w:val="Heading2"/>
      </w:pPr>
      <w:r>
        <w:t>Infant and young child feeding practices</w:t>
      </w:r>
    </w:p>
    <w:p>
      <w:r>
        <w:t xml:space="preserve">75%. That is the infant and young child feeding practices signal recorded in Southern Province, and the headline figure understates the problem: disaggregated by group, young adults sit well below it. The clearest gap sits in Southern Province, concentrated among young adults. A twelve-month delay would let the gap compound into a harder, costlier problem.</w:t>
      </w:r>
    </w:p>
    <w:p>
      <w:r>
        <w:t xml:space="preserve">Evidence: EVI-NUT-002, EVI-NUT-005 • Confidence 91.5%</w:t>
      </w:r>
    </w:p>
    <w:p>
      <w:pPr>
        <w:pStyle w:val="Heading2"/>
      </w:pPr>
      <w:r>
        <w:t>Micronutrient supplementation coverage</w:t>
      </w:r>
    </w:p>
    <w:p>
      <w:r>
        <w:t xml:space="preserve">The aggregate result conceals a material implementation divide. Luapula Province records a 76% signal for micronutrient supplementation coverage; the shortfall is concentrated among persons with disabilities, where service continuity and confidence move together. Of every study area examined in Zambia, micronutrient supplementation coverage shows up hardest there, and persons with disabilities feel it most. A year of inaction would turn a gap into a pattern that is far harder to reverse.</w:t>
      </w:r>
    </w:p>
    <w:p>
      <w:r>
        <w:t xml:space="preserve">Evidence: EVI-NUT-003, EVI-NUT-006 • Confidence 92.5%</w:t>
      </w:r>
    </w:p>
    <w:p>
      <w:pPr>
        <w:pStyle w:val="Heading2"/>
      </w:pPr>
      <w:r>
        <w:t>Care-practice knowledge gaps</w:t>
      </w:r>
    </w:p>
    <w:p>
      <w:r>
        <w:t xml:space="preserve">Two things are true at once about care-practice knowledge gaps. The national picture is improving, and Western Province — where frontline workers report a 77% signal — is not improving fast enough to close the gap. Nutrition security performance in Zambia looks stable in aggregate but splits sharply once care-practice knowledge gaps are disaggregated. Western Province anchors the low end, and frontline workers bear most of that shortfall — a pattern that risks compounding without intervention within the year.</w:t>
      </w:r>
    </w:p>
    <w:p>
      <w:r>
        <w:t xml:space="preserve">Evidence: EVI-NUT-004, EVI-NUT-007 • Confidence 93.5%</w:t>
      </w:r>
    </w:p>
    <w:p>
      <w:pPr>
        <w:pStyle w:val="Heading2"/>
      </w:pPr>
      <w:r>
        <w:t>Seasonal food-security volatility</w:t>
      </w:r>
    </w:p>
    <w:p>
      <w:r>
        <w:t xml:space="preserve">Progress on seasonal food-security volatility remains visible but not yet durable. The 78% result in Eastern Province weakens after disaggregation, particularly for low-income households, suggesting that current gains depend on delivery conditions that remain fragile. This is not a new problem.</w:t>
      </w:r>
    </w:p>
    <w:p>
      <w:r>
        <w:t xml:space="preserve">Evidence: EVI-NUT-005, EVI-NUT-008 • Confidence 94.5%</w:t>
      </w:r>
    </w:p>
    <w:p>
      <w:pPr>
        <w:pStyle w:val="Heading1"/>
      </w:pPr>
      <w:r>
        <w:t>Regional Intelligence</w:t>
      </w:r>
    </w:p>
    <w:p>
      <w:r>
        <w:t xml:space="preserve">Eastern Province: 54% • 1265 responses • Risk CRITICAL</w:t>
      </w:r>
    </w:p>
    <w:p>
      <w:r>
        <w:t xml:space="preserve">Southern Province: 55% • 1099 responses • Risk CRITICAL</w:t>
      </w:r>
    </w:p>
    <w:p>
      <w:r>
        <w:t xml:space="preserve">Luapula Province: 56% • 936 responses • Risk CRITICAL</w:t>
      </w:r>
    </w:p>
    <w:p>
      <w:r>
        <w:t xml:space="preserve">Western Province: 57% • 773 responses • Risk CRITICAL</w:t>
      </w:r>
    </w:p>
    <w:p>
      <w:pPr>
        <w:pStyle w:val="Heading1"/>
      </w:pPr>
      <w:r>
        <w:t>Indicators and Target Gaps</w:t>
      </w:r>
    </w:p>
    <w:p>
      <w:r>
        <w:t xml:space="preserve">IND-01 Stunting prevalence: 72% vs 79% — WATCH</w:t>
      </w:r>
    </w:p>
    <w:p>
      <w:r>
        <w:t xml:space="preserve">IND-02 Infant and young child feeding practice score: 73% vs 80% — WATCH</w:t>
      </w:r>
    </w:p>
    <w:p>
      <w:r>
        <w:t xml:space="preserve">IND-03 Micronutrient supplementation coverage: 74% vs 81% — WATCH</w:t>
      </w:r>
    </w:p>
    <w:p>
      <w:r>
        <w:t xml:space="preserve">IND-04 Household food-access score: 75% vs 82% — WATCH</w:t>
      </w:r>
    </w:p>
    <w:p>
      <w:pPr>
        <w:pStyle w:val="Heading1"/>
      </w:pPr>
      <w:r>
        <w:t>Respondent Voice</w:t>
      </w:r>
    </w:p>
    <w:p>
      <w:r>
        <w:t xml:space="preserve">Eastern Province: “Rural women in Eastern Province frame it simply: when household food access breaks down, everything else does too.”</w:t>
      </w:r>
    </w:p>
    <w:p>
      <w:r>
        <w:t xml:space="preserve">Southern Province: “In Southern Province, infant and young child feeding practices shape whether young adults can turn services into lasting outcomes.”</w:t>
      </w:r>
    </w:p>
    <w:p>
      <w:r>
        <w:t xml:space="preserve">Luapula Province: “Persons with disabilities in Luapula Province put it plainly: micronutrient supplementation coverage is what decides whether progress holds or slips back.”</w:t>
      </w:r>
    </w:p>
    <w:p>
      <w:r>
        <w:t xml:space="preserve">Western Province: “Why does Western Province lag behind? Ask frontline workers, and the answer comes back to care-practice knowledge gaps.”</w:t>
      </w:r>
    </w:p>
    <w:p>
      <w:r>
        <w:t xml:space="preserve">Eastern Province: “Elsewhere, seasonal food-security volatility might be a footnote. For low-income households in Eastern Province, it is the whole story.”</w:t>
      </w:r>
    </w:p>
    <w:p>
      <w:r>
        <w:t xml:space="preserve">Southern Province: “Service managers in Southern Province frame it simply: when household food access breaks down, everything else does too.”</w:t>
      </w:r>
    </w:p>
    <w:p>
      <w:r>
        <w:t xml:space="preserve">Luapula Province: “In Luapula Province, infant and young child feeding practices shape whether community leaders can turn services into lasting outcomes.”</w:t>
      </w:r>
    </w:p>
    <w:p>
      <w:r>
        <w:t xml:space="preserve">Western Province: “Private-sector partners in Western Province put it plainly: micronutrient supplementation coverage is what decides whether progress holds or slips back.”</w:t>
      </w:r>
    </w:p>
    <w:p>
      <w:r>
        <w:t xml:space="preserve">Eastern Province: “Why does Eastern Province lag behind? Ask rural women, and the answer comes back to care-practice knowledge gaps.”</w:t>
      </w:r>
    </w:p>
    <w:p>
      <w:r>
        <w:t xml:space="preserve">Southern Province: “Elsewhere, seasonal food-security volatility might be a footnote. For young adults in Southern Province, it is the whole story.”</w:t>
      </w:r>
    </w:p>
    <w:p>
      <w:pPr>
        <w:pStyle w:val="Heading1"/>
      </w:pPr>
      <w:r>
        <w:t>Decision Intelligence</w:t>
      </w:r>
    </w:p>
    <w:p>
      <w:pPr>
        <w:pStyle w:val="Heading2"/>
      </w:pPr>
      <w:r>
        <w:t>DEC-NUT-01 CRITICAL</w:t>
      </w:r>
    </w:p>
    <w:p>
      <w:r>
        <w:t xml:space="preserve">Target food-access interventions in the highest-stunting districts.</w:t>
      </w:r>
    </w:p>
    <w:p>
      <w:r>
        <w:t xml:space="preserve">Owner: Country Director / Programme Executive • Timeline: 0–90 days • Budget: Medium — detailed costing and fiduciary review required • Indicator: Number of agreed milestones for DEC-NUT-01 confirmed complete at each quarterly review</w:t>
      </w:r>
    </w:p>
    <w:p>
      <w:pPr>
        <w:pStyle w:val="Heading2"/>
      </w:pPr>
      <w:r>
        <w:t>DEC-NUT-02 CRITICAL</w:t>
      </w:r>
    </w:p>
    <w:p>
      <w:r>
        <w:t xml:space="preserve">Scale infant and young child feeding counselling at community level.</w:t>
      </w:r>
    </w:p>
    <w:p>
      <w:r>
        <w:t xml:space="preserve">Owner: Country Director / Programme Executive • Timeline: 3–12 months • Budget: Medium to high — requires a dedicated budget line and phased release • Indicator: Percentage of agreed milestones completed for DEC-NUT-02</w:t>
      </w:r>
    </w:p>
    <w:p>
      <w:pPr>
        <w:pStyle w:val="Heading2"/>
      </w:pPr>
      <w:r>
        <w:t>DEC-NUT-03 HIGH</w:t>
      </w:r>
    </w:p>
    <w:p>
      <w:r>
        <w:t xml:space="preserve">Close micronutrient supplementation coverage gaps.</w:t>
      </w:r>
    </w:p>
    <w:p>
      <w:r>
        <w:t xml:space="preserve">Owner: Country Director / Programme Executive • Timeline: 3–12 months • Budget: Low — deliverable inside the current operating budget with light validation • Indicator: Share of the high-tier delivery plan confirmed complete each quarter (DEC-NUT-03)</w:t>
      </w:r>
    </w:p>
    <w:p>
      <w:pPr>
        <w:pStyle w:val="Heading2"/>
      </w:pPr>
      <w:r>
        <w:t>DEC-NUT-04 HIGH</w:t>
      </w:r>
    </w:p>
    <w:p>
      <w:r>
        <w:t xml:space="preserve">Address care-practice knowledge gaps through community health workers.</w:t>
      </w:r>
    </w:p>
    <w:p>
      <w:r>
        <w:t xml:space="preserve">Owner: Country Director / Programme Executive • Timeline: 3–12 months • Budget: Medium — likely fundable from existing lines, pending confirmation • Indicator: Milestone completion rate tracked against the DEC-NUT-04 delivery plan</w:t>
      </w:r>
    </w:p>
    <w:p>
      <w:pPr>
        <w:pStyle w:val="Heading2"/>
      </w:pPr>
      <w:r>
        <w:t>DEC-NUT-05 MEDIUM</w:t>
      </w:r>
    </w:p>
    <w:p>
      <w:r>
        <w:t xml:space="preserve">Build seasonal food-security early-response planning.</w:t>
      </w:r>
    </w:p>
    <w:p>
      <w:r>
        <w:t xml:space="preserve">Owner: Country Director / Programme Executive • Timeline: 6–18 months • Budget: Low to medium — validate through the formal planning cycle • Indicator: Proportion of agreed implementation steps verified on schedule for DEC-NUT-05</w:t>
      </w:r>
    </w:p>
    <w:p>
      <w:pPr>
        <w:pStyle w:val="Heading1"/>
      </w:pPr>
      <w:r>
        <w:t>Methodology</w:t>
      </w:r>
    </w:p>
    <w:p>
      <w:r>
        <w:t xml:space="preserve">research objectives: ["Assess nutrition security performance and equity","Identify operational drivers and decision priorities"]</w:t>
      </w:r>
    </w:p>
    <w:p>
      <w:r>
        <w:t xml:space="preserve">evaluation questions: ["What outcomes are changing?","Who is being left behind?","Which actions are most likely to improve performance?"]</w:t>
      </w:r>
    </w:p>
    <w:p>
      <w:r>
        <w:t xml:space="preserve">sampling frame: Synthetic programme population frame for Zambia</w:t>
      </w:r>
    </w:p>
    <w:p>
      <w:r>
        <w:t xml:space="preserve">sample size: 4073</w:t>
      </w:r>
    </w:p>
    <w:p>
      <w:r>
        <w:t xml:space="preserve">stratification: ["Region","Location type","Sex","Age","Disability"]</w:t>
      </w:r>
    </w:p>
    <w:p>
      <w:r>
        <w:t xml:space="preserve">weights: Normalized post-stratification weights</w:t>
      </w:r>
    </w:p>
    <w:p>
      <w:r>
        <w:t xml:space="preserve">confidence intervals: 95%</w:t>
      </w:r>
    </w:p>
    <w:p>
      <w:r>
        <w:t xml:space="preserve">design effect: 1.4</w:t>
      </w:r>
    </w:p>
    <w:p>
      <w:r>
        <w:t xml:space="preserve">missing data: Documented and sensitivity-tested</w:t>
      </w:r>
    </w:p>
    <w:p>
      <w:r>
        <w:t xml:space="preserve">reliability: Cronbach alpha 0.86</w:t>
      </w:r>
    </w:p>
    <w:p>
      <w:r>
        <w:t xml:space="preserve">validity: Content and construct validity checks</w:t>
      </w:r>
    </w:p>
    <w:p>
      <w:r>
        <w:t xml:space="preserve">metadata: Complete synthetic data dictionary and lineage registry</w:t>
      </w:r>
    </w:p>
    <w:p>
      <w:pPr>
        <w:pStyle w:val="Heading1"/>
      </w:pPr>
      <w:r>
        <w:t>Institutional &amp; Methodology Assurance</w:t>
      </w:r>
    </w:p>
    <w:p>
      <w:r>
        <w:t xml:space="preserve">protocol: Governed synthetic research protocol with sampling, weighting, reliability, validity and reproducibility controls</w:t>
      </w:r>
    </w:p>
    <w:p>
      <w:r>
        <w:t xml:space="preserve">ethics: Synthetic records only; no real participants or personal data</w:t>
      </w:r>
    </w:p>
    <w:p>
      <w:r>
        <w:t xml:space="preserve">peer review: Independent synthetic-publication review checklist completed</w:t>
      </w:r>
    </w:p>
    <w:p>
      <w:r>
        <w:t xml:space="preserve">reproducibility: Deterministic inputs, versioned dataset and export manifest</w:t>
      </w:r>
    </w:p>
    <w:p>
      <w:pPr>
        <w:pStyle w:val="Heading1"/>
      </w:pPr>
      <w:r>
        <w:t>Analytical Depth &amp; Reproducibility</w:t>
      </w:r>
    </w:p>
    <w:p>
      <w:r>
        <w:t xml:space="preserve">inferential statistics: Enabled where assumptions and design permit</w:t>
      </w:r>
    </w:p>
    <w:p>
      <w:r>
        <w:t xml:space="preserve">segmentation: Evidence-led segments</w:t>
      </w:r>
    </w:p>
    <w:p>
      <w:r>
        <w:t xml:space="preserve">trend analysis: Three-period synthetic series</w:t>
      </w:r>
    </w:p>
    <w:p>
      <w:pPr>
        <w:pStyle w:val="Heading1"/>
      </w:pPr>
      <w:r>
        <w:t>Decision Architecture</w:t>
      </w:r>
    </w:p>
    <w:p>
      <w:pPr>
        <w:pStyle w:val="Heading2"/>
      </w:pPr>
      <w:r>
        <w:t>DEC-NUT-01</w:t>
      </w:r>
    </w:p>
    <w:p>
      <w:r>
        <w:t xml:space="preserve">Target food-access interventions in the highest-stunting districts.</w:t>
      </w:r>
    </w:p>
    <w:p>
      <w:r>
        <w:t xml:space="preserve">Owner: Country Director / Programme Executive • Window: 0–90 days • Cost: Medium — detailed costing and fiduciary review required • Indicator: Number of agreed milestones for DEC-NUT-01 confirmed complete at each quarterly review</w:t>
      </w:r>
    </w:p>
    <w:p>
      <w:pPr>
        <w:pStyle w:val="Heading2"/>
      </w:pPr>
      <w:r>
        <w:t>DEC-NUT-02</w:t>
      </w:r>
    </w:p>
    <w:p>
      <w:r>
        <w:t xml:space="preserve">Scale infant and young child feeding counselling at community level.</w:t>
      </w:r>
    </w:p>
    <w:p>
      <w:r>
        <w:t xml:space="preserve">Owner: Country Director / Programme Executive • Window: 3–12 months • Cost: Medium to high — requires a dedicated budget line and phased release • Indicator: Percentage of agreed milestones completed for DEC-NUT-02</w:t>
      </w:r>
    </w:p>
    <w:p>
      <w:pPr>
        <w:pStyle w:val="Heading2"/>
      </w:pPr>
      <w:r>
        <w:t>DEC-NUT-03</w:t>
      </w:r>
    </w:p>
    <w:p>
      <w:r>
        <w:t xml:space="preserve">Close micronutrient supplementation coverage gaps.</w:t>
      </w:r>
    </w:p>
    <w:p>
      <w:r>
        <w:t xml:space="preserve">Owner: Country Director / Programme Executive • Window: 3–12 months • Cost: Low — deliverable inside the current operating budget with light validation • Indicator: Share of the high-tier delivery plan confirmed complete each quarter (DEC-NUT-03)</w:t>
      </w:r>
    </w:p>
    <w:p>
      <w:pPr>
        <w:pStyle w:val="Heading2"/>
      </w:pPr>
      <w:r>
        <w:t>DEC-NUT-04</w:t>
      </w:r>
    </w:p>
    <w:p>
      <w:r>
        <w:t xml:space="preserve">Address care-practice knowledge gaps through community health workers.</w:t>
      </w:r>
    </w:p>
    <w:p>
      <w:r>
        <w:t xml:space="preserve">Owner: Country Director / Programme Executive • Window: 3–12 months • Cost: Medium — likely fundable from existing lines, pending confirmation • Indicator: Milestone completion rate tracked against the DEC-NUT-04 delivery plan</w:t>
      </w:r>
    </w:p>
    <w:p>
      <w:pPr>
        <w:pStyle w:val="Heading2"/>
      </w:pPr>
      <w:r>
        <w:t>DEC-NUT-05</w:t>
      </w:r>
    </w:p>
    <w:p>
      <w:r>
        <w:t xml:space="preserve">Build seasonal food-security early-response planning.</w:t>
      </w:r>
    </w:p>
    <w:p>
      <w:r>
        <w:t xml:space="preserve">Owner: Country Director / Programme Executive • Window: 6–18 months • Cost: Low to medium — validate through the formal planning cycle • Indicator: Proportion of agreed implementation steps verified on schedule for DEC-NUT-05</w:t>
      </w:r>
    </w:p>
    <w:p>
      <w:pPr>
        <w:pStyle w:val="Heading1"/>
      </w:pPr>
      <w:r>
        <w:t>Evidence Lineage &amp; Citation Registry</w:t>
      </w:r>
    </w:p>
    <w:p>
      <w:r>
        <w:t xml:space="preserve">EVI-NUT-001: [object Object] • APPROVED_SYNTHETIC_DEMONSTRATION • 89%</w:t>
      </w:r>
    </w:p>
    <w:p>
      <w:r>
        <w:t xml:space="preserve">EVI-NUT-002: [object Object] • APPROVED_SYNTHETIC_DEMONSTRATION • 90%</w:t>
      </w:r>
    </w:p>
    <w:p>
      <w:r>
        <w:t xml:space="preserve">EVI-NUT-003: [object Object] • APPROVED_SYNTHETIC_DEMONSTRATION • 91%</w:t>
      </w:r>
    </w:p>
    <w:p>
      <w:r>
        <w:t xml:space="preserve">EVI-NUT-004: [object Object] • APPROVED_SYNTHETIC_DEMONSTRATION • 92%</w:t>
      </w:r>
    </w:p>
    <w:p>
      <w:r>
        <w:t xml:space="preserve">EVI-NUT-005: [object Object] • APPROVED_SYNTHETIC_DEMONSTRATION • 93%</w:t>
      </w:r>
    </w:p>
    <w:p>
      <w:r>
        <w:t xml:space="preserve">EVI-NUT-006: [object Object] • APPROVED_SYNTHETIC_DEMONSTRATION • 94%</w:t>
      </w:r>
    </w:p>
    <w:p>
      <w:r>
        <w:t xml:space="preserve">EVI-NUT-007: [object Object] • APPROVED_SYNTHETIC_DEMONSTRATION • 95%</w:t>
      </w:r>
    </w:p>
    <w:p>
      <w:r>
        <w:t xml:space="preserve">EVI-NUT-008: [object Object] • APPROVED_SYNTHETIC_DEMONSTRATION • 96%</w:t>
      </w:r>
    </w:p>
    <w:p>
      <w:r>
        <w:t xml:space="preserve">EVI-NUT-009: [object Object] • APPROVED_SYNTHETIC_DEMONSTRATION • 97%</w:t>
      </w:r>
    </w:p>
    <w:p>
      <w:r>
        <w:t xml:space="preserve">EVI-NUT-010: [object Object] • APPROVED_SYNTHETIC_DEMONSTRATION • 98%</w:t>
      </w:r>
    </w:p>
    <w:p>
      <w:r>
        <w:t xml:space="preserve">CIT-EVI-NUT-001: VoiceInsights Africa. Nutrition Security Intelligence Report. synthetic-nutrition-security-intelligence-2026.1, EVI-NUT-001, Q1: How does household food access affect nutrition security outcomes in Eastern Province?</w:t>
      </w:r>
    </w:p>
    <w:p>
      <w:r>
        <w:t xml:space="preserve">CIT-EVI-NUT-002: VoiceInsights Africa. Nutrition Security Intelligence Report. synthetic-nutrition-security-intelligence-2026.1, EVI-NUT-002, Q2: How does infant and young child feeding practices affect nutrition security outcomes in Southern Province?</w:t>
      </w:r>
    </w:p>
    <w:p>
      <w:r>
        <w:t xml:space="preserve">CIT-EVI-NUT-003: VoiceInsights Africa. Nutrition Security Intelligence Report. synthetic-nutrition-security-intelligence-2026.1, EVI-NUT-003, Q3: How does micronutrient supplementation coverage affect nutrition security outcomes in Luapula Province?</w:t>
      </w:r>
    </w:p>
    <w:p>
      <w:r>
        <w:t xml:space="preserve">CIT-EVI-NUT-004: VoiceInsights Africa. Nutrition Security Intelligence Report. synthetic-nutrition-security-intelligence-2026.1, EVI-NUT-004, Q4: How does care-practice knowledge gaps affect nutrition security outcomes in Western Province?</w:t>
      </w:r>
    </w:p>
    <w:p>
      <w:r>
        <w:t xml:space="preserve">CIT-EVI-NUT-005: VoiceInsights Africa. Nutrition Security Intelligence Report. synthetic-nutrition-security-intelligence-2026.1, EVI-NUT-005, Q5: How does seasonal food-security volatility affect nutrition security outcomes in Eastern Province?</w:t>
      </w:r>
    </w:p>
    <w:p>
      <w:r>
        <w:t xml:space="preserve">CIT-EVI-NUT-006: VoiceInsights Africa. Nutrition Security Intelligence Report. synthetic-nutrition-security-intelligence-2026.1, EVI-NUT-006, Q6: How does household food access affect nutrition security outcomes in Southern Province?</w:t>
      </w:r>
    </w:p>
    <w:p>
      <w:r>
        <w:t xml:space="preserve">CIT-EVI-NUT-007: VoiceInsights Africa. Nutrition Security Intelligence Report. synthetic-nutrition-security-intelligence-2026.1, EVI-NUT-007, Q7: How does infant and young child feeding practices affect nutrition security outcomes in Luapula Province?</w:t>
      </w:r>
    </w:p>
    <w:p>
      <w:r>
        <w:t xml:space="preserve">CIT-EVI-NUT-008: VoiceInsights Africa. Nutrition Security Intelligence Report. synthetic-nutrition-security-intelligence-2026.1, EVI-NUT-008, Q8: How does micronutrient supplementation coverage affect nutrition security outcomes in Western Province?</w:t>
      </w:r>
    </w:p>
    <w:p>
      <w:r>
        <w:t xml:space="preserve">CIT-EVI-NUT-009: VoiceInsights Africa. Nutrition Security Intelligence Report. synthetic-nutrition-security-intelligence-2026.1, EVI-NUT-009, Q9: How does care-practice knowledge gaps affect nutrition security outcomes in Eastern Province?</w:t>
      </w:r>
    </w:p>
    <w:p>
      <w:r>
        <w:t xml:space="preserve">CIT-EVI-NUT-010: VoiceInsights Africa. Nutrition Security Intelligence Report. synthetic-nutrition-security-intelligence-2026.1, EVI-NUT-010, Q10: How does seasonal food-security volatility affect nutrition security outcomes in Southern Province?</w:t>
      </w:r>
    </w:p>
    <w:p>
      <w:pPr>
        <w:pStyle w:val="Heading1"/>
      </w:pPr>
      <w:r>
        <w:t>Publication Architecture</w:t>
      </w:r>
    </w:p>
    <w:p>
      <w:r>
        <w:t xml:space="preserve">Executive Intelligence Book (2–7): Executive brief; Decision snapshot; Risks; Opportunities; Budget implications</w:t>
      </w:r>
    </w:p>
    <w:p>
      <w:r>
        <w:t xml:space="preserve">Evidence Intelligence Book (8–15): Critical findings; Respondent voice; Evidence chains; Citation registry</w:t>
      </w:r>
    </w:p>
    <w:p>
      <w:r>
        <w:t xml:space="preserve">Statistical Intelligence Book (16–22): Sampling; Weighting; Uncertainty; Reliability; Model diagnostics</w:t>
      </w:r>
    </w:p>
    <w:p>
      <w:r>
        <w:t xml:space="preserve">Decision Intelligence Book (23–27): Decision matrix; Ownership; Budget; Roadmap; Management response</w:t>
      </w:r>
    </w:p>
    <w:p>
      <w:r>
        <w:t xml:space="preserve">Standards &amp; Assurance (28–31): Relevant frameworks; Safeguarding; Privacy; Responsible AI; Accessibility</w:t>
      </w:r>
    </w:p>
    <w:p>
      <w:r>
        <w:t xml:space="preserve">Technical Appendices (32–34): Data dictionary; Quality gate; Export manifest; Responsible-use notice</w:t>
      </w:r>
    </w:p>
    <w:p>
      <w:pPr>
        <w:pStyle w:val="Heading1"/>
      </w:pPr>
      <w:r>
        <w:t>Peer Review &amp; Accessibility</w:t>
      </w:r>
    </w:p>
    <w:p>
      <w:r>
        <w:t xml:space="preserve">wcag target: WCAG 2.2 AA</w:t>
      </w:r>
    </w:p>
    <w:p>
      <w:r>
        <w:t xml:space="preserve">tagged pdf required: true</w:t>
      </w:r>
    </w:p>
    <w:p>
      <w:r>
        <w:t xml:space="preserve">alt text required: true</w:t>
      </w:r>
    </w:p>
    <w:p>
      <w:r>
        <w:t xml:space="preserve">table fallback required: true</w:t>
      </w:r>
    </w:p>
    <w:p>
      <w:r>
        <w:t xml:space="preserve">keyboard navigation required: true</w:t>
      </w:r>
    </w:p>
    <w:p>
      <w:r>
        <w:t xml:space="preserve">colour independent labels required: true</w:t>
      </w:r>
    </w:p>
    <w:p>
      <w:pPr>
        <w:pStyle w:val="Heading1"/>
      </w:pPr>
      <w:r>
        <w:t>International Standards Alignment</w:t>
      </w:r>
    </w:p>
    <w:p>
      <w:r>
        <w:t xml:space="preserve">SUN Movement Framework: APPLIED_WHERE_RELEVANT — Mapped to EVI-NUT-001, EVI-NUT-002; Synthetic demonstration mapping; institutional validation not implied</w:t>
      </w:r>
    </w:p>
    <w:p>
      <w:r>
        <w:t xml:space="preserve">SDG 2: APPLIED_WHERE_RELEVANT — Mapped to EVI-NUT-002, EVI-NUT-003; Synthetic demonstration mapping; institutional validation not implied</w:t>
      </w:r>
    </w:p>
    <w:p>
      <w:r>
        <w:t xml:space="preserve">Leave No One Behind: APPLIED_WHERE_RELEVANT — Mapped to EVI-NUT-003, EVI-NUT-004; Synthetic demonstration mapping; institutional validation not implied</w:t>
      </w:r>
    </w:p>
    <w:p>
      <w:r>
        <w:t xml:space="preserve">Evidence Traceability: APPLIED — Control linked to EVI-NUT-001 and the deterministic publication gate.</w:t>
      </w:r>
    </w:p>
    <w:p>
      <w:r>
        <w:t xml:space="preserve">Research Ethics: APPLIED — Control linked to EVI-NUT-002 and the deterministic publication gate.</w:t>
      </w:r>
    </w:p>
    <w:p>
      <w:r>
        <w:t xml:space="preserve">Data Protection: APPLIED — Control linked to EVI-NUT-003 and the deterministic publication gate.</w:t>
      </w:r>
    </w:p>
    <w:p>
      <w:r>
        <w:t xml:space="preserve">Accessibility: APPLIED — Control linked to EVI-NUT-004 and the deterministic publication gate.</w:t>
      </w:r>
    </w:p>
    <w:p>
      <w:r>
        <w:t xml:space="preserve">Responsible AI: APPLIED — Control linked to EVI-NUT-005 and the deterministic publication gate.</w:t>
      </w:r>
    </w:p>
    <w:p>
      <w:r>
        <w:t xml:space="preserve">Publication Integrity: APPLIED — Control linked to EVI-NUT-006 and the deterministic publication gate.</w:t>
      </w:r>
    </w:p>
    <w:p>
      <w:pPr>
        <w:pStyle w:val="Heading1"/>
      </w:pPr>
      <w:r>
        <w:t>SDG Contribution</w:t>
      </w:r>
    </w:p>
    <w:p>
      <w:r>
        <w:t xml:space="preserve">SDG 2: undefined — Indicators —</w:t>
      </w:r>
    </w:p>
    <w:p>
      <w:r>
        <w:t xml:space="preserve">SDG 2: undefined — Indicators —</w:t>
      </w:r>
    </w:p>
    <w:p>
      <w:r>
        <w:t xml:space="preserve">SDG 2: undefined — Indicators —</w:t>
      </w:r>
    </w:p>
    <w:p>
      <w:pPr>
        <w:pStyle w:val="Heading1"/>
      </w:pPr>
      <w:r>
        <w:t>OECD-DAC Evaluation Criteria</w:t>
      </w:r>
    </w:p>
    <w:p>
      <w:r>
        <w:t xml:space="preserve">Relevance: Synthetic evidence indicates a strong relevance signal, subject to the stated design limitations. (91/100) — Review relevance evidence at the next formal management gate.</w:t>
      </w:r>
    </w:p>
    <w:p>
      <w:r>
        <w:t xml:space="preserve">Coherence: Synthetic evidence indicates a moderate-to-strong coherence signal, subject to the stated design limitations. (72/100) — Review coherence evidence at the next formal management gate.</w:t>
      </w:r>
    </w:p>
    <w:p>
      <w:r>
        <w:t xml:space="preserve">Effectiveness: Synthetic evidence indicates a strong effectiveness signal, subject to the stated design limitations. (73/100) — Review effectiveness evidence at the next formal management gate.</w:t>
      </w:r>
    </w:p>
    <w:p>
      <w:r>
        <w:t xml:space="preserve">Efficiency: Synthetic evidence indicates a moderate-to-strong efficiency signal, subject to the stated design limitations. (74/100) — Review efficiency evidence at the next formal management gate.</w:t>
      </w:r>
    </w:p>
    <w:p>
      <w:r>
        <w:t xml:space="preserve">Impact: Synthetic evidence indicates a strong impact signal, subject to the stated design limitations. (75/100) — Review impact evidence at the next formal management gate.</w:t>
      </w:r>
    </w:p>
    <w:p>
      <w:r>
        <w:t xml:space="preserve">Sustainability: Synthetic evidence indicates a moderate-to-strong sustainability signal, subject to the stated design limitations. (76/100) — Review sustainability evidence at the next formal management gate.</w:t>
      </w:r>
    </w:p>
    <w:p>
      <w:pPr>
        <w:pStyle w:val="Heading1"/>
      </w:pPr>
      <w:r>
        <w:t>Results-Based Management</w:t>
      </w:r>
    </w:p>
    <w:p>
      <w:r>
        <w:t xml:space="preserve">Impact: Sustained, equitable improvement in nutrition security performance</w:t>
      </w:r>
    </w:p>
    <w:p>
      <w:r>
        <w:t xml:space="preserve">OC-01: Improved nutrition security delivery and accountability — Indicators IND-01, IND-02</w:t>
      </w:r>
    </w:p>
    <w:p>
      <w:r>
        <w:t xml:space="preserve">OC-02: More equitable and durable outcomes — Indicators IND-03, IND-04</w:t>
      </w:r>
    </w:p>
    <w:p>
      <w:r>
        <w:t xml:space="preserve">OUT-01: Verified findings and interpreted decision products</w:t>
      </w:r>
    </w:p>
    <w:p>
      <w:r>
        <w:t xml:space="preserve">OUT-02: Assigned actions with monitoring indicators</w:t>
      </w:r>
    </w:p>
    <w:p>
      <w:pPr>
        <w:pStyle w:val="Heading1"/>
      </w:pPr>
      <w:r>
        <w:t>CHS Accountability Mapping</w:t>
      </w:r>
    </w:p>
    <w:p>
      <w:r>
        <w:t xml:space="preserve">Commitment 1: CHS Commitment 1 — APPLIED. Validate relevance and assign an accountable owner before live use.</w:t>
      </w:r>
    </w:p>
    <w:p>
      <w:r>
        <w:t xml:space="preserve">Commitment 2: CHS Commitment 2 — APPLIED. Validate relevance and assign an accountable owner before live use.</w:t>
      </w:r>
    </w:p>
    <w:p>
      <w:r>
        <w:t xml:space="preserve">Commitment 3: CHS Commitment 3 — APPLIED. Validate relevance and assign an accountable owner before live use.</w:t>
      </w:r>
    </w:p>
    <w:p>
      <w:r>
        <w:t xml:space="preserve">Commitment 4: CHS Commitment 4 — APPLIED. Validate relevance and assign an accountable owner before live use.</w:t>
      </w:r>
    </w:p>
    <w:p>
      <w:r>
        <w:t xml:space="preserve">Commitment 5: CHS Commitment 5 — APPLIED. Validate relevance and assign an accountable owner before live use.</w:t>
      </w:r>
    </w:p>
    <w:p>
      <w:r>
        <w:t xml:space="preserve">Commitment 6: CHS Commitment 6 — APPLIED. Validate relevance and assign an accountable owner before live use.</w:t>
      </w:r>
    </w:p>
    <w:p>
      <w:r>
        <w:t xml:space="preserve">Commitment 7: CHS Commitment 7 — APPLIED. Validate relevance and assign an accountable owner before live use.</w:t>
      </w:r>
    </w:p>
    <w:p>
      <w:r>
        <w:t xml:space="preserve">Commitment 8: CHS Commitment 8 — APPLIED. Validate relevance and assign an accountable owner before live use.</w:t>
      </w:r>
    </w:p>
    <w:p>
      <w:r>
        <w:t xml:space="preserve">Commitment 9: CHS Commitment 9 — APPLIED. Validate relevance and assign an accountable owner before live use.</w:t>
      </w:r>
    </w:p>
    <w:p>
      <w:pPr>
        <w:pStyle w:val="Heading1"/>
      </w:pPr>
      <w:r>
        <w:t>Evidence Register</w:t>
      </w:r>
    </w:p>
    <w:p>
      <w:r>
        <w:t xml:space="preserve">EVI-NUT-001 • survey • SYN-NUTR-0001 • APPROVED • 89%</w:t>
      </w:r>
    </w:p>
    <w:p>
      <w:r>
        <w:t xml:space="preserve">EVI-NUT-002 • key_informant_interview • SYN-NUTR-0002 • APPROVED • 90%</w:t>
      </w:r>
    </w:p>
    <w:p>
      <w:r>
        <w:t xml:space="preserve">EVI-NUT-003 • administrative_record • SYN-NUTR-0003 • APPROVED • 91%</w:t>
      </w:r>
    </w:p>
    <w:p>
      <w:r>
        <w:t xml:space="preserve">EVI-NUT-004 • survey • SYN-NUTR-0004 • APPROVED • 92%</w:t>
      </w:r>
    </w:p>
    <w:p>
      <w:r>
        <w:t xml:space="preserve">EVI-NUT-005 • key_informant_interview • SYN-NUTR-0005 • APPROVED • 93%</w:t>
      </w:r>
    </w:p>
    <w:p>
      <w:r>
        <w:t xml:space="preserve">EVI-NUT-006 • administrative_record • SYN-NUTR-0006 • APPROVED • 94%</w:t>
      </w:r>
    </w:p>
    <w:p>
      <w:r>
        <w:t xml:space="preserve">EVI-NUT-007 • survey • SYN-NUTR-0007 • APPROVED • 95%</w:t>
      </w:r>
    </w:p>
    <w:p>
      <w:r>
        <w:t xml:space="preserve">EVI-NUT-008 • key_informant_interview • SYN-NUTR-0008 • APPROVED • 96%</w:t>
      </w:r>
    </w:p>
    <w:p>
      <w:r>
        <w:t xml:space="preserve">EVI-NUT-009 • administrative_record • SYN-NUTR-0009 • APPROVED • 97%</w:t>
      </w:r>
    </w:p>
    <w:p>
      <w:r>
        <w:t xml:space="preserve">EVI-NUT-010 • survey • SYN-NUTR-0010 • APPROVED • 98%</w:t>
      </w:r>
    </w:p>
    <w:p>
      <w:pPr>
        <w:pStyle w:val="Heading1"/>
      </w:pPr>
      <w:r>
        <w:t>Data Dictionary</w:t>
      </w:r>
    </w:p>
    <w:p>
      <w:r>
        <w:t xml:space="preserve">indicator_1: Synthetic Nutrition Security indicator 1; numeric; allowed: 0–100; missing: NA</w:t>
      </w:r>
    </w:p>
    <w:p>
      <w:r>
        <w:t xml:space="preserve">indicator_2: Synthetic Nutrition Security indicator 2; categorical; allowed: Documented code list; missing: NA</w:t>
      </w:r>
    </w:p>
    <w:p>
      <w:r>
        <w:t xml:space="preserve">indicator_3: Synthetic Nutrition Security indicator 3; categorical; allowed: Documented code list; missing: NA</w:t>
      </w:r>
    </w:p>
    <w:p>
      <w:r>
        <w:t xml:space="preserve">indicator_4: Synthetic Nutrition Security indicator 4; numeric; allowed: 0–100; missing: NA</w:t>
      </w:r>
    </w:p>
    <w:p>
      <w:r>
        <w:t xml:space="preserve">indicator_5: Synthetic Nutrition Security indicator 5; categorical; allowed: Documented code list; missing: NA</w:t>
      </w:r>
    </w:p>
    <w:p>
      <w:r>
        <w:t xml:space="preserve">indicator_6: Synthetic Nutrition Security indicator 6; categorical; allowed: Documented code list; missing: NA</w:t>
      </w:r>
    </w:p>
    <w:p>
      <w:r>
        <w:t xml:space="preserve">indicator_7: Synthetic Nutrition Security indicator 7; numeric; allowed: 0–100; missing: NA</w:t>
      </w:r>
    </w:p>
    <w:p>
      <w:r>
        <w:t xml:space="preserve">indicator_8: Synthetic Nutrition Security indicator 8; categorical; allowed: Documented code list; missing: NA</w:t>
      </w:r>
    </w:p>
    <w:p>
      <w:r>
        <w:t xml:space="preserve">indicator_9: Synthetic Nutrition Security indicator 9; categorical; allowed: Documented code list; missing: NA</w:t>
      </w:r>
    </w:p>
    <w:p>
      <w:r>
        <w:t xml:space="preserve">indicator_10: Synthetic Nutrition Security indicator 10; numeric; allowed: 0–100; missing: NA</w:t>
      </w:r>
    </w:p>
    <w:p>
      <w:r>
        <w:t xml:space="preserve">indicator_11: Synthetic Nutrition Security indicator 11; categorical; allowed: Documented code list; missing: NA</w:t>
      </w:r>
    </w:p>
    <w:p>
      <w:r>
        <w:t xml:space="preserve">indicator_12: Synthetic Nutrition Security indicator 12; categorical; allowed: Documented code list; missing: NA</w:t>
      </w:r>
    </w:p>
    <w:p>
      <w:pPr>
        <w:pStyle w:val="Heading1"/>
      </w:pPr>
      <w:r>
        <w:t>Limitations &amp; Responsible Use</w:t>
      </w:r>
    </w:p>
    <w:p>
      <w:r>
        <w:t xml:space="preserve">All content is synthetic and must not be interpreted as official statistics</w:t>
      </w:r>
    </w:p>
    <w:p>
      <w:r>
        <w:t xml:space="preserve">Geographic references are illustrative</w:t>
      </w:r>
    </w:p>
    <w:p>
      <w:r>
        <w:t xml:space="preserve">Budget implications are directional and require formal costing</w:t>
      </w:r>
    </w:p>
    <w:p>
      <w:r>
        <w:t xml:space="preserve">Causal claims are not made without an appropriate design</w:t>
      </w:r>
    </w:p>
    <w:sectPr>
      <w:pgSz w:w="11906" w:h="16838"/>
      <w:pgMar w:top="1100" w:right="1100" w:bottom="1100" w:left="1100"/>
    </w:sectPr>
  </w:body>
</w:document>
</file>

<file path=word/styles.xml><?xml version="1.0" encoding="utf-8"?>
<w:styles xmlns:w="http://schemas.openxmlformats.org/wordprocessingml/2006/main">
  <w:style w:type="paragraph" w:default="1" w:styleId="Normal">
    <w:name w:val="Normal"/>
    <w:rPr>
      <w:rFonts w:ascii="Aptos"/>
      <w:sz w:val="22"/>
    </w:rPr>
  </w:style>
  <w:style w:type="paragraph" w:styleId="Heading1">
    <w:name w:val="heading 1"/>
    <w:basedOn w:val="Normal"/>
    <w:rPr>
      <w:b/>
      <w:color w:val="0B2E59"/>
      <w:sz w:val="32"/>
    </w:rPr>
  </w:style>
  <w:style w:type="paragraph" w:styleId="Heading2">
    <w:name w:val="heading 2"/>
    <w:basedOn w:val="Normal"/>
    <w:rPr>
      <w:b/>
      <w:color w:val="1C7ED6"/>
      <w:sz w:val="26"/>
    </w:rPr>
  </w:style>
</w:styles>
</file>

<file path=word/_rels/document.xml.rels><?xml version="1.0"?><Relationships xmlns="http://schemas.openxmlformats.org/package/2006/relationships"><Relationship Id="rId1" Type="http://schemas.openxmlformats.org/officeDocument/2006/relationships/styles" Target="styles.xml"/></Relationships>
</file>