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200"/>
      </w:pPr>
      <w:r>
        <w:rPr>
          <w:b/>
          <w:sz w:val="42"/>
        </w:rPr>
        <w:t>Public Financial Management Intelligence Report</w:t>
      </w:r>
    </w:p>
    <w:p>
      <w:r>
        <w:t xml:space="preserve">VoiceInsights Africa — Full Synthetic Demonstration Publication</w:t>
      </w:r>
    </w:p>
    <w:p>
      <w:r>
        <w:t xml:space="preserve">Synthetic Demonstration Publication produced by VoiceInsights Africa. All people, quotations, locations and statistics are synthetic, internally governed demonstration content and are not official statistics.</w:t>
      </w:r>
    </w:p>
    <w:p>
      <w:pPr>
        <w:pStyle w:val="Heading1"/>
      </w:pPr>
      <w:r>
        <w:t>Executive Intelligence</w:t>
      </w:r>
    </w:p>
    <w:p>
      <w:r>
        <w:t xml:space="preserve">Nigeria has made real gains in public financial management performance — and real gaps remain alongside them. This publication separates the two, using a governed evidence model built to surface risk and opportunity, not just describe them. No claim in this publication stands alone: findings link to synthetic evidence, recommendations carry a named owner, and every statistic shares one internally consistent dataset.</w:t>
      </w:r>
    </w:p>
    <w:p>
      <w:pPr>
        <w:pStyle w:val="Heading1"/>
      </w:pPr>
      <w:r>
        <w:t>Table of Contents</w:t>
      </w:r>
    </w:p>
    <w:p>
      <w:r>
        <w:t xml:space="preserve">undefined — undefined</w:t>
      </w:r>
    </w:p>
    <w:p>
      <w:r>
        <w:t xml:space="preserve">undefined — undefined</w:t>
      </w:r>
    </w:p>
    <w:p>
      <w:r>
        <w:t xml:space="preserve">undefined — undefined</w:t>
      </w:r>
    </w:p>
    <w:p>
      <w:r>
        <w:t xml:space="preserve">undefined — undefined</w:t>
      </w:r>
    </w:p>
    <w:p>
      <w:r>
        <w:t xml:space="preserve">undefined — undefined</w:t>
      </w:r>
    </w:p>
    <w:p>
      <w:r>
        <w:t xml:space="preserve">undefined — undefined</w:t>
      </w:r>
    </w:p>
    <w:p>
      <w:pPr>
        <w:pStyle w:val="Heading1"/>
      </w:pPr>
      <w:r>
        <w:t>Critical Findings</w:t>
      </w:r>
    </w:p>
    <w:p>
      <w:pPr>
        <w:pStyle w:val="Heading2"/>
      </w:pPr>
      <w:r>
        <w:t>Budget-execution variance</w:t>
      </w:r>
    </w:p>
    <w:p>
      <w:r>
        <w:t xml:space="preserve">What would it take to fix budget-execution variance? Start with Lagos State, where the signal sits at 64% and rural women carry most of the shortfall. The honest answer is sustained attention, not a single intervention. Lagos State shows the sharpest divide, where rural women carry the largest share of the gap. Left unaddressed for a year, the imbalance is likely to erode equity, delivery confidence and the durability of results.</w:t>
      </w:r>
    </w:p>
    <w:p>
      <w:r>
        <w:t xml:space="preserve">Evidence: EVI-PUB-001, EVI-PUB-004 • Confidence 89.5%</w:t>
      </w:r>
    </w:p>
    <w:p>
      <w:pPr>
        <w:pStyle w:val="Heading2"/>
      </w:pPr>
      <w:r>
        <w:t>Procurement-control weaknesses by agency</w:t>
      </w:r>
    </w:p>
    <w:p>
      <w:r>
        <w:t xml:space="preserve">Procurement-control weaknesses by agency is not a marginal delivery issue. In Kano State, the governed evidence indicates a 65% performance signal, with young adults carrying the most consequential constraint. Left unaddressed, procurement-control weaknesses by agency becomes a structural risk to public financial management delivery in Nigeria, not a temporary dip. Kano State is furthest exposed, and young adults would carry the earliest and heaviest consequences of a further year's delay.</w:t>
      </w:r>
    </w:p>
    <w:p>
      <w:r>
        <w:t xml:space="preserve">Evidence: EVI-PUB-002, EVI-PUB-005 • Confidence 90.5%</w:t>
      </w:r>
    </w:p>
    <w:p>
      <w:pPr>
        <w:pStyle w:val="Heading2"/>
      </w:pPr>
      <w:r>
        <w:t>Audit-finding resolution backlog</w:t>
      </w:r>
    </w:p>
    <w:p>
      <w:r>
        <w:t xml:space="preserve">Two things are true at once about audit-finding resolution backlog. The national picture is improving, and Rivers State — where persons with disabilities report a 66% signal — is not improving fast enough to close the gap. Public financial management performance in Nigeria looks stable in aggregate but splits sharply once audit-finding resolution backlog is disaggregated. Rivers State anchors the low end, and persons with disabilities bear most of that shortfall — a pattern that risks compounding without intervention within the year.</w:t>
      </w:r>
    </w:p>
    <w:p>
      <w:r>
        <w:t xml:space="preserve">Evidence: EVI-PUB-003, EVI-PUB-006 • Confidence 91.5%</w:t>
      </w:r>
    </w:p>
    <w:p>
      <w:pPr>
        <w:pStyle w:val="Heading2"/>
      </w:pPr>
      <w:r>
        <w:t>Leakage-risk concentration</w:t>
      </w:r>
    </w:p>
    <w:p>
      <w:r>
        <w:t xml:space="preserve">Frontline workers in Federal Capital Territory are living the consequence of leakage-risk concentration, not simply reporting it. Their 67% signal is the clearest evidence leadership has that current measures fall short. frontline workers in Federal Capital Territory do not experience leakage-risk concentration as an abstract metric. They experience it as the difference between public financial management delivery that works and delivery that does not, and a twelve-month delay would deepen that gap rather than hold it steady.</w:t>
      </w:r>
    </w:p>
    <w:p>
      <w:r>
        <w:t xml:space="preserve">Evidence: EVI-PUB-004, EVI-PUB-007 • Confidence 92.5%</w:t>
      </w:r>
    </w:p>
    <w:p>
      <w:pPr>
        <w:pStyle w:val="Heading2"/>
      </w:pPr>
      <w:r>
        <w:t>Fiscal-transparency reporting gaps</w:t>
      </w:r>
    </w:p>
    <w:p>
      <w:r>
        <w:t xml:space="preserve">The aggregate result conceals a material implementation divide. Lagos State records a 68% signal for fiscal-transparency reporting gaps; the shortfall is concentrated among low-income households, where service continuity and confidence move together. This is not a new problem.</w:t>
      </w:r>
    </w:p>
    <w:p>
      <w:r>
        <w:t xml:space="preserve">Evidence: EVI-PUB-005, EVI-PUB-008 • Confidence 93.5%</w:t>
      </w:r>
    </w:p>
    <w:p>
      <w:pPr>
        <w:pStyle w:val="Heading1"/>
      </w:pPr>
      <w:r>
        <w:t>Regional Intelligence</w:t>
      </w:r>
    </w:p>
    <w:p>
      <w:r>
        <w:t xml:space="preserve">Lagos State: 54% • 437 responses • Risk CRITICAL</w:t>
      </w:r>
    </w:p>
    <w:p>
      <w:r>
        <w:t xml:space="preserve">Kano State: 55% • 378 responses • Risk CRITICAL</w:t>
      </w:r>
    </w:p>
    <w:p>
      <w:r>
        <w:t xml:space="preserve">Rivers State: 56% • 322 responses • Risk CRITICAL</w:t>
      </w:r>
    </w:p>
    <w:p>
      <w:r>
        <w:t xml:space="preserve">Federal Capital Territory: 57% • 266 responses • Risk CRITICAL</w:t>
      </w:r>
    </w:p>
    <w:p>
      <w:pPr>
        <w:pStyle w:val="Heading1"/>
      </w:pPr>
      <w:r>
        <w:t>Indicators and Target Gaps</w:t>
      </w:r>
    </w:p>
    <w:p>
      <w:r>
        <w:t xml:space="preserve">IND-01 Budget-execution variance rate: 54% vs 78% — OFF_TRACK</w:t>
      </w:r>
    </w:p>
    <w:p>
      <w:r>
        <w:t xml:space="preserve">IND-02 Procurement-control compliance rate: 55% vs 79% — OFF_TRACK</w:t>
      </w:r>
    </w:p>
    <w:p>
      <w:r>
        <w:t xml:space="preserve">IND-03 Audit-finding resolution rate: 56% vs 80% — OFF_TRACK</w:t>
      </w:r>
    </w:p>
    <w:p>
      <w:r>
        <w:t xml:space="preserve">IND-04 Fiscal-transparency reporting completeness: 57% vs 81% — OFF_TRACK</w:t>
      </w:r>
    </w:p>
    <w:p>
      <w:pPr>
        <w:pStyle w:val="Heading1"/>
      </w:pPr>
      <w:r>
        <w:t>Respondent Voice</w:t>
      </w:r>
    </w:p>
    <w:p>
      <w:r>
        <w:t xml:space="preserve">Lagos State: “Rural women in Lagos State put it plainly: budget-execution variance is what decides whether progress holds or slips back.”</w:t>
      </w:r>
    </w:p>
    <w:p>
      <w:r>
        <w:t xml:space="preserve">Kano State: “Why does Kano State lag behind? Ask young adults, and the answer comes back to procurement-control weaknesses by agency.”</w:t>
      </w:r>
    </w:p>
    <w:p>
      <w:r>
        <w:t xml:space="preserve">Rivers State: “Elsewhere, audit-finding resolution backlog might be a footnote. For persons with disabilities in Rivers State, it is the whole story.”</w:t>
      </w:r>
    </w:p>
    <w:p>
      <w:r>
        <w:t xml:space="preserve">Federal Capital Territory: “Frontline workers in Federal Capital Territory frame it simply: when leakage-risk concentration breaks down, everything else does too.”</w:t>
      </w:r>
    </w:p>
    <w:p>
      <w:r>
        <w:t xml:space="preserve">Lagos State: “In Lagos State, fiscal-transparency reporting gaps shape whether low-income households can turn services into lasting outcomes.”</w:t>
      </w:r>
    </w:p>
    <w:p>
      <w:r>
        <w:t xml:space="preserve">Kano State: “Service managers in Kano State put it plainly: budget-execution variance is what decides whether progress holds or slips back.”</w:t>
      </w:r>
    </w:p>
    <w:p>
      <w:r>
        <w:t xml:space="preserve">Rivers State: “Why does Rivers State lag behind? Ask community leaders, and the answer comes back to procurement-control weaknesses by agency.”</w:t>
      </w:r>
    </w:p>
    <w:p>
      <w:r>
        <w:t xml:space="preserve">Federal Capital Territory: “Elsewhere, audit-finding resolution backlog might be a footnote. For private-sector partners in Federal Capital Territory, it is the whole story.”</w:t>
      </w:r>
    </w:p>
    <w:p>
      <w:r>
        <w:t xml:space="preserve">Lagos State: “Rural women in Lagos State frame it simply: when leakage-risk concentration breaks down, everything else does too.”</w:t>
      </w:r>
    </w:p>
    <w:p>
      <w:r>
        <w:t xml:space="preserve">Kano State: “In Kano State, fiscal-transparency reporting gaps shape whether young adults can turn services into lasting outcomes.”</w:t>
      </w:r>
    </w:p>
    <w:p>
      <w:pPr>
        <w:pStyle w:val="Heading1"/>
      </w:pPr>
      <w:r>
        <w:t>Decision Intelligence</w:t>
      </w:r>
    </w:p>
    <w:p>
      <w:pPr>
        <w:pStyle w:val="Heading2"/>
      </w:pPr>
      <w:r>
        <w:t>DEC-PUB-01 CRITICAL</w:t>
      </w:r>
    </w:p>
    <w:p>
      <w:r>
        <w:t xml:space="preserve">Close the PFM control weakness driving the greatest leakage risk.</w:t>
      </w:r>
    </w:p>
    <w:p>
      <w:r>
        <w:t xml:space="preserve">Owner: Permanent Secretary • Timeline: 0–90 days • Budget: Medium to high — requires a dedicated budget line and phased release • Indicator: Proportion of agreed implementation steps verified on schedule for DEC-PUB-01</w:t>
      </w:r>
    </w:p>
    <w:p>
      <w:pPr>
        <w:pStyle w:val="Heading2"/>
      </w:pPr>
      <w:r>
        <w:t>DEC-PUB-02 CRITICAL</w:t>
      </w:r>
    </w:p>
    <w:p>
      <w:r>
        <w:t xml:space="preserve">Strengthen procurement-control compliance in the weakest agencies.</w:t>
      </w:r>
    </w:p>
    <w:p>
      <w:r>
        <w:t xml:space="preserve">Owner: Permanent Secretary • Timeline: 3–12 months • Budget: High — full business case and multi-year funding commitment required • Indicator: Quarterly-verified progress against the milestones agreed for this critical-tier decision (DEC-PUB-02)</w:t>
      </w:r>
    </w:p>
    <w:p>
      <w:pPr>
        <w:pStyle w:val="Heading2"/>
      </w:pPr>
      <w:r>
        <w:t>DEC-PUB-03 HIGH</w:t>
      </w:r>
    </w:p>
    <w:p>
      <w:r>
        <w:t xml:space="preserve">Accelerate audit-finding resolution across ministries.</w:t>
      </w:r>
    </w:p>
    <w:p>
      <w:r>
        <w:t xml:space="preserve">Owner: Permanent Secretary • Timeline: 3–12 months • Budget: Low to medium — validate through the formal planning cycle • Indicator: Number of agreed milestones for DEC-PUB-03 confirmed complete at each quarterly review</w:t>
      </w:r>
    </w:p>
    <w:p>
      <w:pPr>
        <w:pStyle w:val="Heading2"/>
      </w:pPr>
      <w:r>
        <w:t>DEC-PUB-04 HIGH</w:t>
      </w:r>
    </w:p>
    <w:p>
      <w:r>
        <w:t xml:space="preserve">Reduce budget-execution variance in priority sectors.</w:t>
      </w:r>
    </w:p>
    <w:p>
      <w:r>
        <w:t xml:space="preserve">Owner: Permanent Secretary • Timeline: 3–12 months • Budget: Low — absorbable within existing allocations, subject to confirmation • Indicator: Percentage of agreed milestones completed for DEC-PUB-04</w:t>
      </w:r>
    </w:p>
    <w:p>
      <w:pPr>
        <w:pStyle w:val="Heading2"/>
      </w:pPr>
      <w:r>
        <w:t>DEC-PUB-05 MEDIUM</w:t>
      </w:r>
    </w:p>
    <w:p>
      <w:r>
        <w:t xml:space="preserve">Publish fiscal-transparency reports on the standard reporting calendar.</w:t>
      </w:r>
    </w:p>
    <w:p>
      <w:r>
        <w:t xml:space="preserve">Owner: Permanent Secretary • Timeline: 6–18 months • Budget: Low — deliverable inside the current operating budget with light validation • Indicator: Share of the medium-tier delivery plan confirmed complete each quarter (DEC-PUB-05)</w:t>
      </w:r>
    </w:p>
    <w:p>
      <w:pPr>
        <w:pStyle w:val="Heading1"/>
      </w:pPr>
      <w:r>
        <w:t>Methodology</w:t>
      </w:r>
    </w:p>
    <w:p>
      <w:r>
        <w:t xml:space="preserve">research objectives: ["Assess public financial management performance and equity","Identify operational drivers and decision priorities"]</w:t>
      </w:r>
    </w:p>
    <w:p>
      <w:r>
        <w:t xml:space="preserve">evaluation questions: ["What outcomes are changing?","Who is being left behind?","Which actions are most likely to improve performance?"]</w:t>
      </w:r>
    </w:p>
    <w:p>
      <w:r>
        <w:t xml:space="preserve">sampling frame: Synthetic programme population frame for Nigeria</w:t>
      </w:r>
    </w:p>
    <w:p>
      <w:r>
        <w:t xml:space="preserve">sample size: 1403</w:t>
      </w:r>
    </w:p>
    <w:p>
      <w:r>
        <w:t xml:space="preserve">stratification: ["Region","Location type","Sex","Age","Disability"]</w:t>
      </w:r>
    </w:p>
    <w:p>
      <w:r>
        <w:t xml:space="preserve">weights: Normalized post-stratification weights</w:t>
      </w:r>
    </w:p>
    <w:p>
      <w:r>
        <w:t xml:space="preserve">confidence intervals: 95%</w:t>
      </w:r>
    </w:p>
    <w:p>
      <w:r>
        <w:t xml:space="preserve">design effect: 1.1</w:t>
      </w:r>
    </w:p>
    <w:p>
      <w:r>
        <w:t xml:space="preserve">missing data: Documented and sensitivity-tested</w:t>
      </w:r>
    </w:p>
    <w:p>
      <w:r>
        <w:t xml:space="preserve">reliability: Cronbach alpha 0.86</w:t>
      </w:r>
    </w:p>
    <w:p>
      <w:r>
        <w:t xml:space="preserve">validity: Content and construct validity checks</w:t>
      </w:r>
    </w:p>
    <w:p>
      <w:r>
        <w:t xml:space="preserve">metadata: Complete synthetic data dictionary and lineage registry</w:t>
      </w:r>
    </w:p>
    <w:p>
      <w:pPr>
        <w:pStyle w:val="Heading1"/>
      </w:pPr>
      <w:r>
        <w:t>Institutional &amp; Methodology Assurance</w:t>
      </w:r>
    </w:p>
    <w:p>
      <w:r>
        <w:t xml:space="preserve">protocol: Governed synthetic research protocol with sampling, weighting, reliability, validity and reproducibility controls</w:t>
      </w:r>
    </w:p>
    <w:p>
      <w:r>
        <w:t xml:space="preserve">ethics: Synthetic records only; no real participants or personal data</w:t>
      </w:r>
    </w:p>
    <w:p>
      <w:r>
        <w:t xml:space="preserve">peer review: Independent synthetic-publication review checklist completed</w:t>
      </w:r>
    </w:p>
    <w:p>
      <w:r>
        <w:t xml:space="preserve">reproducibility: Deterministic inputs, versioned dataset and export manifest</w:t>
      </w:r>
    </w:p>
    <w:p>
      <w:pPr>
        <w:pStyle w:val="Heading1"/>
      </w:pPr>
      <w:r>
        <w:t>Analytical Depth &amp; Reproducibility</w:t>
      </w:r>
    </w:p>
    <w:p>
      <w:r>
        <w:t xml:space="preserve">inferential statistics: Enabled where assumptions and design permit</w:t>
      </w:r>
    </w:p>
    <w:p>
      <w:r>
        <w:t xml:space="preserve">segmentation: Evidence-led segments</w:t>
      </w:r>
    </w:p>
    <w:p>
      <w:r>
        <w:t xml:space="preserve">trend analysis: Three-period synthetic series</w:t>
      </w:r>
    </w:p>
    <w:p>
      <w:pPr>
        <w:pStyle w:val="Heading1"/>
      </w:pPr>
      <w:r>
        <w:t>Decision Architecture</w:t>
      </w:r>
    </w:p>
    <w:p>
      <w:pPr>
        <w:pStyle w:val="Heading2"/>
      </w:pPr>
      <w:r>
        <w:t>DEC-PUB-01</w:t>
      </w:r>
    </w:p>
    <w:p>
      <w:r>
        <w:t xml:space="preserve">Close the PFM control weakness driving the greatest leakage risk.</w:t>
      </w:r>
    </w:p>
    <w:p>
      <w:r>
        <w:t xml:space="preserve">Owner: Permanent Secretary • Window: 0–90 days • Cost: Medium to high — requires a dedicated budget line and phased release • Indicator: Proportion of agreed implementation steps verified on schedule for DEC-PUB-01</w:t>
      </w:r>
    </w:p>
    <w:p>
      <w:pPr>
        <w:pStyle w:val="Heading2"/>
      </w:pPr>
      <w:r>
        <w:t>DEC-PUB-02</w:t>
      </w:r>
    </w:p>
    <w:p>
      <w:r>
        <w:t xml:space="preserve">Strengthen procurement-control compliance in the weakest agencies.</w:t>
      </w:r>
    </w:p>
    <w:p>
      <w:r>
        <w:t xml:space="preserve">Owner: Permanent Secretary • Window: 3–12 months • Cost: High — full business case and multi-year funding commitment required • Indicator: Quarterly-verified progress against the milestones agreed for this critical-tier decision (DEC-PUB-02)</w:t>
      </w:r>
    </w:p>
    <w:p>
      <w:pPr>
        <w:pStyle w:val="Heading2"/>
      </w:pPr>
      <w:r>
        <w:t>DEC-PUB-03</w:t>
      </w:r>
    </w:p>
    <w:p>
      <w:r>
        <w:t xml:space="preserve">Accelerate audit-finding resolution across ministries.</w:t>
      </w:r>
    </w:p>
    <w:p>
      <w:r>
        <w:t xml:space="preserve">Owner: Permanent Secretary • Window: 3–12 months • Cost: Low to medium — validate through the formal planning cycle • Indicator: Number of agreed milestones for DEC-PUB-03 confirmed complete at each quarterly review</w:t>
      </w:r>
    </w:p>
    <w:p>
      <w:pPr>
        <w:pStyle w:val="Heading2"/>
      </w:pPr>
      <w:r>
        <w:t>DEC-PUB-04</w:t>
      </w:r>
    </w:p>
    <w:p>
      <w:r>
        <w:t xml:space="preserve">Reduce budget-execution variance in priority sectors.</w:t>
      </w:r>
    </w:p>
    <w:p>
      <w:r>
        <w:t xml:space="preserve">Owner: Permanent Secretary • Window: 3–12 months • Cost: Low — absorbable within existing allocations, subject to confirmation • Indicator: Percentage of agreed milestones completed for DEC-PUB-04</w:t>
      </w:r>
    </w:p>
    <w:p>
      <w:pPr>
        <w:pStyle w:val="Heading2"/>
      </w:pPr>
      <w:r>
        <w:t>DEC-PUB-05</w:t>
      </w:r>
    </w:p>
    <w:p>
      <w:r>
        <w:t xml:space="preserve">Publish fiscal-transparency reports on the standard reporting calendar.</w:t>
      </w:r>
    </w:p>
    <w:p>
      <w:r>
        <w:t xml:space="preserve">Owner: Permanent Secretary • Window: 6–18 months • Cost: Low — deliverable inside the current operating budget with light validation • Indicator: Share of the medium-tier delivery plan confirmed complete each quarter (DEC-PUB-05)</w:t>
      </w:r>
    </w:p>
    <w:p>
      <w:pPr>
        <w:pStyle w:val="Heading1"/>
      </w:pPr>
      <w:r>
        <w:t>Evidence Lineage &amp; Citation Registry</w:t>
      </w:r>
    </w:p>
    <w:p>
      <w:r>
        <w:t xml:space="preserve">EVI-PUB-001: [object Object] • APPROVED_SYNTHETIC_DEMONSTRATION • 88%</w:t>
      </w:r>
    </w:p>
    <w:p>
      <w:r>
        <w:t xml:space="preserve">EVI-PUB-002: [object Object] • APPROVED_SYNTHETIC_DEMONSTRATION • 89%</w:t>
      </w:r>
    </w:p>
    <w:p>
      <w:r>
        <w:t xml:space="preserve">EVI-PUB-003: [object Object] • APPROVED_SYNTHETIC_DEMONSTRATION • 90%</w:t>
      </w:r>
    </w:p>
    <w:p>
      <w:r>
        <w:t xml:space="preserve">EVI-PUB-004: [object Object] • APPROVED_SYNTHETIC_DEMONSTRATION • 91%</w:t>
      </w:r>
    </w:p>
    <w:p>
      <w:r>
        <w:t xml:space="preserve">EVI-PUB-005: [object Object] • APPROVED_SYNTHETIC_DEMONSTRATION • 92%</w:t>
      </w:r>
    </w:p>
    <w:p>
      <w:r>
        <w:t xml:space="preserve">EVI-PUB-006: [object Object] • APPROVED_SYNTHETIC_DEMONSTRATION • 93%</w:t>
      </w:r>
    </w:p>
    <w:p>
      <w:r>
        <w:t xml:space="preserve">EVI-PUB-007: [object Object] • APPROVED_SYNTHETIC_DEMONSTRATION • 94%</w:t>
      </w:r>
    </w:p>
    <w:p>
      <w:r>
        <w:t xml:space="preserve">EVI-PUB-008: [object Object] • APPROVED_SYNTHETIC_DEMONSTRATION • 95%</w:t>
      </w:r>
    </w:p>
    <w:p>
      <w:r>
        <w:t xml:space="preserve">EVI-PUB-009: [object Object] • APPROVED_SYNTHETIC_DEMONSTRATION • 96%</w:t>
      </w:r>
    </w:p>
    <w:p>
      <w:r>
        <w:t xml:space="preserve">EVI-PUB-010: [object Object] • APPROVED_SYNTHETIC_DEMONSTRATION • 97%</w:t>
      </w:r>
    </w:p>
    <w:p>
      <w:r>
        <w:t xml:space="preserve">CIT-EVI-PUB-001: VoiceInsights Africa. Public Financial Management Intelligence Report. synthetic-public-financial-management-intelligence-2026.1, EVI-PUB-001, Q1: How does budget-execution variance affect public financial management outcomes in Lagos State?</w:t>
      </w:r>
    </w:p>
    <w:p>
      <w:r>
        <w:t xml:space="preserve">CIT-EVI-PUB-002: VoiceInsights Africa. Public Financial Management Intelligence Report. synthetic-public-financial-management-intelligence-2026.1, EVI-PUB-002, Q2: How does procurement-control weaknesses by agency affect public financial management outcomes in Kano State?</w:t>
      </w:r>
    </w:p>
    <w:p>
      <w:r>
        <w:t xml:space="preserve">CIT-EVI-PUB-003: VoiceInsights Africa. Public Financial Management Intelligence Report. synthetic-public-financial-management-intelligence-2026.1, EVI-PUB-003, Q3: How does audit-finding resolution backlog affect public financial management outcomes in Rivers State?</w:t>
      </w:r>
    </w:p>
    <w:p>
      <w:r>
        <w:t xml:space="preserve">CIT-EVI-PUB-004: VoiceInsights Africa. Public Financial Management Intelligence Report. synthetic-public-financial-management-intelligence-2026.1, EVI-PUB-004, Q4: How does leakage-risk concentration affect public financial management outcomes in Federal Capital Territory?</w:t>
      </w:r>
    </w:p>
    <w:p>
      <w:r>
        <w:t xml:space="preserve">CIT-EVI-PUB-005: VoiceInsights Africa. Public Financial Management Intelligence Report. synthetic-public-financial-management-intelligence-2026.1, EVI-PUB-005, Q5: How does fiscal-transparency reporting gaps affect public financial management outcomes in Lagos State?</w:t>
      </w:r>
    </w:p>
    <w:p>
      <w:r>
        <w:t xml:space="preserve">CIT-EVI-PUB-006: VoiceInsights Africa. Public Financial Management Intelligence Report. synthetic-public-financial-management-intelligence-2026.1, EVI-PUB-006, Q6: How does budget-execution variance affect public financial management outcomes in Kano State?</w:t>
      </w:r>
    </w:p>
    <w:p>
      <w:r>
        <w:t xml:space="preserve">CIT-EVI-PUB-007: VoiceInsights Africa. Public Financial Management Intelligence Report. synthetic-public-financial-management-intelligence-2026.1, EVI-PUB-007, Q7: How does procurement-control weaknesses by agency affect public financial management outcomes in Rivers State?</w:t>
      </w:r>
    </w:p>
    <w:p>
      <w:r>
        <w:t xml:space="preserve">CIT-EVI-PUB-008: VoiceInsights Africa. Public Financial Management Intelligence Report. synthetic-public-financial-management-intelligence-2026.1, EVI-PUB-008, Q8: How does audit-finding resolution backlog affect public financial management outcomes in Federal Capital Territory?</w:t>
      </w:r>
    </w:p>
    <w:p>
      <w:r>
        <w:t xml:space="preserve">CIT-EVI-PUB-009: VoiceInsights Africa. Public Financial Management Intelligence Report. synthetic-public-financial-management-intelligence-2026.1, EVI-PUB-009, Q9: How does leakage-risk concentration affect public financial management outcomes in Lagos State?</w:t>
      </w:r>
    </w:p>
    <w:p>
      <w:r>
        <w:t xml:space="preserve">CIT-EVI-PUB-010: VoiceInsights Africa. Public Financial Management Intelligence Report. synthetic-public-financial-management-intelligence-2026.1, EVI-PUB-010, Q10: How does fiscal-transparency reporting gaps affect public financial management outcomes in Kano State?</w:t>
      </w:r>
    </w:p>
    <w:p>
      <w:pPr>
        <w:pStyle w:val="Heading1"/>
      </w:pPr>
      <w:r>
        <w:t>Publication Architecture</w:t>
      </w:r>
    </w:p>
    <w:p>
      <w:r>
        <w:t xml:space="preserve">Executive Intelligence Book (2–7): Executive brief; Decision snapshot; Risks; Opportunities; Budget implications</w:t>
      </w:r>
    </w:p>
    <w:p>
      <w:r>
        <w:t xml:space="preserve">Evidence Intelligence Book (8–15): Critical findings; Respondent voice; Evidence chains; Citation registry</w:t>
      </w:r>
    </w:p>
    <w:p>
      <w:r>
        <w:t xml:space="preserve">Statistical Intelligence Book (16–22): Sampling; Weighting; Uncertainty; Reliability; Model diagnostics</w:t>
      </w:r>
    </w:p>
    <w:p>
      <w:r>
        <w:t xml:space="preserve">Decision Intelligence Book (23–27): Decision matrix; Ownership; Budget; Roadmap; Management response</w:t>
      </w:r>
    </w:p>
    <w:p>
      <w:r>
        <w:t xml:space="preserve">Standards &amp; Assurance (28–31): Relevant frameworks; Safeguarding; Privacy; Responsible AI; Accessibility</w:t>
      </w:r>
    </w:p>
    <w:p>
      <w:r>
        <w:t xml:space="preserve">Technical Appendices (32–34): Data dictionary; Quality gate; Export manifest; Responsible-use notice</w:t>
      </w:r>
    </w:p>
    <w:p>
      <w:pPr>
        <w:pStyle w:val="Heading1"/>
      </w:pPr>
      <w:r>
        <w:t>Peer Review &amp; Accessibility</w:t>
      </w:r>
    </w:p>
    <w:p>
      <w:r>
        <w:t xml:space="preserve">wcag target: WCAG 2.2 AA</w:t>
      </w:r>
    </w:p>
    <w:p>
      <w:r>
        <w:t xml:space="preserve">tagged pdf required: true</w:t>
      </w:r>
    </w:p>
    <w:p>
      <w:r>
        <w:t xml:space="preserve">alt text required: true</w:t>
      </w:r>
    </w:p>
    <w:p>
      <w:r>
        <w:t xml:space="preserve">table fallback required: true</w:t>
      </w:r>
    </w:p>
    <w:p>
      <w:r>
        <w:t xml:space="preserve">keyboard navigation required: true</w:t>
      </w:r>
    </w:p>
    <w:p>
      <w:r>
        <w:t xml:space="preserve">colour independent labels required: true</w:t>
      </w:r>
    </w:p>
    <w:p>
      <w:pPr>
        <w:pStyle w:val="Heading1"/>
      </w:pPr>
      <w:r>
        <w:t>International Standards Alignment</w:t>
      </w:r>
    </w:p>
    <w:p>
      <w:r>
        <w:t xml:space="preserve">SDG 16: APPLIED_WHERE_RELEVANT — Mapped to EVI-PUB-001, EVI-PUB-002; Synthetic demonstration mapping; institutional validation not implied</w:t>
      </w:r>
    </w:p>
    <w:p>
      <w:r>
        <w:t xml:space="preserve">Data Protection: APPLIED_WHERE_RELEVANT — Mapped to EVI-PUB-002, EVI-PUB-003; Synthetic demonstration mapping; institutional validation not implied</w:t>
      </w:r>
    </w:p>
    <w:p>
      <w:r>
        <w:t xml:space="preserve">Public Financial Management: APPLIED_WHERE_RELEVANT — Mapped to EVI-PUB-003, EVI-PUB-004; Synthetic demonstration mapping; institutional validation not implied</w:t>
      </w:r>
    </w:p>
    <w:p>
      <w:r>
        <w:t xml:space="preserve">Evidence Traceability: APPLIED — Control linked to EVI-PUB-001 and the deterministic publication gate.</w:t>
      </w:r>
    </w:p>
    <w:p>
      <w:r>
        <w:t xml:space="preserve">Research Ethics: APPLIED — Control linked to EVI-PUB-002 and the deterministic publication gate.</w:t>
      </w:r>
    </w:p>
    <w:p>
      <w:r>
        <w:t xml:space="preserve">Data Protection: APPLIED — Control linked to EVI-PUB-003 and the deterministic publication gate.</w:t>
      </w:r>
    </w:p>
    <w:p>
      <w:r>
        <w:t xml:space="preserve">Accessibility: APPLIED — Control linked to EVI-PUB-004 and the deterministic publication gate.</w:t>
      </w:r>
    </w:p>
    <w:p>
      <w:r>
        <w:t xml:space="preserve">Responsible AI: APPLIED — Control linked to EVI-PUB-005 and the deterministic publication gate.</w:t>
      </w:r>
    </w:p>
    <w:p>
      <w:r>
        <w:t xml:space="preserve">Publication Integrity: APPLIED — Control linked to EVI-PUB-006 and the deterministic publication gate.</w:t>
      </w:r>
    </w:p>
    <w:p>
      <w:pPr>
        <w:pStyle w:val="Heading1"/>
      </w:pPr>
      <w:r>
        <w:t>SDG Contribution</w:t>
      </w:r>
    </w:p>
    <w:p>
      <w:r>
        <w:t xml:space="preserve">SDG 16: undefined — Indicators —</w:t>
      </w:r>
    </w:p>
    <w:p>
      <w:r>
        <w:t xml:space="preserve">SDG 16: undefined — Indicators —</w:t>
      </w:r>
    </w:p>
    <w:p>
      <w:r>
        <w:t xml:space="preserve">SDG 17: undefined — Indicators —</w:t>
      </w:r>
    </w:p>
    <w:p>
      <w:pPr>
        <w:pStyle w:val="Heading1"/>
      </w:pPr>
      <w:r>
        <w:t>OECD-DAC Evaluation Criteria</w:t>
      </w:r>
    </w:p>
    <w:p>
      <w:r>
        <w:t xml:space="preserve">Relevance: Synthetic evidence indicates a strong relevance signal, subject to the stated design limitations. (73/100) — Review relevance evidence at the next formal management gate.</w:t>
      </w:r>
    </w:p>
    <w:p>
      <w:r>
        <w:t xml:space="preserve">Coherence: Synthetic evidence indicates a moderate-to-strong coherence signal, subject to the stated design limitations. (74/100) — Review coherence evidence at the next formal management gate.</w:t>
      </w:r>
    </w:p>
    <w:p>
      <w:r>
        <w:t xml:space="preserve">Effectiveness: Synthetic evidence indicates a strong effectiveness signal, subject to the stated design limitations. (75/100) — Review effectiveness evidence at the next formal management gate.</w:t>
      </w:r>
    </w:p>
    <w:p>
      <w:r>
        <w:t xml:space="preserve">Efficiency: Synthetic evidence indicates a moderate-to-strong efficiency signal, subject to the stated design limitations. (76/100) — Review efficiency evidence at the next formal management gate.</w:t>
      </w:r>
    </w:p>
    <w:p>
      <w:r>
        <w:t xml:space="preserve">Impact: Synthetic evidence indicates a strong impact signal, subject to the stated design limitations. (77/100) — Review impact evidence at the next formal management gate.</w:t>
      </w:r>
    </w:p>
    <w:p>
      <w:r>
        <w:t xml:space="preserve">Sustainability: Synthetic evidence indicates a moderate-to-strong sustainability signal, subject to the stated design limitations. (78/100) — Review sustainability evidence at the next formal management gate.</w:t>
      </w:r>
    </w:p>
    <w:p>
      <w:pPr>
        <w:pStyle w:val="Heading1"/>
      </w:pPr>
      <w:r>
        <w:t>Results-Based Management</w:t>
      </w:r>
    </w:p>
    <w:p>
      <w:r>
        <w:t xml:space="preserve">Impact: Sustained, equitable improvement in public financial management performance</w:t>
      </w:r>
    </w:p>
    <w:p>
      <w:r>
        <w:t xml:space="preserve">OC-01: Improved public financial management delivery and accountability — Indicators IND-01, IND-02</w:t>
      </w:r>
    </w:p>
    <w:p>
      <w:r>
        <w:t xml:space="preserve">OC-02: More equitable and durable outcomes — Indicators IND-03, IND-04</w:t>
      </w:r>
    </w:p>
    <w:p>
      <w:r>
        <w:t xml:space="preserve">OUT-01: Verified findings and interpreted decision products</w:t>
      </w:r>
    </w:p>
    <w:p>
      <w:r>
        <w:t xml:space="preserve">OUT-02: Assigned actions with monitoring indicators</w:t>
      </w:r>
    </w:p>
    <w:p>
      <w:pPr>
        <w:pStyle w:val="Heading1"/>
      </w:pPr>
      <w:r>
        <w:t>CHS Accountability Mapping</w:t>
      </w:r>
    </w:p>
    <w:p>
      <w:r>
        <w:t xml:space="preserve">Commitment 1: CHS Commitment 1 — CONTEXT_ONLY. Validate relevance and assign an accountable owner before live use.</w:t>
      </w:r>
    </w:p>
    <w:p>
      <w:r>
        <w:t xml:space="preserve">Commitment 2: CHS Commitment 2 — CONTEXT_ONLY. Validate relevance and assign an accountable owner before live use.</w:t>
      </w:r>
    </w:p>
    <w:p>
      <w:r>
        <w:t xml:space="preserve">Commitment 3: CHS Commitment 3 — CONTEXT_ONLY. Validate relevance and assign an accountable owner before live use.</w:t>
      </w:r>
    </w:p>
    <w:p>
      <w:r>
        <w:t xml:space="preserve">Commitment 4: CHS Commitment 4 — CONTEXT_ONLY. Validate relevance and assign an accountable owner before live use.</w:t>
      </w:r>
    </w:p>
    <w:p>
      <w:r>
        <w:t xml:space="preserve">Commitment 5: CHS Commitment 5 — CONTEXT_ONLY. Validate relevance and assign an accountable owner before live use.</w:t>
      </w:r>
    </w:p>
    <w:p>
      <w:r>
        <w:t xml:space="preserve">Commitment 6: CHS Commitment 6 — CONTEXT_ONLY. Validate relevance and assign an accountable owner before live use.</w:t>
      </w:r>
    </w:p>
    <w:p>
      <w:r>
        <w:t xml:space="preserve">Commitment 7: CHS Commitment 7 — CONTEXT_ONLY. Validate relevance and assign an accountable owner before live use.</w:t>
      </w:r>
    </w:p>
    <w:p>
      <w:r>
        <w:t xml:space="preserve">Commitment 8: CHS Commitment 8 — CONTEXT_ONLY. Validate relevance and assign an accountable owner before live use.</w:t>
      </w:r>
    </w:p>
    <w:p>
      <w:r>
        <w:t xml:space="preserve">Commitment 9: CHS Commitment 9 — CONTEXT_ONLY. Validate relevance and assign an accountable owner before live use.</w:t>
      </w:r>
    </w:p>
    <w:p>
      <w:pPr>
        <w:pStyle w:val="Heading1"/>
      </w:pPr>
      <w:r>
        <w:t>Evidence Register</w:t>
      </w:r>
    </w:p>
    <w:p>
      <w:r>
        <w:t xml:space="preserve">EVI-PUB-001 • survey • SYN-PUBL-0001 • APPROVED • 88%</w:t>
      </w:r>
    </w:p>
    <w:p>
      <w:r>
        <w:t xml:space="preserve">EVI-PUB-002 • key_informant_interview • SYN-PUBL-0002 • APPROVED • 89%</w:t>
      </w:r>
    </w:p>
    <w:p>
      <w:r>
        <w:t xml:space="preserve">EVI-PUB-003 • administrative_record • SYN-PUBL-0003 • APPROVED • 90%</w:t>
      </w:r>
    </w:p>
    <w:p>
      <w:r>
        <w:t xml:space="preserve">EVI-PUB-004 • survey • SYN-PUBL-0004 • APPROVED • 91%</w:t>
      </w:r>
    </w:p>
    <w:p>
      <w:r>
        <w:t xml:space="preserve">EVI-PUB-005 • key_informant_interview • SYN-PUBL-0005 • APPROVED • 92%</w:t>
      </w:r>
    </w:p>
    <w:p>
      <w:r>
        <w:t xml:space="preserve">EVI-PUB-006 • administrative_record • SYN-PUBL-0006 • APPROVED • 93%</w:t>
      </w:r>
    </w:p>
    <w:p>
      <w:r>
        <w:t xml:space="preserve">EVI-PUB-007 • survey • SYN-PUBL-0007 • APPROVED • 94%</w:t>
      </w:r>
    </w:p>
    <w:p>
      <w:r>
        <w:t xml:space="preserve">EVI-PUB-008 • key_informant_interview • SYN-PUBL-0008 • APPROVED • 95%</w:t>
      </w:r>
    </w:p>
    <w:p>
      <w:r>
        <w:t xml:space="preserve">EVI-PUB-009 • administrative_record • SYN-PUBL-0009 • APPROVED • 96%</w:t>
      </w:r>
    </w:p>
    <w:p>
      <w:r>
        <w:t xml:space="preserve">EVI-PUB-010 • survey • SYN-PUBL-0010 • APPROVED • 97%</w:t>
      </w:r>
    </w:p>
    <w:p>
      <w:pPr>
        <w:pStyle w:val="Heading1"/>
      </w:pPr>
      <w:r>
        <w:t>Data Dictionary</w:t>
      </w:r>
    </w:p>
    <w:p>
      <w:r>
        <w:t xml:space="preserve">indicator_1: Synthetic Public Financial Management indicator 1; numeric; allowed: 0–100; missing: NA</w:t>
      </w:r>
    </w:p>
    <w:p>
      <w:r>
        <w:t xml:space="preserve">indicator_2: Synthetic Public Financial Management indicator 2; categorical; allowed: Documented code list; missing: NA</w:t>
      </w:r>
    </w:p>
    <w:p>
      <w:r>
        <w:t xml:space="preserve">indicator_3: Synthetic Public Financial Management indicator 3; categorical; allowed: Documented code list; missing: NA</w:t>
      </w:r>
    </w:p>
    <w:p>
      <w:r>
        <w:t xml:space="preserve">indicator_4: Synthetic Public Financial Management indicator 4; numeric; allowed: 0–100; missing: NA</w:t>
      </w:r>
    </w:p>
    <w:p>
      <w:r>
        <w:t xml:space="preserve">indicator_5: Synthetic Public Financial Management indicator 5; categorical; allowed: Documented code list; missing: NA</w:t>
      </w:r>
    </w:p>
    <w:p>
      <w:r>
        <w:t xml:space="preserve">indicator_6: Synthetic Public Financial Management indicator 6; categorical; allowed: Documented code list; missing: NA</w:t>
      </w:r>
    </w:p>
    <w:p>
      <w:r>
        <w:t xml:space="preserve">indicator_7: Synthetic Public Financial Management indicator 7; numeric; allowed: 0–100; missing: NA</w:t>
      </w:r>
    </w:p>
    <w:p>
      <w:r>
        <w:t xml:space="preserve">indicator_8: Synthetic Public Financial Management indicator 8; categorical; allowed: Documented code list; missing: NA</w:t>
      </w:r>
    </w:p>
    <w:p>
      <w:r>
        <w:t xml:space="preserve">indicator_9: Synthetic Public Financial Management indicator 9; categorical; allowed: Documented code list; missing: NA</w:t>
      </w:r>
    </w:p>
    <w:p>
      <w:r>
        <w:t xml:space="preserve">indicator_10: Synthetic Public Financial Management indicator 10; numeric; allowed: 0–100; missing: NA</w:t>
      </w:r>
    </w:p>
    <w:p>
      <w:r>
        <w:t xml:space="preserve">indicator_11: Synthetic Public Financial Management indicator 11; categorical; allowed: Documented code list; missing: NA</w:t>
      </w:r>
    </w:p>
    <w:p>
      <w:r>
        <w:t xml:space="preserve">indicator_12: Synthetic Public Financial Management indicator 12; categorical; allowed: Documented code list; missing: NA</w:t>
      </w:r>
    </w:p>
    <w:p>
      <w:pPr>
        <w:pStyle w:val="Heading1"/>
      </w:pPr>
      <w:r>
        <w:t>Limitations &amp; Responsible Use</w:t>
      </w:r>
    </w:p>
    <w:p>
      <w:r>
        <w:t xml:space="preserve">All content is synthetic and must not be interpreted as official statistics</w:t>
      </w:r>
    </w:p>
    <w:p>
      <w:r>
        <w:t xml:space="preserve">Geographic references are illustrative</w:t>
      </w:r>
    </w:p>
    <w:p>
      <w:r>
        <w:t xml:space="preserve">Budget implications are directional and require formal costing</w:t>
      </w:r>
    </w:p>
    <w:p>
      <w:r>
        <w:t xml:space="preserve">Causal claims are not made without an appropriate design</w:t>
      </w:r>
    </w:p>
    <w:sectPr>
      <w:pgSz w:w="11906" w:h="16838"/>
      <w:pgMar w:top="1100" w:right="1100" w:bottom="1100" w:left="11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/>
      <w:sz w:val="22"/>
    </w:rPr>
  </w:style>
  <w:style w:type="paragraph" w:styleId="Heading1">
    <w:name w:val="heading 1"/>
    <w:basedOn w:val="Normal"/>
    <w:rPr>
      <w:b/>
      <w:color w:val="0B2E59"/>
      <w:sz w:val="32"/>
    </w:rPr>
  </w:style>
  <w:style w:type="paragraph" w:styleId="Heading2">
    <w:name w:val="heading 2"/>
    <w:basedOn w:val="Normal"/>
    <w:rPr>
      <w:b/>
      <w:color w:val="1C7ED6"/>
      <w:sz w:val="26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