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Quarterly Performance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Mozambique's programme delivery performance is improving in some places and stalling in others — this publication shows exactly where. The evidence points to concentrated risk, but also to specific, actionable openings for decision-makers. This publication's claims are only as strong as their sourcing — which is why every finding is evidence-linked, every recommendation is owned, and every statistic shares the same governed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Milestone delivery</w:t>
      </w:r>
    </w:p>
    <w:p>
      <w:r>
        <w:t xml:space="preserve">61%. That is the milestone delivery signal recorded in North Portfolio, and the headline figure understates the problem: disaggregated by group, rural women sit well below it. The clearest gap sits in North Portfolio, concentrated among rural women. A twelve-month delay would let the gap compound into a harder, costlier problem.</w:t>
      </w:r>
    </w:p>
    <w:p>
      <w:r>
        <w:t xml:space="preserve">Evidence: EVI-QUA-001, EVI-QUA-004 • Confidence 95.5%</w:t>
      </w:r>
    </w:p>
    <w:p>
      <w:pPr>
        <w:pStyle w:val="Heading2"/>
      </w:pPr>
      <w:r>
        <w:t>Budget absorption quality</w:t>
      </w:r>
    </w:p>
    <w:p>
      <w:r>
        <w:t xml:space="preserve">What would it take to fix budget absorption quality? Start with Central Portfolio, where the signal sits at 62% and young adults carry most of the shortfall. The honest answer is sustained attention, not a single intervention. Central Portfolio shows the sharpest divide, where young adults carry the largest share of the gap. Left unaddressed for a year, the imbalance is likely to erode equity, delivery confidence and the durability of results.</w:t>
      </w:r>
    </w:p>
    <w:p>
      <w:r>
        <w:t xml:space="preserve">Evidence: EVI-QUA-002, EVI-QUA-005 • Confidence 96.5%</w:t>
      </w:r>
    </w:p>
    <w:p>
      <w:pPr>
        <w:pStyle w:val="Heading2"/>
      </w:pPr>
      <w:r>
        <w:t>Partner performance</w:t>
      </w:r>
    </w:p>
    <w:p>
      <w:r>
        <w:t xml:space="preserve">The aggregate result conceals a material implementation divide. Coastal Portfolio records a 63% signal for partner performance; the shortfall is concentrated among persons with disabilities, where service continuity and confidence move together. Of every study area examined in Mozambique, partner performance shows up hardest there, and persons with disabilities feel it most. A year of inaction would turn a gap into a pattern that is far harder to reverse.</w:t>
      </w:r>
    </w:p>
    <w:p>
      <w:r>
        <w:t xml:space="preserve">Evidence: EVI-QUA-003, EVI-QUA-006 • Confidence 92%</w:t>
      </w:r>
    </w:p>
    <w:p>
      <w:pPr>
        <w:pStyle w:val="Heading2"/>
      </w:pPr>
      <w:r>
        <w:t>Procurement delay</w:t>
      </w:r>
    </w:p>
    <w:p>
      <w:r>
        <w:t xml:space="preserve">Two things are true at once about procurement delay. The national picture is improving, and Cross-Cutting Services — where frontline workers report a 64% signal — is not improving fast enough to close the gap. Programme delivery performance in Mozambique looks stable in aggregate but splits sharply once procurement delay is disaggregated. Cross-Cutting Services anchors the low end, and frontline workers bear most of that shortfall — a pattern that risks compounding without intervention within the year.</w:t>
      </w:r>
    </w:p>
    <w:p>
      <w:r>
        <w:t xml:space="preserve">Evidence: EVI-QUA-004, EVI-QUA-007 • Confidence 93%</w:t>
      </w:r>
    </w:p>
    <w:p>
      <w:pPr>
        <w:pStyle w:val="Heading2"/>
      </w:pPr>
      <w:r>
        <w:t>Corrective-action closure</w:t>
      </w:r>
    </w:p>
    <w:p>
      <w:r>
        <w:t xml:space="preserve">Progress on corrective-action closure remains visible but not yet durable. The 65% result in North Portfolio weakens after disaggregation, particularly for low-income households, suggesting that current gains depend on delivery conditions that remain fragile. The clearest signal in this dataset — though not the only one — is corrective-action closure in North Portfolio, where low-income households sit furthest from parity.</w:t>
      </w:r>
    </w:p>
    <w:p>
      <w:r>
        <w:t xml:space="preserve">Evidence: EVI-QUA-005, EVI-QUA-008 • Confidence 94%</w:t>
      </w:r>
    </w:p>
    <w:p>
      <w:pPr>
        <w:pStyle w:val="Heading1"/>
      </w:pPr>
      <w:r>
        <w:t>Regional Intelligence</w:t>
      </w:r>
    </w:p>
    <w:p>
      <w:r>
        <w:t xml:space="preserve">North Portfolio: 74% • 1234 responses • Risk STABLE</w:t>
      </w:r>
    </w:p>
    <w:p>
      <w:r>
        <w:t xml:space="preserve">Central Portfolio: 75% • 1073 responses • Risk STABLE</w:t>
      </w:r>
    </w:p>
    <w:p>
      <w:r>
        <w:t xml:space="preserve">Coastal Portfolio: 76% • 914 responses • Risk STABLE</w:t>
      </w:r>
    </w:p>
    <w:p>
      <w:r>
        <w:t xml:space="preserve">Cross-Cutting Services: 77% • 755 responses • Risk STABLE</w:t>
      </w:r>
    </w:p>
    <w:p>
      <w:pPr>
        <w:pStyle w:val="Heading1"/>
      </w:pPr>
      <w:r>
        <w:t>Indicators and Target Gaps</w:t>
      </w:r>
    </w:p>
    <w:p>
      <w:r>
        <w:t xml:space="preserve">IND-01 Milestone delivery rate: 77% vs 84% — WATCH</w:t>
      </w:r>
    </w:p>
    <w:p>
      <w:r>
        <w:t xml:space="preserve">IND-02 Evidence-backed budget absorption: 78% vs 85% — WATCH</w:t>
      </w:r>
    </w:p>
    <w:p>
      <w:r>
        <w:t xml:space="preserve">IND-03 Partner performance score: 79% vs 86% — WATCH</w:t>
      </w:r>
    </w:p>
    <w:p>
      <w:r>
        <w:t xml:space="preserve">IND-04 Corrective-action closure: 80% vs 87% — WATCH</w:t>
      </w:r>
    </w:p>
    <w:p>
      <w:pPr>
        <w:pStyle w:val="Heading1"/>
      </w:pPr>
      <w:r>
        <w:t>Respondent Voice</w:t>
      </w:r>
    </w:p>
    <w:p>
      <w:r>
        <w:t xml:space="preserve">North Portfolio: “In North Portfolio, milestone delivery shapes whether rural women can turn services into lasting outcomes.”</w:t>
      </w:r>
    </w:p>
    <w:p>
      <w:r>
        <w:t xml:space="preserve">Central Portfolio: “Young adults in Central Portfolio put it plainly: budget absorption quality is what decides whether progress holds or slips back.”</w:t>
      </w:r>
    </w:p>
    <w:p>
      <w:r>
        <w:t xml:space="preserve">Coastal Portfolio: “Why does Coastal Portfolio lag behind? Ask persons with disabilities, and the answer comes back to partner performance.”</w:t>
      </w:r>
    </w:p>
    <w:p>
      <w:r>
        <w:t xml:space="preserve">Cross-Cutting Services: “Elsewhere, procurement delay might be a footnote. For frontline workers in Cross-Cutting Services, it is the whole story.”</w:t>
      </w:r>
    </w:p>
    <w:p>
      <w:r>
        <w:t xml:space="preserve">North Portfolio: “Low-income households in North Portfolio frame it simply: when corrective-action closure breaks down, everything else does too.”</w:t>
      </w:r>
    </w:p>
    <w:p>
      <w:r>
        <w:t xml:space="preserve">Central Portfolio: “In Central Portfolio, milestone delivery shapes whether service managers can turn services into lasting outcomes.”</w:t>
      </w:r>
    </w:p>
    <w:p>
      <w:r>
        <w:t xml:space="preserve">Coastal Portfolio: “Community leaders in Coastal Portfolio put it plainly: budget absorption quality is what decides whether progress holds or slips back.”</w:t>
      </w:r>
    </w:p>
    <w:p>
      <w:r>
        <w:t xml:space="preserve">Cross-Cutting Services: “Why does Cross-Cutting Services lag behind? Ask private-sector partners, and the answer comes back to partner performance.”</w:t>
      </w:r>
    </w:p>
    <w:p>
      <w:r>
        <w:t xml:space="preserve">North Portfolio: “Elsewhere, procurement delay might be a footnote. For rural women in North Portfolio, it is the whole story.”</w:t>
      </w:r>
    </w:p>
    <w:p>
      <w:r>
        <w:t xml:space="preserve">Central Portfolio: “Young adults in Central Portfolio frame it simply: when corrective-action closure breaks down, everything else does too.”</w:t>
      </w:r>
    </w:p>
    <w:p>
      <w:pPr>
        <w:pStyle w:val="Heading1"/>
      </w:pPr>
      <w:r>
        <w:t>Decision Intelligence</w:t>
      </w:r>
    </w:p>
    <w:p>
      <w:pPr>
        <w:pStyle w:val="Heading2"/>
      </w:pPr>
      <w:r>
        <w:t>DEC-QUA-01 CRITICAL</w:t>
      </w:r>
    </w:p>
    <w:p>
      <w:r>
        <w:t xml:space="preserve">Launch a thirty-day recovery sprint for red milestones.</w:t>
      </w:r>
    </w:p>
    <w:p>
      <w:r>
        <w:t xml:space="preserve">Owner: Country Director / Programme Executive • Timeline: 0–90 days • Budget: Medium to high — requires a dedicated budget line and phased release • Indicator: Percentage of agreed milestones completed for DEC-QUA-01</w:t>
      </w:r>
    </w:p>
    <w:p>
      <w:pPr>
        <w:pStyle w:val="Heading2"/>
      </w:pPr>
      <w:r>
        <w:t>DEC-QUA-02 CRITICAL</w:t>
      </w:r>
    </w:p>
    <w:p>
      <w:r>
        <w:t xml:space="preserve">Link budget release to verified delivery evidence.</w:t>
      </w:r>
    </w:p>
    <w:p>
      <w:r>
        <w:t xml:space="preserve">Owner: Country Director / Programme Executive • Timeline: 3–12 months • Budget: High — full business case and multi-year funding commitment required • Indicator: Share of the critical-tier delivery plan confirmed complete each quarter (DEC-QUA-02)</w:t>
      </w:r>
    </w:p>
    <w:p>
      <w:pPr>
        <w:pStyle w:val="Heading2"/>
      </w:pPr>
      <w:r>
        <w:t>DEC-QUA-03 HIGH</w:t>
      </w:r>
    </w:p>
    <w:p>
      <w:r>
        <w:t xml:space="preserve">Place underperforming partners on time-bound support plans.</w:t>
      </w:r>
    </w:p>
    <w:p>
      <w:r>
        <w:t xml:space="preserve">Owner: Country Director / Programme Executive • Timeline: 3–12 months • Budget: Low — absorbable within existing allocations, subject to confirmation • Indicator: Milestone completion rate tracked against the DEC-QUA-03 delivery plan</w:t>
      </w:r>
    </w:p>
    <w:p>
      <w:pPr>
        <w:pStyle w:val="Heading2"/>
      </w:pPr>
      <w:r>
        <w:t>DEC-QUA-04 HIGH</w:t>
      </w:r>
    </w:p>
    <w:p>
      <w:r>
        <w:t xml:space="preserve">Escalate critical procurement bottlenecks.</w:t>
      </w:r>
    </w:p>
    <w:p>
      <w:r>
        <w:t xml:space="preserve">Owner: Country Director / Programme Executive • Timeline: 3–12 months • Budget: Low — deliverable inside the current operating budget with light validation • Indicator: Proportion of agreed implementation steps verified on schedule for DEC-QUA-04</w:t>
      </w:r>
    </w:p>
    <w:p>
      <w:pPr>
        <w:pStyle w:val="Heading2"/>
      </w:pPr>
      <w:r>
        <w:t>DEC-QUA-05 MEDIUM</w:t>
      </w:r>
    </w:p>
    <w:p>
      <w:r>
        <w:t xml:space="preserve">Close overdue management actions before quarter end.</w:t>
      </w:r>
    </w:p>
    <w:p>
      <w:r>
        <w:t xml:space="preserve">Owner: Country Director / Programme Executive • Timeline: 6–18 months • Budget: Medium — likely fundable from existing lines, pending confirmation • Indicator: Quarterly-verified progress against the milestones agreed for this medium-tier decision (DEC-QUA-05)</w:t>
      </w:r>
    </w:p>
    <w:p>
      <w:pPr>
        <w:pStyle w:val="Heading1"/>
      </w:pPr>
      <w:r>
        <w:t>Methodology</w:t>
      </w:r>
    </w:p>
    <w:p>
      <w:r>
        <w:t xml:space="preserve">research objectives: ["Assess programme delivery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Mozambique</w:t>
      </w:r>
    </w:p>
    <w:p>
      <w:r>
        <w:t xml:space="preserve">sample size: 3976</w:t>
      </w:r>
    </w:p>
    <w:p>
      <w:r>
        <w:t xml:space="preserve">stratification: ["Region","Location type","Sex","Age","Disability"]</w:t>
      </w:r>
    </w:p>
    <w:p>
      <w:r>
        <w:t xml:space="preserve">weights: Normalized post-stratification weights</w:t>
      </w:r>
    </w:p>
    <w:p>
      <w:r>
        <w:t xml:space="preserve">confidence intervals: 95%</w:t>
      </w:r>
    </w:p>
    <w:p>
      <w:r>
        <w:t xml:space="preserve">design effect: 1.6</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DEC-QUA-01</w:t>
      </w:r>
    </w:p>
    <w:p>
      <w:r>
        <w:t xml:space="preserve">Launch a thirty-day recovery sprint for red milestones.</w:t>
      </w:r>
    </w:p>
    <w:p>
      <w:r>
        <w:t xml:space="preserve">Owner: Country Director / Programme Executive • Window: 0–90 days • Cost: Medium to high — requires a dedicated budget line and phased release • Indicator: Percentage of agreed milestones completed for DEC-QUA-01</w:t>
      </w:r>
    </w:p>
    <w:p>
      <w:pPr>
        <w:pStyle w:val="Heading2"/>
      </w:pPr>
      <w:r>
        <w:t>DEC-QUA-02</w:t>
      </w:r>
    </w:p>
    <w:p>
      <w:r>
        <w:t xml:space="preserve">Link budget release to verified delivery evidence.</w:t>
      </w:r>
    </w:p>
    <w:p>
      <w:r>
        <w:t xml:space="preserve">Owner: Country Director / Programme Executive • Window: 3–12 months • Cost: High — full business case and multi-year funding commitment required • Indicator: Share of the critical-tier delivery plan confirmed complete each quarter (DEC-QUA-02)</w:t>
      </w:r>
    </w:p>
    <w:p>
      <w:pPr>
        <w:pStyle w:val="Heading2"/>
      </w:pPr>
      <w:r>
        <w:t>DEC-QUA-03</w:t>
      </w:r>
    </w:p>
    <w:p>
      <w:r>
        <w:t xml:space="preserve">Place underperforming partners on time-bound support plans.</w:t>
      </w:r>
    </w:p>
    <w:p>
      <w:r>
        <w:t xml:space="preserve">Owner: Country Director / Programme Executive • Window: 3–12 months • Cost: Low — absorbable within existing allocations, subject to confirmation • Indicator: Milestone completion rate tracked against the DEC-QUA-03 delivery plan</w:t>
      </w:r>
    </w:p>
    <w:p>
      <w:pPr>
        <w:pStyle w:val="Heading2"/>
      </w:pPr>
      <w:r>
        <w:t>DEC-QUA-04</w:t>
      </w:r>
    </w:p>
    <w:p>
      <w:r>
        <w:t xml:space="preserve">Escalate critical procurement bottlenecks.</w:t>
      </w:r>
    </w:p>
    <w:p>
      <w:r>
        <w:t xml:space="preserve">Owner: Country Director / Programme Executive • Window: 3–12 months • Cost: Low — deliverable inside the current operating budget with light validation • Indicator: Proportion of agreed implementation steps verified on schedule for DEC-QUA-04</w:t>
      </w:r>
    </w:p>
    <w:p>
      <w:pPr>
        <w:pStyle w:val="Heading2"/>
      </w:pPr>
      <w:r>
        <w:t>DEC-QUA-05</w:t>
      </w:r>
    </w:p>
    <w:p>
      <w:r>
        <w:t xml:space="preserve">Close overdue management actions before quarter end.</w:t>
      </w:r>
    </w:p>
    <w:p>
      <w:r>
        <w:t xml:space="preserve">Owner: Country Director / Programme Executive • Window: 6–18 months • Cost: Medium — likely fundable from existing lines, pending confirmation • Indicator: Quarterly-verified progress against the milestones agreed for this medium-tier decision (DEC-QUA-05)</w:t>
      </w:r>
    </w:p>
    <w:p>
      <w:pPr>
        <w:pStyle w:val="Heading1"/>
      </w:pPr>
      <w:r>
        <w:t>Evidence Lineage &amp; Citation Registry</w:t>
      </w:r>
    </w:p>
    <w:p>
      <w:r>
        <w:t xml:space="preserve">EVI-QUA-001: [object Object] • APPROVED_SYNTHETIC_DEMONSTRATION • 94%</w:t>
      </w:r>
    </w:p>
    <w:p>
      <w:r>
        <w:t xml:space="preserve">EVI-QUA-002: [object Object] • APPROVED_SYNTHETIC_DEMONSTRATION • 95%</w:t>
      </w:r>
    </w:p>
    <w:p>
      <w:r>
        <w:t xml:space="preserve">EVI-QUA-003: [object Object] • APPROVED_SYNTHETIC_DEMONSTRATION • 96%</w:t>
      </w:r>
    </w:p>
    <w:p>
      <w:r>
        <w:t xml:space="preserve">EVI-QUA-004: [object Object] • APPROVED_SYNTHETIC_DEMONSTRATION • 97%</w:t>
      </w:r>
    </w:p>
    <w:p>
      <w:r>
        <w:t xml:space="preserve">EVI-QUA-005: [object Object] • APPROVED_SYNTHETIC_DEMONSTRATION • 98%</w:t>
      </w:r>
    </w:p>
    <w:p>
      <w:r>
        <w:t xml:space="preserve">EVI-QUA-006: [object Object] • APPROVED_SYNTHETIC_DEMONSTRATION • 88%</w:t>
      </w:r>
    </w:p>
    <w:p>
      <w:r>
        <w:t xml:space="preserve">EVI-QUA-007: [object Object] • APPROVED_SYNTHETIC_DEMONSTRATION • 89%</w:t>
      </w:r>
    </w:p>
    <w:p>
      <w:r>
        <w:t xml:space="preserve">EVI-QUA-008: [object Object] • APPROVED_SYNTHETIC_DEMONSTRATION • 90%</w:t>
      </w:r>
    </w:p>
    <w:p>
      <w:r>
        <w:t xml:space="preserve">EVI-QUA-009: [object Object] • APPROVED_SYNTHETIC_DEMONSTRATION • 91%</w:t>
      </w:r>
    </w:p>
    <w:p>
      <w:r>
        <w:t xml:space="preserve">EVI-QUA-010: [object Object] • APPROVED_SYNTHETIC_DEMONSTRATION • 92%</w:t>
      </w:r>
    </w:p>
    <w:p>
      <w:r>
        <w:t xml:space="preserve">CIT-EVI-QUA-001: VoiceInsights Africa. Quarterly Performance Intelligence Report. synthetic-quarterly-performance-intelligence-2026.1, EVI-QUA-001, Q1: How does milestone delivery affect programme delivery outcomes in North Portfolio?</w:t>
      </w:r>
    </w:p>
    <w:p>
      <w:r>
        <w:t xml:space="preserve">CIT-EVI-QUA-002: VoiceInsights Africa. Quarterly Performance Intelligence Report. synthetic-quarterly-performance-intelligence-2026.1, EVI-QUA-002, Q2: How does budget absorption quality affect programme delivery outcomes in Central Portfolio?</w:t>
      </w:r>
    </w:p>
    <w:p>
      <w:r>
        <w:t xml:space="preserve">CIT-EVI-QUA-003: VoiceInsights Africa. Quarterly Performance Intelligence Report. synthetic-quarterly-performance-intelligence-2026.1, EVI-QUA-003, Q3: How does partner performance affect programme delivery outcomes in Coastal Portfolio?</w:t>
      </w:r>
    </w:p>
    <w:p>
      <w:r>
        <w:t xml:space="preserve">CIT-EVI-QUA-004: VoiceInsights Africa. Quarterly Performance Intelligence Report. synthetic-quarterly-performance-intelligence-2026.1, EVI-QUA-004, Q4: How does procurement delay affect programme delivery outcomes in Cross-Cutting Services?</w:t>
      </w:r>
    </w:p>
    <w:p>
      <w:r>
        <w:t xml:space="preserve">CIT-EVI-QUA-005: VoiceInsights Africa. Quarterly Performance Intelligence Report. synthetic-quarterly-performance-intelligence-2026.1, EVI-QUA-005, Q5: How does corrective-action closure affect programme delivery outcomes in North Portfolio?</w:t>
      </w:r>
    </w:p>
    <w:p>
      <w:r>
        <w:t xml:space="preserve">CIT-EVI-QUA-006: VoiceInsights Africa. Quarterly Performance Intelligence Report. synthetic-quarterly-performance-intelligence-2026.1, EVI-QUA-006, Q6: How does milestone delivery affect programme delivery outcomes in Central Portfolio?</w:t>
      </w:r>
    </w:p>
    <w:p>
      <w:r>
        <w:t xml:space="preserve">CIT-EVI-QUA-007: VoiceInsights Africa. Quarterly Performance Intelligence Report. synthetic-quarterly-performance-intelligence-2026.1, EVI-QUA-007, Q7: How does budget absorption quality affect programme delivery outcomes in Coastal Portfolio?</w:t>
      </w:r>
    </w:p>
    <w:p>
      <w:r>
        <w:t xml:space="preserve">CIT-EVI-QUA-008: VoiceInsights Africa. Quarterly Performance Intelligence Report. synthetic-quarterly-performance-intelligence-2026.1, EVI-QUA-008, Q8: How does partner performance affect programme delivery outcomes in Cross-Cutting Services?</w:t>
      </w:r>
    </w:p>
    <w:p>
      <w:r>
        <w:t xml:space="preserve">CIT-EVI-QUA-009: VoiceInsights Africa. Quarterly Performance Intelligence Report. synthetic-quarterly-performance-intelligence-2026.1, EVI-QUA-009, Q9: How does procurement delay affect programme delivery outcomes in North Portfolio?</w:t>
      </w:r>
    </w:p>
    <w:p>
      <w:r>
        <w:t xml:space="preserve">CIT-EVI-QUA-010: VoiceInsights Africa. Quarterly Performance Intelligence Report. synthetic-quarterly-performance-intelligence-2026.1, EVI-QUA-010, Q10: How does corrective-action closure affect programme delivery outcomes in Central Portfolio?</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RBM: APPLIED_WHERE_RELEVANT — Mapped to EVI-QUA-001, EVI-QUA-002; Synthetic demonstration mapping; institutional validation not implied</w:t>
      </w:r>
    </w:p>
    <w:p>
      <w:r>
        <w:t xml:space="preserve">Risk Management: APPLIED_WHERE_RELEVANT — Mapped to EVI-QUA-002, EVI-QUA-003; Synthetic demonstration mapping; institutional validation not implied</w:t>
      </w:r>
    </w:p>
    <w:p>
      <w:r>
        <w:t xml:space="preserve">Data Protection: APPLIED_WHERE_RELEVANT — Mapped to EVI-QUA-003, EVI-QUA-004; Synthetic demonstration mapping; institutional validation not implied</w:t>
      </w:r>
    </w:p>
    <w:p>
      <w:r>
        <w:t xml:space="preserve">Evidence Traceability: APPLIED — Control linked to EVI-QUA-001 and the deterministic publication gate.</w:t>
      </w:r>
    </w:p>
    <w:p>
      <w:r>
        <w:t xml:space="preserve">Research Ethics: APPLIED — Control linked to EVI-QUA-002 and the deterministic publication gate.</w:t>
      </w:r>
    </w:p>
    <w:p>
      <w:r>
        <w:t xml:space="preserve">Data Protection: APPLIED — Control linked to EVI-QUA-003 and the deterministic publication gate.</w:t>
      </w:r>
    </w:p>
    <w:p>
      <w:r>
        <w:t xml:space="preserve">Accessibility: APPLIED — Control linked to EVI-QUA-004 and the deterministic publication gate.</w:t>
      </w:r>
    </w:p>
    <w:p>
      <w:r>
        <w:t xml:space="preserve">Responsible AI: APPLIED — Control linked to EVI-QUA-005 and the deterministic publication gate.</w:t>
      </w:r>
    </w:p>
    <w:p>
      <w:r>
        <w:t xml:space="preserve">Publication Integrity: APPLIED — Control linked to EVI-QUA-006 and the deterministic publication gate.</w:t>
      </w:r>
    </w:p>
    <w:p>
      <w:pPr>
        <w:pStyle w:val="Heading1"/>
      </w:pPr>
      <w:r>
        <w:t>SDG Contribution</w:t>
      </w:r>
    </w:p>
    <w:p>
      <w:r>
        <w:t xml:space="preserve">SDG 8: undefined — Indicators —</w:t>
      </w:r>
    </w:p>
    <w:p>
      <w:r>
        <w:t xml:space="preserve">SDG 16: undefined — Indicators —</w:t>
      </w:r>
    </w:p>
    <w:p>
      <w:r>
        <w:t xml:space="preserve">SDG 17: undefined — Indicators —</w:t>
      </w:r>
    </w:p>
    <w:p>
      <w:pPr>
        <w:pStyle w:val="Heading1"/>
      </w:pPr>
      <w:r>
        <w:t>OECD-DAC Evaluation Criteria</w:t>
      </w:r>
    </w:p>
    <w:p>
      <w:r>
        <w:t xml:space="preserve">Relevance: Synthetic evidence indicates a strong relevance signal, subject to the stated design limitations. (72/100) — Review relevance evidence at the next formal management gate.</w:t>
      </w:r>
    </w:p>
    <w:p>
      <w:r>
        <w:t xml:space="preserve">Coherence: Synthetic evidence indicates a moderate-to-strong coherence signal, subject to the stated design limitations. (73/100) — Review coherence evidence at the next formal management gate.</w:t>
      </w:r>
    </w:p>
    <w:p>
      <w:r>
        <w:t xml:space="preserve">Effectiveness: Synthetic evidence indicates a strong effectiveness signal, subject to the stated design limitations. (74/100) — Review effectiveness evidence at the next formal management gate.</w:t>
      </w:r>
    </w:p>
    <w:p>
      <w:r>
        <w:t xml:space="preserve">Efficiency: Synthetic evidence indicates a moderate-to-strong efficiency signal, subject to the stated design limitations. (75/100) — Review efficiency evidence at the next formal management gate.</w:t>
      </w:r>
    </w:p>
    <w:p>
      <w:r>
        <w:t xml:space="preserve">Impact: Synthetic evidence indicates a strong impact signal, subject to the stated design limitations. (76/100) — Review impact evidence at the next formal management gate.</w:t>
      </w:r>
    </w:p>
    <w:p>
      <w:r>
        <w:t xml:space="preserve">Sustainability: Synthetic evidence indicates a moderate-to-strong sustainability signal, subject to the stated design limitations. (77/100) — Review sustainability evidence at the next formal management gate.</w:t>
      </w:r>
    </w:p>
    <w:p>
      <w:pPr>
        <w:pStyle w:val="Heading1"/>
      </w:pPr>
      <w:r>
        <w:t>Results-Based Management</w:t>
      </w:r>
    </w:p>
    <w:p>
      <w:r>
        <w:t xml:space="preserve">Impact: Sustained, equitable improvement in programme delivery performance</w:t>
      </w:r>
    </w:p>
    <w:p>
      <w:r>
        <w:t xml:space="preserve">OC-01: Improved programme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APPLIED. Validate relevance and assign an accountable owner before live use.</w:t>
      </w:r>
    </w:p>
    <w:p>
      <w:r>
        <w:t xml:space="preserve">Commitment 2: CHS Commitment 2 — APPLIED. Validate relevance and assign an accountable owner before live use.</w:t>
      </w:r>
    </w:p>
    <w:p>
      <w:r>
        <w:t xml:space="preserve">Commitment 3: CHS Commitment 3 — APPLIED. Validate relevance and assign an accountable owner before live use.</w:t>
      </w:r>
    </w:p>
    <w:p>
      <w:r>
        <w:t xml:space="preserve">Commitment 4: CHS Commitment 4 — APPLIED. Validate relevance and assign an accountable owner before live use.</w:t>
      </w:r>
    </w:p>
    <w:p>
      <w:r>
        <w:t xml:space="preserve">Commitment 5: CHS Commitment 5 — APPLIED. Validate relevance and assign an accountable owner before live use.</w:t>
      </w:r>
    </w:p>
    <w:p>
      <w:r>
        <w:t xml:space="preserve">Commitment 6: CHS Commitment 6 — APPLIED. Validate relevance and assign an accountable owner before live use.</w:t>
      </w:r>
    </w:p>
    <w:p>
      <w:r>
        <w:t xml:space="preserve">Commitment 7: CHS Commitment 7 — APPLIED. Validate relevance and assign an accountable owner before live use.</w:t>
      </w:r>
    </w:p>
    <w:p>
      <w:r>
        <w:t xml:space="preserve">Commitment 8: CHS Commitment 8 — APPLIED. Validate relevance and assign an accountable owner before live use.</w:t>
      </w:r>
    </w:p>
    <w:p>
      <w:r>
        <w:t xml:space="preserve">Commitment 9: CHS Commitment 9 — APPLIED. Validate relevance and assign an accountable owner before live use.</w:t>
      </w:r>
    </w:p>
    <w:p>
      <w:pPr>
        <w:pStyle w:val="Heading1"/>
      </w:pPr>
      <w:r>
        <w:t>Evidence Register</w:t>
      </w:r>
    </w:p>
    <w:p>
      <w:r>
        <w:t xml:space="preserve">EVI-QUA-001 • survey • SYN-QUAR-0001 • APPROVED • 94%</w:t>
      </w:r>
    </w:p>
    <w:p>
      <w:r>
        <w:t xml:space="preserve">EVI-QUA-002 • key_informant_interview • SYN-QUAR-0002 • APPROVED • 95%</w:t>
      </w:r>
    </w:p>
    <w:p>
      <w:r>
        <w:t xml:space="preserve">EVI-QUA-003 • administrative_record • SYN-QUAR-0003 • APPROVED • 96%</w:t>
      </w:r>
    </w:p>
    <w:p>
      <w:r>
        <w:t xml:space="preserve">EVI-QUA-004 • survey • SYN-QUAR-0004 • APPROVED • 97%</w:t>
      </w:r>
    </w:p>
    <w:p>
      <w:r>
        <w:t xml:space="preserve">EVI-QUA-005 • key_informant_interview • SYN-QUAR-0005 • APPROVED • 98%</w:t>
      </w:r>
    </w:p>
    <w:p>
      <w:r>
        <w:t xml:space="preserve">EVI-QUA-006 • administrative_record • SYN-QUAR-0006 • APPROVED • 88%</w:t>
      </w:r>
    </w:p>
    <w:p>
      <w:r>
        <w:t xml:space="preserve">EVI-QUA-007 • survey • SYN-QUAR-0007 • APPROVED • 89%</w:t>
      </w:r>
    </w:p>
    <w:p>
      <w:r>
        <w:t xml:space="preserve">EVI-QUA-008 • key_informant_interview • SYN-QUAR-0008 • APPROVED • 90%</w:t>
      </w:r>
    </w:p>
    <w:p>
      <w:r>
        <w:t xml:space="preserve">EVI-QUA-009 • administrative_record • SYN-QUAR-0009 • APPROVED • 91%</w:t>
      </w:r>
    </w:p>
    <w:p>
      <w:r>
        <w:t xml:space="preserve">EVI-QUA-010 • survey • SYN-QUAR-0010 • APPROVED • 92%</w:t>
      </w:r>
    </w:p>
    <w:p>
      <w:pPr>
        <w:pStyle w:val="Heading1"/>
      </w:pPr>
      <w:r>
        <w:t>Data Dictionary</w:t>
      </w:r>
    </w:p>
    <w:p>
      <w:r>
        <w:t xml:space="preserve">indicator_1: Synthetic Programme Delivery indicator 1; numeric; allowed: 0–100; missing: NA</w:t>
      </w:r>
    </w:p>
    <w:p>
      <w:r>
        <w:t xml:space="preserve">indicator_2: Synthetic Programme Delivery indicator 2; categorical; allowed: Documented code list; missing: NA</w:t>
      </w:r>
    </w:p>
    <w:p>
      <w:r>
        <w:t xml:space="preserve">indicator_3: Synthetic Programme Delivery indicator 3; categorical; allowed: Documented code list; missing: NA</w:t>
      </w:r>
    </w:p>
    <w:p>
      <w:r>
        <w:t xml:space="preserve">indicator_4: Synthetic Programme Delivery indicator 4; numeric; allowed: 0–100; missing: NA</w:t>
      </w:r>
    </w:p>
    <w:p>
      <w:r>
        <w:t xml:space="preserve">indicator_5: Synthetic Programme Delivery indicator 5; categorical; allowed: Documented code list; missing: NA</w:t>
      </w:r>
    </w:p>
    <w:p>
      <w:r>
        <w:t xml:space="preserve">indicator_6: Synthetic Programme Delivery indicator 6; categorical; allowed: Documented code list; missing: NA</w:t>
      </w:r>
    </w:p>
    <w:p>
      <w:r>
        <w:t xml:space="preserve">indicator_7: Synthetic Programme Delivery indicator 7; numeric; allowed: 0–100; missing: NA</w:t>
      </w:r>
    </w:p>
    <w:p>
      <w:r>
        <w:t xml:space="preserve">indicator_8: Synthetic Programme Delivery indicator 8; categorical; allowed: Documented code list; missing: NA</w:t>
      </w:r>
    </w:p>
    <w:p>
      <w:r>
        <w:t xml:space="preserve">indicator_9: Synthetic Programme Delivery indicator 9; categorical; allowed: Documented code list; missing: NA</w:t>
      </w:r>
    </w:p>
    <w:p>
      <w:r>
        <w:t xml:space="preserve">indicator_10: Synthetic Programme Delivery indicator 10; numeric; allowed: 0–100; missing: NA</w:t>
      </w:r>
    </w:p>
    <w:p>
      <w:r>
        <w:t xml:space="preserve">indicator_11: Synthetic Programme Delivery indicator 11; categorical; allowed: Documented code list; missing: NA</w:t>
      </w:r>
    </w:p>
    <w:p>
      <w:r>
        <w:t xml:space="preserve">indicator_12: Synthetic Programme Delivery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