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Social Protection Targeting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Zambia has made real gains in social protection performance — and real gaps remain alongside them. This publication separates the two, using a governed evidence model built to surface risk and opportunity, not just describe them. No claim in this publication stands alone: findings link to synthetic evidence, recommendations carry a named owner, and every statistic shares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Targeting-error patterns</w:t>
      </w:r>
    </w:p>
    <w:p>
      <w:r>
        <w:t xml:space="preserve">Targeting-error patterns has become an accountability question rather than a measurement question. Evidence from Eastern Province places the signal at 73% and shows that rural women experience the largest gap between policy intent and lived delivery. The choice facing social protection leadership in Zambia is straightforward even if the fix is not: act on targeting-error patterns now, concentrated in Eastern Province where rural women carry the largest share of the gap, or accept a wider gap in a year's time.</w:t>
      </w:r>
    </w:p>
    <w:p>
      <w:r>
        <w:t xml:space="preserve">Evidence: EVI-SOC-001, EVI-SOC-004 • Confidence 92%</w:t>
      </w:r>
    </w:p>
    <w:p>
      <w:pPr>
        <w:pStyle w:val="Heading2"/>
      </w:pPr>
      <w:r>
        <w:t>Cash-transfer equity gaps</w:t>
      </w:r>
    </w:p>
    <w:p>
      <w:r>
        <w:t xml:space="preserve">74%. That is the cash-transfer equity gaps signal recorded in Southern Province, and the headline figure understates the problem: disaggregated by group, young adults sit well below it. The clearest gap sits in Southern Province, concentrated among young adults. A twelve-month delay would let the gap compound into a harder, costlier problem.</w:t>
      </w:r>
    </w:p>
    <w:p>
      <w:r>
        <w:t xml:space="preserve">Evidence: EVI-SOC-002, EVI-SOC-005 • Confidence 93%</w:t>
      </w:r>
    </w:p>
    <w:p>
      <w:pPr>
        <w:pStyle w:val="Heading2"/>
      </w:pPr>
      <w:r>
        <w:t>Beneficiary-verification reliability</w:t>
      </w:r>
    </w:p>
    <w:p>
      <w:r>
        <w:t xml:space="preserve">The aggregate result conceals a material implementation divide. Western Province records a 75% signal for beneficiary-verification reliability; the shortfall is concentrated among persons with disabilities, where service continuity and confidence move together. Of every study area examined in Zambia, beneficiary-verification reliability shows up hardest there, and persons with disabilities feel it most. A year of inaction would turn a gap into a pattern that is far harder to reverse.</w:t>
      </w:r>
    </w:p>
    <w:p>
      <w:r>
        <w:t xml:space="preserve">Evidence: EVI-SOC-003, EVI-SOC-006 • Confidence 94%</w:t>
      </w:r>
    </w:p>
    <w:p>
      <w:pPr>
        <w:pStyle w:val="Heading2"/>
      </w:pPr>
      <w:r>
        <w:t>Grievance-redress responsiveness</w:t>
      </w:r>
    </w:p>
    <w:p>
      <w:r>
        <w:t xml:space="preserve">Two things are true at once about grievance-redress responsiveness. The national picture is improving, and Copperbelt Province — where frontline workers report a 76% signal — is not improving fast enough to close the gap. Social protection performance in Zambia looks stable in aggregate but splits sharply once grievance-redress responsiveness is disaggregated. Copperbelt Province anchors the low end, and frontline workers bear most of that shortfall — a pattern that risks compounding without intervention within the year.</w:t>
      </w:r>
    </w:p>
    <w:p>
      <w:r>
        <w:t xml:space="preserve">Evidence: EVI-SOC-004, EVI-SOC-007 • Confidence 89.5%</w:t>
      </w:r>
    </w:p>
    <w:p>
      <w:pPr>
        <w:pStyle w:val="Heading2"/>
      </w:pPr>
      <w:r>
        <w:t>Programme graduation readiness</w:t>
      </w:r>
    </w:p>
    <w:p>
      <w:r>
        <w:t xml:space="preserve">Progress on programme graduation readiness remains visible but not yet durable. The 77% result in Eastern Province weakens after disaggregation, particularly for low-income households, suggesting that current gains depend on delivery conditions that remain fragile. The clearest signal in this dataset — though not the only one — is programme graduation readiness in Eastern Province, where low-income households sit furthest from parity.</w:t>
      </w:r>
    </w:p>
    <w:p>
      <w:r>
        <w:t xml:space="preserve">Evidence: EVI-SOC-005, EVI-SOC-008 • Confidence 90.5%</w:t>
      </w:r>
    </w:p>
    <w:p>
      <w:pPr>
        <w:pStyle w:val="Heading1"/>
      </w:pPr>
      <w:r>
        <w:t>Regional Intelligence</w:t>
      </w:r>
    </w:p>
    <w:p>
      <w:r>
        <w:t xml:space="preserve">Eastern Province: 81% • 1274 responses • Risk STABLE</w:t>
      </w:r>
    </w:p>
    <w:p>
      <w:r>
        <w:t xml:space="preserve">Southern Province: 82% • 1108 responses • Risk STABLE</w:t>
      </w:r>
    </w:p>
    <w:p>
      <w:r>
        <w:t xml:space="preserve">Western Province: 83% • 944 responses • Risk STABLE</w:t>
      </w:r>
    </w:p>
    <w:p>
      <w:r>
        <w:t xml:space="preserve">Copperbelt Province: 84% • 780 responses • Risk STABLE</w:t>
      </w:r>
    </w:p>
    <w:p>
      <w:pPr>
        <w:pStyle w:val="Heading1"/>
      </w:pPr>
      <w:r>
        <w:t>Indicators and Target Gaps</w:t>
      </w:r>
    </w:p>
    <w:p>
      <w:r>
        <w:t xml:space="preserve">IND-01 Targeting-error rate: 54% vs 78% — OFF_TRACK</w:t>
      </w:r>
    </w:p>
    <w:p>
      <w:r>
        <w:t xml:space="preserve">IND-02 Cash-transfer equity gap: 55% vs 79% — OFF_TRACK</w:t>
      </w:r>
    </w:p>
    <w:p>
      <w:r>
        <w:t xml:space="preserve">IND-03 Beneficiary-verification reliability: 56% vs 80% — OFF_TRACK</w:t>
      </w:r>
    </w:p>
    <w:p>
      <w:r>
        <w:t xml:space="preserve">IND-04 Grievance-redress responsiveness: 57% vs 81% — OFF_TRACK</w:t>
      </w:r>
    </w:p>
    <w:p>
      <w:pPr>
        <w:pStyle w:val="Heading1"/>
      </w:pPr>
      <w:r>
        <w:t>Respondent Voice</w:t>
      </w:r>
    </w:p>
    <w:p>
      <w:r>
        <w:t xml:space="preserve">Eastern Province: “Rural women in Eastern Province put it plainly: targeting-error patterns is what decides whether progress holds or slips back.”</w:t>
      </w:r>
    </w:p>
    <w:p>
      <w:r>
        <w:t xml:space="preserve">Southern Province: “Why does Southern Province lag behind? Ask young adults, and the answer comes back to cash-transfer equity gaps.”</w:t>
      </w:r>
    </w:p>
    <w:p>
      <w:r>
        <w:t xml:space="preserve">Western Province: “Elsewhere, beneficiary-verification reliability might be a footnote. For persons with disabilities in Western Province, it is the whole story.”</w:t>
      </w:r>
    </w:p>
    <w:p>
      <w:r>
        <w:t xml:space="preserve">Copperbelt Province: “Frontline workers in Copperbelt Province frame it simply: when grievance-redress responsiveness breaks down, everything else does too.”</w:t>
      </w:r>
    </w:p>
    <w:p>
      <w:r>
        <w:t xml:space="preserve">Eastern Province: “In Eastern Province, programme graduation readiness shapes whether low-income households can turn services into lasting outcomes.”</w:t>
      </w:r>
    </w:p>
    <w:p>
      <w:r>
        <w:t xml:space="preserve">Southern Province: “Service managers in Southern Province put it plainly: targeting-error patterns is what decides whether progress holds or slips back.”</w:t>
      </w:r>
    </w:p>
    <w:p>
      <w:r>
        <w:t xml:space="preserve">Western Province: “Why does Western Province lag behind? Ask community leaders, and the answer comes back to cash-transfer equity gaps.”</w:t>
      </w:r>
    </w:p>
    <w:p>
      <w:r>
        <w:t xml:space="preserve">Copperbelt Province: “Elsewhere, beneficiary-verification reliability might be a footnote. For private-sector partners in Copperbelt Province, it is the whole story.”</w:t>
      </w:r>
    </w:p>
    <w:p>
      <w:r>
        <w:t xml:space="preserve">Eastern Province: “Rural women in Eastern Province frame it simply: when grievance-redress responsiveness breaks down, everything else does too.”</w:t>
      </w:r>
    </w:p>
    <w:p>
      <w:r>
        <w:t xml:space="preserve">Southern Province: “In Southern Province, programme graduation readiness shapes whether young adults can turn services into lasting outcomes.”</w:t>
      </w:r>
    </w:p>
    <w:p>
      <w:pPr>
        <w:pStyle w:val="Heading1"/>
      </w:pPr>
      <w:r>
        <w:t>Decision Intelligence</w:t>
      </w:r>
    </w:p>
    <w:p>
      <w:pPr>
        <w:pStyle w:val="Heading2"/>
      </w:pPr>
      <w:r>
        <w:t>DEC-SOC-01 CRITICAL</w:t>
      </w:r>
    </w:p>
    <w:p>
      <w:r>
        <w:t xml:space="preserve">Correct the targeting-error pattern most undermining programme equity.</w:t>
      </w:r>
    </w:p>
    <w:p>
      <w:r>
        <w:t xml:space="preserve">Owner: Permanent Secretary • Timeline: 0–90 days • Budget: Medium to high — requires a dedicated budget line and phased release • Indicator: Proportion of agreed implementation steps verified on schedule for DEC-SOC-01</w:t>
      </w:r>
    </w:p>
    <w:p>
      <w:pPr>
        <w:pStyle w:val="Heading2"/>
      </w:pPr>
      <w:r>
        <w:t>DEC-SOC-02 CRITICAL</w:t>
      </w:r>
    </w:p>
    <w:p>
      <w:r>
        <w:t xml:space="preserve">Close cash-transfer equity gaps in the least-covered districts.</w:t>
      </w:r>
    </w:p>
    <w:p>
      <w:r>
        <w:t xml:space="preserve">Owner: Permanent Secretary • Timeline: 3–12 months • Budget: High — full business case and multi-year funding commitment required • Indicator: Quarterly-verified progress against the milestones agreed for this critical-tier decision (DEC-SOC-02)</w:t>
      </w:r>
    </w:p>
    <w:p>
      <w:pPr>
        <w:pStyle w:val="Heading2"/>
      </w:pPr>
      <w:r>
        <w:t>DEC-SOC-03 HIGH</w:t>
      </w:r>
    </w:p>
    <w:p>
      <w:r>
        <w:t xml:space="preserve">Strengthen beneficiary-verification reliability.</w:t>
      </w:r>
    </w:p>
    <w:p>
      <w:r>
        <w:t xml:space="preserve">Owner: Permanent Secretary • Timeline: 3–12 months • Budget: Low — deliverable inside the current operating budget with light validation • Indicator: Number of agreed milestones for DEC-SOC-03 confirmed complete at each quarterly review</w:t>
      </w:r>
    </w:p>
    <w:p>
      <w:pPr>
        <w:pStyle w:val="Heading2"/>
      </w:pPr>
      <w:r>
        <w:t>DEC-SOC-04 HIGH</w:t>
      </w:r>
    </w:p>
    <w:p>
      <w:r>
        <w:t xml:space="preserve">Improve grievance-redress responsiveness.</w:t>
      </w:r>
    </w:p>
    <w:p>
      <w:r>
        <w:t xml:space="preserve">Owner: Permanent Secretary • Timeline: 3–12 months • Budget: Medium — likely fundable from existing lines, pending confirmation • Indicator: Percentage of agreed milestones completed for DEC-SOC-04</w:t>
      </w:r>
    </w:p>
    <w:p>
      <w:pPr>
        <w:pStyle w:val="Heading2"/>
      </w:pPr>
      <w:r>
        <w:t>DEC-SOC-05 MEDIUM</w:t>
      </w:r>
    </w:p>
    <w:p>
      <w:r>
        <w:t xml:space="preserve">Build programme-graduation readiness pathways.</w:t>
      </w:r>
    </w:p>
    <w:p>
      <w:r>
        <w:t xml:space="preserve">Owner: Permanent Secretary • Timeline: 6–18 months • Budget: Low to medium — validate through the formal planning cycle • Indicator: Share of the medium-tier delivery plan confirmed complete each quarter (DEC-SOC-05)</w:t>
      </w:r>
    </w:p>
    <w:p>
      <w:pPr>
        <w:pStyle w:val="Heading1"/>
      </w:pPr>
      <w:r>
        <w:t>Methodology</w:t>
      </w:r>
    </w:p>
    <w:p>
      <w:r>
        <w:t xml:space="preserve">research objectives: ["Assess social protection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Zambia</w:t>
      </w:r>
    </w:p>
    <w:p>
      <w:r>
        <w:t xml:space="preserve">sample size: 4106</w:t>
      </w:r>
    </w:p>
    <w:p>
      <w:r>
        <w:t xml:space="preserve">stratification: ["Region","Location type","Sex","Age","Disability"]</w:t>
      </w:r>
    </w:p>
    <w:p>
      <w:r>
        <w:t xml:space="preserve">weights: Normalized post-stratification weights</w:t>
      </w:r>
    </w:p>
    <w:p>
      <w:r>
        <w:t xml:space="preserve">confidence intervals: 95%</w:t>
      </w:r>
    </w:p>
    <w:p>
      <w:r>
        <w:t xml:space="preserve">design effect: 1.4</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DEC-SOC-01</w:t>
      </w:r>
    </w:p>
    <w:p>
      <w:r>
        <w:t xml:space="preserve">Correct the targeting-error pattern most undermining programme equity.</w:t>
      </w:r>
    </w:p>
    <w:p>
      <w:r>
        <w:t xml:space="preserve">Owner: Permanent Secretary • Window: 0–90 days • Cost: Medium to high — requires a dedicated budget line and phased release • Indicator: Proportion of agreed implementation steps verified on schedule for DEC-SOC-01</w:t>
      </w:r>
    </w:p>
    <w:p>
      <w:pPr>
        <w:pStyle w:val="Heading2"/>
      </w:pPr>
      <w:r>
        <w:t>DEC-SOC-02</w:t>
      </w:r>
    </w:p>
    <w:p>
      <w:r>
        <w:t xml:space="preserve">Close cash-transfer equity gaps in the least-covered districts.</w:t>
      </w:r>
    </w:p>
    <w:p>
      <w:r>
        <w:t xml:space="preserve">Owner: Permanent Secretary • Window: 3–12 months • Cost: High — full business case and multi-year funding commitment required • Indicator: Quarterly-verified progress against the milestones agreed for this critical-tier decision (DEC-SOC-02)</w:t>
      </w:r>
    </w:p>
    <w:p>
      <w:pPr>
        <w:pStyle w:val="Heading2"/>
      </w:pPr>
      <w:r>
        <w:t>DEC-SOC-03</w:t>
      </w:r>
    </w:p>
    <w:p>
      <w:r>
        <w:t xml:space="preserve">Strengthen beneficiary-verification reliability.</w:t>
      </w:r>
    </w:p>
    <w:p>
      <w:r>
        <w:t xml:space="preserve">Owner: Permanent Secretary • Window: 3–12 months • Cost: Low — deliverable inside the current operating budget with light validation • Indicator: Number of agreed milestones for DEC-SOC-03 confirmed complete at each quarterly review</w:t>
      </w:r>
    </w:p>
    <w:p>
      <w:pPr>
        <w:pStyle w:val="Heading2"/>
      </w:pPr>
      <w:r>
        <w:t>DEC-SOC-04</w:t>
      </w:r>
    </w:p>
    <w:p>
      <w:r>
        <w:t xml:space="preserve">Improve grievance-redress responsiveness.</w:t>
      </w:r>
    </w:p>
    <w:p>
      <w:r>
        <w:t xml:space="preserve">Owner: Permanent Secretary • Window: 3–12 months • Cost: Medium — likely fundable from existing lines, pending confirmation • Indicator: Percentage of agreed milestones completed for DEC-SOC-04</w:t>
      </w:r>
    </w:p>
    <w:p>
      <w:pPr>
        <w:pStyle w:val="Heading2"/>
      </w:pPr>
      <w:r>
        <w:t>DEC-SOC-05</w:t>
      </w:r>
    </w:p>
    <w:p>
      <w:r>
        <w:t xml:space="preserve">Build programme-graduation readiness pathways.</w:t>
      </w:r>
    </w:p>
    <w:p>
      <w:r>
        <w:t xml:space="preserve">Owner: Permanent Secretary • Window: 6–18 months • Cost: Low to medium — validate through the formal planning cycle • Indicator: Share of the medium-tier delivery plan confirmed complete each quarter (DEC-SOC-05)</w:t>
      </w:r>
    </w:p>
    <w:p>
      <w:pPr>
        <w:pStyle w:val="Heading1"/>
      </w:pPr>
      <w:r>
        <w:t>Evidence Lineage &amp; Citation Registry</w:t>
      </w:r>
    </w:p>
    <w:p>
      <w:r>
        <w:t xml:space="preserve">EVI-SOC-001: [object Object] • APPROVED_SYNTHETIC_DEMONSTRATION • 96%</w:t>
      </w:r>
    </w:p>
    <w:p>
      <w:r>
        <w:t xml:space="preserve">EVI-SOC-002: [object Object] • APPROVED_SYNTHETIC_DEMONSTRATION • 97%</w:t>
      </w:r>
    </w:p>
    <w:p>
      <w:r>
        <w:t xml:space="preserve">EVI-SOC-003: [object Object] • APPROVED_SYNTHETIC_DEMONSTRATION • 98%</w:t>
      </w:r>
    </w:p>
    <w:p>
      <w:r>
        <w:t xml:space="preserve">EVI-SOC-004: [object Object] • APPROVED_SYNTHETIC_DEMONSTRATION • 88%</w:t>
      </w:r>
    </w:p>
    <w:p>
      <w:r>
        <w:t xml:space="preserve">EVI-SOC-005: [object Object] • APPROVED_SYNTHETIC_DEMONSTRATION • 89%</w:t>
      </w:r>
    </w:p>
    <w:p>
      <w:r>
        <w:t xml:space="preserve">EVI-SOC-006: [object Object] • APPROVED_SYNTHETIC_DEMONSTRATION • 90%</w:t>
      </w:r>
    </w:p>
    <w:p>
      <w:r>
        <w:t xml:space="preserve">EVI-SOC-007: [object Object] • APPROVED_SYNTHETIC_DEMONSTRATION • 91%</w:t>
      </w:r>
    </w:p>
    <w:p>
      <w:r>
        <w:t xml:space="preserve">EVI-SOC-008: [object Object] • APPROVED_SYNTHETIC_DEMONSTRATION • 92%</w:t>
      </w:r>
    </w:p>
    <w:p>
      <w:r>
        <w:t xml:space="preserve">EVI-SOC-009: [object Object] • APPROVED_SYNTHETIC_DEMONSTRATION • 93%</w:t>
      </w:r>
    </w:p>
    <w:p>
      <w:r>
        <w:t xml:space="preserve">EVI-SOC-010: [object Object] • APPROVED_SYNTHETIC_DEMONSTRATION • 94%</w:t>
      </w:r>
    </w:p>
    <w:p>
      <w:r>
        <w:t xml:space="preserve">CIT-EVI-SOC-001: VoiceInsights Africa. Social Protection Targeting Intelligence Report. synthetic-social-protection-targeting-intelligence-2026.1, EVI-SOC-001, Q1: How does targeting-error patterns affect social protection outcomes in Eastern Province?</w:t>
      </w:r>
    </w:p>
    <w:p>
      <w:r>
        <w:t xml:space="preserve">CIT-EVI-SOC-002: VoiceInsights Africa. Social Protection Targeting Intelligence Report. synthetic-social-protection-targeting-intelligence-2026.1, EVI-SOC-002, Q2: How does cash-transfer equity gaps affect social protection outcomes in Southern Province?</w:t>
      </w:r>
    </w:p>
    <w:p>
      <w:r>
        <w:t xml:space="preserve">CIT-EVI-SOC-003: VoiceInsights Africa. Social Protection Targeting Intelligence Report. synthetic-social-protection-targeting-intelligence-2026.1, EVI-SOC-003, Q3: How does beneficiary-verification reliability affect social protection outcomes in Western Province?</w:t>
      </w:r>
    </w:p>
    <w:p>
      <w:r>
        <w:t xml:space="preserve">CIT-EVI-SOC-004: VoiceInsights Africa. Social Protection Targeting Intelligence Report. synthetic-social-protection-targeting-intelligence-2026.1, EVI-SOC-004, Q4: How does grievance-redress responsiveness affect social protection outcomes in Copperbelt Province?</w:t>
      </w:r>
    </w:p>
    <w:p>
      <w:r>
        <w:t xml:space="preserve">CIT-EVI-SOC-005: VoiceInsights Africa. Social Protection Targeting Intelligence Report. synthetic-social-protection-targeting-intelligence-2026.1, EVI-SOC-005, Q5: How does programme graduation readiness affect social protection outcomes in Eastern Province?</w:t>
      </w:r>
    </w:p>
    <w:p>
      <w:r>
        <w:t xml:space="preserve">CIT-EVI-SOC-006: VoiceInsights Africa. Social Protection Targeting Intelligence Report. synthetic-social-protection-targeting-intelligence-2026.1, EVI-SOC-006, Q6: How does targeting-error patterns affect social protection outcomes in Southern Province?</w:t>
      </w:r>
    </w:p>
    <w:p>
      <w:r>
        <w:t xml:space="preserve">CIT-EVI-SOC-007: VoiceInsights Africa. Social Protection Targeting Intelligence Report. synthetic-social-protection-targeting-intelligence-2026.1, EVI-SOC-007, Q7: How does cash-transfer equity gaps affect social protection outcomes in Western Province?</w:t>
      </w:r>
    </w:p>
    <w:p>
      <w:r>
        <w:t xml:space="preserve">CIT-EVI-SOC-008: VoiceInsights Africa. Social Protection Targeting Intelligence Report. synthetic-social-protection-targeting-intelligence-2026.1, EVI-SOC-008, Q8: How does beneficiary-verification reliability affect social protection outcomes in Copperbelt Province?</w:t>
      </w:r>
    </w:p>
    <w:p>
      <w:r>
        <w:t xml:space="preserve">CIT-EVI-SOC-009: VoiceInsights Africa. Social Protection Targeting Intelligence Report. synthetic-social-protection-targeting-intelligence-2026.1, EVI-SOC-009, Q9: How does grievance-redress responsiveness affect social protection outcomes in Eastern Province?</w:t>
      </w:r>
    </w:p>
    <w:p>
      <w:r>
        <w:t xml:space="preserve">CIT-EVI-SOC-010: VoiceInsights Africa. Social Protection Targeting Intelligence Report. synthetic-social-protection-targeting-intelligence-2026.1, EVI-SOC-010, Q10: How does programme graduation readiness affect social protection outcomes in Southern Province?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1: APPLIED_WHERE_RELEVANT — Mapped to EVI-SOC-001, EVI-SOC-002; Synthetic demonstration mapping; institutional validation not implied</w:t>
      </w:r>
    </w:p>
    <w:p>
      <w:r>
        <w:t xml:space="preserve">SDG 10: APPLIED_WHERE_RELEVANT — Mapped to EVI-SOC-002, EVI-SOC-003; Synthetic demonstration mapping; institutional validation not implied</w:t>
      </w:r>
    </w:p>
    <w:p>
      <w:r>
        <w:t xml:space="preserve">Data Protection: APPLIED_WHERE_RELEVANT — Mapped to EVI-SOC-003, EVI-SOC-004; Synthetic demonstration mapping; institutional validation not implied</w:t>
      </w:r>
    </w:p>
    <w:p>
      <w:r>
        <w:t xml:space="preserve">Evidence Traceability: APPLIED — Control linked to EVI-SOC-001 and the deterministic publication gate.</w:t>
      </w:r>
    </w:p>
    <w:p>
      <w:r>
        <w:t xml:space="preserve">Research Ethics: APPLIED — Control linked to EVI-SOC-002 and the deterministic publication gate.</w:t>
      </w:r>
    </w:p>
    <w:p>
      <w:r>
        <w:t xml:space="preserve">Data Protection: APPLIED — Control linked to EVI-SOC-003 and the deterministic publication gate.</w:t>
      </w:r>
    </w:p>
    <w:p>
      <w:r>
        <w:t xml:space="preserve">Accessibility: APPLIED — Control linked to EVI-SOC-004 and the deterministic publication gate.</w:t>
      </w:r>
    </w:p>
    <w:p>
      <w:r>
        <w:t xml:space="preserve">Responsible AI: APPLIED — Control linked to EVI-SOC-005 and the deterministic publication gate.</w:t>
      </w:r>
    </w:p>
    <w:p>
      <w:r>
        <w:t xml:space="preserve">Publication Integrity: APPLIED — Control linked to EVI-SOC-006 and the deterministic publication gate.</w:t>
      </w:r>
    </w:p>
    <w:p>
      <w:pPr>
        <w:pStyle w:val="Heading1"/>
      </w:pPr>
      <w:r>
        <w:t>SDG Contribution</w:t>
      </w:r>
    </w:p>
    <w:p>
      <w:r>
        <w:t xml:space="preserve">SDG 1: undefined — Indicators —</w:t>
      </w:r>
    </w:p>
    <w:p>
      <w:r>
        <w:t xml:space="preserve">SDG 10: undefined — Indicators —</w:t>
      </w:r>
    </w:p>
    <w:p>
      <w:r>
        <w:t xml:space="preserve">SDG 1: undefined — Indicators —</w:t>
      </w:r>
    </w:p>
    <w:p>
      <w:pPr>
        <w:pStyle w:val="Heading1"/>
      </w:pPr>
      <w:r>
        <w:t>OECD-DAC Evaluation Criteria</w:t>
      </w:r>
    </w:p>
    <w:p>
      <w:r>
        <w:t xml:space="preserve">Relevance: Synthetic evidence indicates a strong relevance signal, subject to the stated design limitations. (83/100) — Review relevance evidence at the next formal management gate.</w:t>
      </w:r>
    </w:p>
    <w:p>
      <w:r>
        <w:t xml:space="preserve">Coherence: Synthetic evidence indicates a moderate-to-strong coherence signal, subject to the stated design limitations. (84/100) — Review coherence evidence at the next formal management gate.</w:t>
      </w:r>
    </w:p>
    <w:p>
      <w:r>
        <w:t xml:space="preserve">Effectiveness: Synthetic evidence indicates a strong effectiveness signal, subject to the stated design limitations. (85/100) — Review effectiveness evidence at the next formal management gate.</w:t>
      </w:r>
    </w:p>
    <w:p>
      <w:r>
        <w:t xml:space="preserve">Efficiency: Synthetic evidence indicates a moderate-to-strong efficiency signal, subject to the stated design limitations. (86/100) — Review efficiency evidence at the next formal management gate.</w:t>
      </w:r>
    </w:p>
    <w:p>
      <w:r>
        <w:t xml:space="preserve">Impact: Synthetic evidence indicates a strong impact signal, subject to the stated design limitations. (87/100) — Review impact evidence at the next formal management gate.</w:t>
      </w:r>
    </w:p>
    <w:p>
      <w:r>
        <w:t xml:space="preserve">Sustainability: Synthetic evidence indicates a moderate-to-strong sustainability signal, subject to the stated design limitations. (88/100) — Review sustainability evidence at the next formal management gate.</w:t>
      </w:r>
    </w:p>
    <w:p>
      <w:pPr>
        <w:pStyle w:val="Heading1"/>
      </w:pPr>
      <w:r>
        <w:t>Results-Based Management</w:t>
      </w:r>
    </w:p>
    <w:p>
      <w:r>
        <w:t xml:space="preserve">Impact: Sustained, equitable improvement in social protection performance</w:t>
      </w:r>
    </w:p>
    <w:p>
      <w:r>
        <w:t xml:space="preserve">OC-01: Improved social protection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EVI-SOC-001 • survey • SYN-SOCI-0001 • APPROVED • 96%</w:t>
      </w:r>
    </w:p>
    <w:p>
      <w:r>
        <w:t xml:space="preserve">EVI-SOC-002 • key_informant_interview • SYN-SOCI-0002 • APPROVED • 97%</w:t>
      </w:r>
    </w:p>
    <w:p>
      <w:r>
        <w:t xml:space="preserve">EVI-SOC-003 • administrative_record • SYN-SOCI-0003 • APPROVED • 98%</w:t>
      </w:r>
    </w:p>
    <w:p>
      <w:r>
        <w:t xml:space="preserve">EVI-SOC-004 • survey • SYN-SOCI-0004 • APPROVED • 88%</w:t>
      </w:r>
    </w:p>
    <w:p>
      <w:r>
        <w:t xml:space="preserve">EVI-SOC-005 • key_informant_interview • SYN-SOCI-0005 • APPROVED • 89%</w:t>
      </w:r>
    </w:p>
    <w:p>
      <w:r>
        <w:t xml:space="preserve">EVI-SOC-006 • administrative_record • SYN-SOCI-0006 • APPROVED • 90%</w:t>
      </w:r>
    </w:p>
    <w:p>
      <w:r>
        <w:t xml:space="preserve">EVI-SOC-007 • survey • SYN-SOCI-0007 • APPROVED • 91%</w:t>
      </w:r>
    </w:p>
    <w:p>
      <w:r>
        <w:t xml:space="preserve">EVI-SOC-008 • key_informant_interview • SYN-SOCI-0008 • APPROVED • 92%</w:t>
      </w:r>
    </w:p>
    <w:p>
      <w:r>
        <w:t xml:space="preserve">EVI-SOC-009 • administrative_record • SYN-SOCI-0009 • APPROVED • 93%</w:t>
      </w:r>
    </w:p>
    <w:p>
      <w:r>
        <w:t xml:space="preserve">EVI-SOC-010 • survey • SYN-SOCI-0010 • APPROVED • 94%</w:t>
      </w:r>
    </w:p>
    <w:p>
      <w:pPr>
        <w:pStyle w:val="Heading1"/>
      </w:pPr>
      <w:r>
        <w:t>Data Dictionary</w:t>
      </w:r>
    </w:p>
    <w:p>
      <w:r>
        <w:t xml:space="preserve">indicator_1: Synthetic Social Protection indicator 1; numeric; allowed: 0–100; missing: NA</w:t>
      </w:r>
    </w:p>
    <w:p>
      <w:r>
        <w:t xml:space="preserve">indicator_2: Synthetic Social Protection indicator 2; categorical; allowed: Documented code list; missing: NA</w:t>
      </w:r>
    </w:p>
    <w:p>
      <w:r>
        <w:t xml:space="preserve">indicator_3: Synthetic Social Protection indicator 3; categorical; allowed: Documented code list; missing: NA</w:t>
      </w:r>
    </w:p>
    <w:p>
      <w:r>
        <w:t xml:space="preserve">indicator_4: Synthetic Social Protection indicator 4; numeric; allowed: 0–100; missing: NA</w:t>
      </w:r>
    </w:p>
    <w:p>
      <w:r>
        <w:t xml:space="preserve">indicator_5: Synthetic Social Protection indicator 5; categorical; allowed: Documented code list; missing: NA</w:t>
      </w:r>
    </w:p>
    <w:p>
      <w:r>
        <w:t xml:space="preserve">indicator_6: Synthetic Social Protection indicator 6; categorical; allowed: Documented code list; missing: NA</w:t>
      </w:r>
    </w:p>
    <w:p>
      <w:r>
        <w:t xml:space="preserve">indicator_7: Synthetic Social Protection indicator 7; numeric; allowed: 0–100; missing: NA</w:t>
      </w:r>
    </w:p>
    <w:p>
      <w:r>
        <w:t xml:space="preserve">indicator_8: Synthetic Social Protection indicator 8; categorical; allowed: Documented code list; missing: NA</w:t>
      </w:r>
    </w:p>
    <w:p>
      <w:r>
        <w:t xml:space="preserve">indicator_9: Synthetic Social Protection indicator 9; categorical; allowed: Documented code list; missing: NA</w:t>
      </w:r>
    </w:p>
    <w:p>
      <w:r>
        <w:t xml:space="preserve">indicator_10: Synthetic Social Protection indicator 10; numeric; allowed: 0–100; missing: NA</w:t>
      </w:r>
    </w:p>
    <w:p>
      <w:r>
        <w:t xml:space="preserve">indicator_11: Synthetic Social Protection indicator 11; categorical; allowed: Documented code list; missing: NA</w:t>
      </w:r>
    </w:p>
    <w:p>
      <w:r>
        <w:t xml:space="preserve">indicator_12: Synthetic Social Protection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