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Technical Research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This is not a status update on agricultural resilience performance in Ethiopia — it is a decision brief. The governed evidence behind it shows uneven progress, concentrated risk, and a small number of opportunities worth acting on now. Nothing here is asserted without a source: findings are evidence-linked, recommendations are owned, and the underlying dataset is internally consistent throughout.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Climate exposure</w:t>
      </w:r>
    </w:p>
    <w:p>
      <w:r>
        <w:t xml:space="preserve">Progress on climate exposure remains visible but not yet durable. The 86% result in Highland Systems weakens after disaggregation, particularly for rural women, suggesting that current gains depend on delivery conditions that remain fragile. The clearest signal in this dataset — though not the only one — is climate exposure in Highland Systems, where rural women sit furthest from parity.</w:t>
      </w:r>
    </w:p>
    <w:p>
      <w:r>
        <w:t xml:space="preserve">Evidence: EVI-TEC-001, EVI-TEC-004 • Confidence 93.5%</w:t>
      </w:r>
    </w:p>
    <w:p>
      <w:pPr>
        <w:pStyle w:val="Heading2"/>
      </w:pPr>
      <w:r>
        <w:t>Technology adoption</w:t>
      </w:r>
    </w:p>
    <w:p>
      <w:r>
        <w:t xml:space="preserve">54%. That is the technology adoption signal recorded in Rift Systems, and the headline figure understates the problem: disaggregated by group, young adults sit well below it. The clearest gap sits in Rift Systems, concentrated among young adults. A twelve-month delay would let the gap compound into a harder, costlier problem.</w:t>
      </w:r>
    </w:p>
    <w:p>
      <w:r>
        <w:t xml:space="preserve">Evidence: EVI-TEC-002, EVI-TEC-005 • Confidence 94.5%</w:t>
      </w:r>
    </w:p>
    <w:p>
      <w:pPr>
        <w:pStyle w:val="Heading2"/>
      </w:pPr>
      <w:r>
        <w:t>Yield stability</w:t>
      </w:r>
    </w:p>
    <w:p>
      <w:r>
        <w:t xml:space="preserve">What would it take to fix yield stability? Start with Dryland Systems, where the signal sits at 55% and persons with disabilities carry most of the shortfall. The honest answer is sustained attention, not a single intervention. Dryland Systems shows the sharpest divide, where persons with disabilities carry the largest share of the gap. Left unaddressed for a year, the imbalance is likely to erode equity, delivery confidence and the durability of results.</w:t>
      </w:r>
    </w:p>
    <w:p>
      <w:r>
        <w:t xml:space="preserve">Evidence: EVI-TEC-003, EVI-TEC-006 • Confidence 95.5%</w:t>
      </w:r>
    </w:p>
    <w:p>
      <w:pPr>
        <w:pStyle w:val="Heading2"/>
      </w:pPr>
      <w:r>
        <w:t>Gendered asset access</w:t>
      </w:r>
    </w:p>
    <w:p>
      <w:r>
        <w:t xml:space="preserve">The aggregate result conceals a material implementation divide. Mixed Farming Systems records a 56% signal for gendered asset access; the shortfall is concentrated among frontline workers, where service continuity and confidence move together. Of every study area examined in Ethiopia, gendered asset access shows up hardest there, and frontline workers feel it most. A year of inaction would turn a gap into a pattern that is far harder to reverse.</w:t>
      </w:r>
    </w:p>
    <w:p>
      <w:r>
        <w:t xml:space="preserve">Evidence: EVI-TEC-004, EVI-TEC-007 • Confidence 96.5%</w:t>
      </w:r>
    </w:p>
    <w:p>
      <w:pPr>
        <w:pStyle w:val="Heading2"/>
      </w:pPr>
      <w:r>
        <w:t>Extension-system effectiveness</w:t>
      </w:r>
    </w:p>
    <w:p>
      <w:r>
        <w:t xml:space="preserve">Two things are true at once about extension-system effectiveness. The national picture is improving, and Highland Systems — where low-income households report a 57% signal — is not improving fast enough to close the gap. Agricultural resilience performance in Ethiopia looks stable in aggregate but splits sharply once extension-system effectiveness is disaggregated. Highland Systems anchors the low end, and low-income households bear most of that shortfall — a pattern that risks compounding without intervention within the year.</w:t>
      </w:r>
    </w:p>
    <w:p>
      <w:r>
        <w:t xml:space="preserve">Evidence: EVI-TEC-005, EVI-TEC-008 • Confidence 92%</w:t>
      </w:r>
    </w:p>
    <w:p>
      <w:pPr>
        <w:pStyle w:val="Heading1"/>
      </w:pPr>
      <w:r>
        <w:t>Regional Intelligence</w:t>
      </w:r>
    </w:p>
    <w:p>
      <w:r>
        <w:t xml:space="preserve">Highland Systems: 82% • 1222 responses • Risk STABLE</w:t>
      </w:r>
    </w:p>
    <w:p>
      <w:r>
        <w:t xml:space="preserve">Rift Systems: 83% • 1062 responses • Risk STABLE</w:t>
      </w:r>
    </w:p>
    <w:p>
      <w:r>
        <w:t xml:space="preserve">Dryland Systems: 84% • 905 responses • Risk STABLE</w:t>
      </w:r>
    </w:p>
    <w:p>
      <w:r>
        <w:t xml:space="preserve">Mixed Farming Systems: 52% • 747 responses • Risk CRITICAL</w:t>
      </w:r>
    </w:p>
    <w:p>
      <w:pPr>
        <w:pStyle w:val="Heading1"/>
      </w:pPr>
      <w:r>
        <w:t>Indicators and Target Gaps</w:t>
      </w:r>
    </w:p>
    <w:p>
      <w:r>
        <w:t xml:space="preserve">IND-01 Climate resilience index: 54% vs 78% — OFF_TRACK</w:t>
      </w:r>
    </w:p>
    <w:p>
      <w:r>
        <w:t xml:space="preserve">IND-02 Technology adoption persistence: 55% vs 79% — OFF_TRACK</w:t>
      </w:r>
    </w:p>
    <w:p>
      <w:r>
        <w:t xml:space="preserve">IND-03 Yield variability: 56% vs 80% — OFF_TRACK</w:t>
      </w:r>
    </w:p>
    <w:p>
      <w:r>
        <w:t xml:space="preserve">IND-04 Extension contact quality: 57% vs 81% — OFF_TRACK</w:t>
      </w:r>
    </w:p>
    <w:p>
      <w:pPr>
        <w:pStyle w:val="Heading1"/>
      </w:pPr>
      <w:r>
        <w:t>Respondent Voice</w:t>
      </w:r>
    </w:p>
    <w:p>
      <w:r>
        <w:t xml:space="preserve">Highland Systems: “Elsewhere, climate exposure might be a footnote. For rural women in Highland Systems, it is the whole story.”</w:t>
      </w:r>
    </w:p>
    <w:p>
      <w:r>
        <w:t xml:space="preserve">Rift Systems: “Young adults in Rift Systems frame it simply: when technology adoption breaks down, everything else does too.”</w:t>
      </w:r>
    </w:p>
    <w:p>
      <w:r>
        <w:t xml:space="preserve">Dryland Systems: “In Dryland Systems, yield stability shapes whether persons with disabilities can turn services into lasting outcomes.”</w:t>
      </w:r>
    </w:p>
    <w:p>
      <w:r>
        <w:t xml:space="preserve">Mixed Farming Systems: “Frontline workers in Mixed Farming Systems put it plainly: gendered asset access is what decides whether progress holds or slips back.”</w:t>
      </w:r>
    </w:p>
    <w:p>
      <w:r>
        <w:t xml:space="preserve">Highland Systems: “Why does Highland Systems lag behind? Ask low-income households, and the answer comes back to extension-system effectiveness.”</w:t>
      </w:r>
    </w:p>
    <w:p>
      <w:r>
        <w:t xml:space="preserve">Rift Systems: “Elsewhere, climate exposure might be a footnote. For service managers in Rift Systems, it is the whole story.”</w:t>
      </w:r>
    </w:p>
    <w:p>
      <w:r>
        <w:t xml:space="preserve">Dryland Systems: “Community leaders in Dryland Systems frame it simply: when technology adoption breaks down, everything else does too.”</w:t>
      </w:r>
    </w:p>
    <w:p>
      <w:r>
        <w:t xml:space="preserve">Mixed Farming Systems: “In Mixed Farming Systems, yield stability shapes whether private-sector partners can turn services into lasting outcomes.”</w:t>
      </w:r>
    </w:p>
    <w:p>
      <w:r>
        <w:t xml:space="preserve">Highland Systems: “Rural women in Highland Systems put it plainly: gendered asset access is what decides whether progress holds or slips back.”</w:t>
      </w:r>
    </w:p>
    <w:p>
      <w:r>
        <w:t xml:space="preserve">Rift Systems: “Why does Rift Systems lag behind? Ask young adults, and the answer comes back to extension-system effectiveness.”</w:t>
      </w:r>
    </w:p>
    <w:p>
      <w:pPr>
        <w:pStyle w:val="Heading1"/>
      </w:pPr>
      <w:r>
        <w:t>Decision Intelligence</w:t>
      </w:r>
    </w:p>
    <w:p>
      <w:pPr>
        <w:pStyle w:val="Heading2"/>
      </w:pPr>
      <w:r>
        <w:t>DEC-TEC-01 MEDIUM</w:t>
      </w:r>
    </w:p>
    <w:p>
      <w:r>
        <w:t xml:space="preserve">Pre-register a confirmatory resilience study.</w:t>
      </w:r>
    </w:p>
    <w:p>
      <w:r>
        <w:t xml:space="preserve">Owner: Principal Investigator • Timeline: 6–18 months • Budget: Low to medium — validate through the formal planning cycle • Indicator: Number of agreed milestones for DEC-TEC-01 confirmed complete at each quarterly review</w:t>
      </w:r>
    </w:p>
    <w:p>
      <w:pPr>
        <w:pStyle w:val="Heading2"/>
      </w:pPr>
      <w:r>
        <w:t>DEC-TEC-02 CRITICAL</w:t>
      </w:r>
    </w:p>
    <w:p>
      <w:r>
        <w:t xml:space="preserve">Target technologies by agro-ecological risk.</w:t>
      </w:r>
    </w:p>
    <w:p>
      <w:r>
        <w:t xml:space="preserve">Owner: Principal Investigator • Timeline: 0–90 days • Budget: Medium to high — requires a dedicated budget line and phased release • Indicator: Percentage of agreed milestones completed for DEC-TEC-02</w:t>
      </w:r>
    </w:p>
    <w:p>
      <w:pPr>
        <w:pStyle w:val="Heading2"/>
      </w:pPr>
      <w:r>
        <w:t>DEC-TEC-03 CRITICAL</w:t>
      </w:r>
    </w:p>
    <w:p>
      <w:r>
        <w:t xml:space="preserve">Pair adoption support with seasonal finance.</w:t>
      </w:r>
    </w:p>
    <w:p>
      <w:r>
        <w:t xml:space="preserve">Owner: Principal Investigator • Timeline: 3–12 months • Budget: High — full business case and multi-year funding commitment required • Indicator: Share of the critical-tier delivery plan confirmed complete each quarter (DEC-TEC-03)</w:t>
      </w:r>
    </w:p>
    <w:p>
      <w:pPr>
        <w:pStyle w:val="Heading2"/>
      </w:pPr>
      <w:r>
        <w:t>DEC-TEC-04 HIGH</w:t>
      </w:r>
    </w:p>
    <w:p>
      <w:r>
        <w:t xml:space="preserve">Correct gender gaps in productive-asset access.</w:t>
      </w:r>
    </w:p>
    <w:p>
      <w:r>
        <w:t xml:space="preserve">Owner: Principal Investigator • Timeline: 3–12 months • Budget: Medium — likely fundable from existing lines, pending confirmation • Indicator: Milestone completion rate tracked against the DEC-TEC-04 delivery plan</w:t>
      </w:r>
    </w:p>
    <w:p>
      <w:pPr>
        <w:pStyle w:val="Heading2"/>
      </w:pPr>
      <w:r>
        <w:t>DEC-TEC-05 HIGH</w:t>
      </w:r>
    </w:p>
    <w:p>
      <w:r>
        <w:t xml:space="preserve">Test extension delivery through a stepped-wedge design.</w:t>
      </w:r>
    </w:p>
    <w:p>
      <w:r>
        <w:t xml:space="preserve">Owner: Principal Investigator • Timeline: 3–12 months • Budget: Low to medium — validate through the formal planning cycle • Indicator: Proportion of agreed implementation steps verified on schedule for DEC-TEC-05</w:t>
      </w:r>
    </w:p>
    <w:p>
      <w:pPr>
        <w:pStyle w:val="Heading1"/>
      </w:pPr>
      <w:r>
        <w:t>Methodology</w:t>
      </w:r>
    </w:p>
    <w:p>
      <w:r>
        <w:t xml:space="preserve">research objectives: ["Assess agricultural resilience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Ethiopia</w:t>
      </w:r>
    </w:p>
    <w:p>
      <w:r>
        <w:t xml:space="preserve">sample size: 3936</w:t>
      </w:r>
    </w:p>
    <w:p>
      <w:r>
        <w:t xml:space="preserve">stratification: ["Region","Location type","Sex","Age","Disability"]</w:t>
      </w:r>
    </w:p>
    <w:p>
      <w:r>
        <w:t xml:space="preserve">weights: Normalized post-stratification weights</w:t>
      </w:r>
    </w:p>
    <w:p>
      <w:r>
        <w:t xml:space="preserve">confidence intervals: 95%</w:t>
      </w:r>
    </w:p>
    <w:p>
      <w:r>
        <w:t xml:space="preserve">design effect: 1.8</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DEC-TEC-01</w:t>
      </w:r>
    </w:p>
    <w:p>
      <w:r>
        <w:t xml:space="preserve">Pre-register a confirmatory resilience study.</w:t>
      </w:r>
    </w:p>
    <w:p>
      <w:r>
        <w:t xml:space="preserve">Owner: Principal Investigator • Window: 6–18 months • Cost: Low to medium — validate through the formal planning cycle • Indicator: Number of agreed milestones for DEC-TEC-01 confirmed complete at each quarterly review</w:t>
      </w:r>
    </w:p>
    <w:p>
      <w:pPr>
        <w:pStyle w:val="Heading2"/>
      </w:pPr>
      <w:r>
        <w:t>DEC-TEC-02</w:t>
      </w:r>
    </w:p>
    <w:p>
      <w:r>
        <w:t xml:space="preserve">Target technologies by agro-ecological risk.</w:t>
      </w:r>
    </w:p>
    <w:p>
      <w:r>
        <w:t xml:space="preserve">Owner: Principal Investigator • Window: 0–90 days • Cost: Medium to high — requires a dedicated budget line and phased release • Indicator: Percentage of agreed milestones completed for DEC-TEC-02</w:t>
      </w:r>
    </w:p>
    <w:p>
      <w:pPr>
        <w:pStyle w:val="Heading2"/>
      </w:pPr>
      <w:r>
        <w:t>DEC-TEC-03</w:t>
      </w:r>
    </w:p>
    <w:p>
      <w:r>
        <w:t xml:space="preserve">Pair adoption support with seasonal finance.</w:t>
      </w:r>
    </w:p>
    <w:p>
      <w:r>
        <w:t xml:space="preserve">Owner: Principal Investigator • Window: 3–12 months • Cost: High — full business case and multi-year funding commitment required • Indicator: Share of the critical-tier delivery plan confirmed complete each quarter (DEC-TEC-03)</w:t>
      </w:r>
    </w:p>
    <w:p>
      <w:pPr>
        <w:pStyle w:val="Heading2"/>
      </w:pPr>
      <w:r>
        <w:t>DEC-TEC-04</w:t>
      </w:r>
    </w:p>
    <w:p>
      <w:r>
        <w:t xml:space="preserve">Correct gender gaps in productive-asset access.</w:t>
      </w:r>
    </w:p>
    <w:p>
      <w:r>
        <w:t xml:space="preserve">Owner: Principal Investigator • Window: 3–12 months • Cost: Medium — likely fundable from existing lines, pending confirmation • Indicator: Milestone completion rate tracked against the DEC-TEC-04 delivery plan</w:t>
      </w:r>
    </w:p>
    <w:p>
      <w:pPr>
        <w:pStyle w:val="Heading2"/>
      </w:pPr>
      <w:r>
        <w:t>DEC-TEC-05</w:t>
      </w:r>
    </w:p>
    <w:p>
      <w:r>
        <w:t xml:space="preserve">Test extension delivery through a stepped-wedge design.</w:t>
      </w:r>
    </w:p>
    <w:p>
      <w:r>
        <w:t xml:space="preserve">Owner: Principal Investigator • Window: 3–12 months • Cost: Low to medium — validate through the formal planning cycle • Indicator: Proportion of agreed implementation steps verified on schedule for DEC-TEC-05</w:t>
      </w:r>
    </w:p>
    <w:p>
      <w:pPr>
        <w:pStyle w:val="Heading1"/>
      </w:pPr>
      <w:r>
        <w:t>Evidence Lineage &amp; Citation Registry</w:t>
      </w:r>
    </w:p>
    <w:p>
      <w:r>
        <w:t xml:space="preserve">EVI-TEC-001: [object Object] • APPROVED_SYNTHETIC_DEMONSTRATION • 92%</w:t>
      </w:r>
    </w:p>
    <w:p>
      <w:r>
        <w:t xml:space="preserve">EVI-TEC-002: [object Object] • APPROVED_SYNTHETIC_DEMONSTRATION • 93%</w:t>
      </w:r>
    </w:p>
    <w:p>
      <w:r>
        <w:t xml:space="preserve">EVI-TEC-003: [object Object] • APPROVED_SYNTHETIC_DEMONSTRATION • 94%</w:t>
      </w:r>
    </w:p>
    <w:p>
      <w:r>
        <w:t xml:space="preserve">EVI-TEC-004: [object Object] • APPROVED_SYNTHETIC_DEMONSTRATION • 95%</w:t>
      </w:r>
    </w:p>
    <w:p>
      <w:r>
        <w:t xml:space="preserve">EVI-TEC-005: [object Object] • APPROVED_SYNTHETIC_DEMONSTRATION • 96%</w:t>
      </w:r>
    </w:p>
    <w:p>
      <w:r>
        <w:t xml:space="preserve">EVI-TEC-006: [object Object] • APPROVED_SYNTHETIC_DEMONSTRATION • 97%</w:t>
      </w:r>
    </w:p>
    <w:p>
      <w:r>
        <w:t xml:space="preserve">EVI-TEC-007: [object Object] • APPROVED_SYNTHETIC_DEMONSTRATION • 98%</w:t>
      </w:r>
    </w:p>
    <w:p>
      <w:r>
        <w:t xml:space="preserve">EVI-TEC-008: [object Object] • APPROVED_SYNTHETIC_DEMONSTRATION • 88%</w:t>
      </w:r>
    </w:p>
    <w:p>
      <w:r>
        <w:t xml:space="preserve">EVI-TEC-009: [object Object] • APPROVED_SYNTHETIC_DEMONSTRATION • 89%</w:t>
      </w:r>
    </w:p>
    <w:p>
      <w:r>
        <w:t xml:space="preserve">EVI-TEC-010: [object Object] • APPROVED_SYNTHETIC_DEMONSTRATION • 90%</w:t>
      </w:r>
    </w:p>
    <w:p>
      <w:r>
        <w:t xml:space="preserve">CIT-EVI-TEC-001: VoiceInsights Africa. Technical Research Report. synthetic-technical-research-2026.1, EVI-TEC-001, Q1: How does climate exposure affect agricultural resilience outcomes in Highland Systems?</w:t>
      </w:r>
    </w:p>
    <w:p>
      <w:r>
        <w:t xml:space="preserve">CIT-EVI-TEC-002: VoiceInsights Africa. Technical Research Report. synthetic-technical-research-2026.1, EVI-TEC-002, Q2: How does technology adoption affect agricultural resilience outcomes in Rift Systems?</w:t>
      </w:r>
    </w:p>
    <w:p>
      <w:r>
        <w:t xml:space="preserve">CIT-EVI-TEC-003: VoiceInsights Africa. Technical Research Report. synthetic-technical-research-2026.1, EVI-TEC-003, Q3: How does yield stability affect agricultural resilience outcomes in Dryland Systems?</w:t>
      </w:r>
    </w:p>
    <w:p>
      <w:r>
        <w:t xml:space="preserve">CIT-EVI-TEC-004: VoiceInsights Africa. Technical Research Report. synthetic-technical-research-2026.1, EVI-TEC-004, Q4: How does gendered asset access affect agricultural resilience outcomes in Mixed Farming Systems?</w:t>
      </w:r>
    </w:p>
    <w:p>
      <w:r>
        <w:t xml:space="preserve">CIT-EVI-TEC-005: VoiceInsights Africa. Technical Research Report. synthetic-technical-research-2026.1, EVI-TEC-005, Q5: How does extension-system effectiveness affect agricultural resilience outcomes in Highland Systems?</w:t>
      </w:r>
    </w:p>
    <w:p>
      <w:r>
        <w:t xml:space="preserve">CIT-EVI-TEC-006: VoiceInsights Africa. Technical Research Report. synthetic-technical-research-2026.1, EVI-TEC-006, Q6: How does climate exposure affect agricultural resilience outcomes in Rift Systems?</w:t>
      </w:r>
    </w:p>
    <w:p>
      <w:r>
        <w:t xml:space="preserve">CIT-EVI-TEC-007: VoiceInsights Africa. Technical Research Report. synthetic-technical-research-2026.1, EVI-TEC-007, Q7: How does technology adoption affect agricultural resilience outcomes in Dryland Systems?</w:t>
      </w:r>
    </w:p>
    <w:p>
      <w:r>
        <w:t xml:space="preserve">CIT-EVI-TEC-008: VoiceInsights Africa. Technical Research Report. synthetic-technical-research-2026.1, EVI-TEC-008, Q8: How does yield stability affect agricultural resilience outcomes in Mixed Farming Systems?</w:t>
      </w:r>
    </w:p>
    <w:p>
      <w:r>
        <w:t xml:space="preserve">CIT-EVI-TEC-009: VoiceInsights Africa. Technical Research Report. synthetic-technical-research-2026.1, EVI-TEC-009, Q9: How does gendered asset access affect agricultural resilience outcomes in Highland Systems?</w:t>
      </w:r>
    </w:p>
    <w:p>
      <w:r>
        <w:t xml:space="preserve">CIT-EVI-TEC-010: VoiceInsights Africa. Technical Research Report. synthetic-technical-research-2026.1, EVI-TEC-010, Q10: How does extension-system effectiveness affect agricultural resilience outcomes in Rift Systems?</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Research Ethics: APPLIED_WHERE_RELEVANT — Mapped to EVI-TEC-001, EVI-TEC-002; Synthetic demonstration mapping; institutional validation not implied</w:t>
      </w:r>
    </w:p>
    <w:p>
      <w:r>
        <w:t xml:space="preserve">Data Protection: APPLIED_WHERE_RELEVANT — Mapped to EVI-TEC-002, EVI-TEC-003; Synthetic demonstration mapping; institutional validation not implied</w:t>
      </w:r>
    </w:p>
    <w:p>
      <w:r>
        <w:t xml:space="preserve">Climate Resilience: APPLIED_WHERE_RELEVANT — Mapped to EVI-TEC-003, EVI-TEC-004; Synthetic demonstration mapping; institutional validation not implied</w:t>
      </w:r>
    </w:p>
    <w:p>
      <w:r>
        <w:t xml:space="preserve">Evidence Traceability: APPLIED — Control linked to EVI-TEC-001 and the deterministic publication gate.</w:t>
      </w:r>
    </w:p>
    <w:p>
      <w:r>
        <w:t xml:space="preserve">Research Ethics: APPLIED — Control linked to EVI-TEC-002 and the deterministic publication gate.</w:t>
      </w:r>
    </w:p>
    <w:p>
      <w:r>
        <w:t xml:space="preserve">Data Protection: APPLIED — Control linked to EVI-TEC-003 and the deterministic publication gate.</w:t>
      </w:r>
    </w:p>
    <w:p>
      <w:r>
        <w:t xml:space="preserve">Accessibility: APPLIED — Control linked to EVI-TEC-004 and the deterministic publication gate.</w:t>
      </w:r>
    </w:p>
    <w:p>
      <w:r>
        <w:t xml:space="preserve">Responsible AI: APPLIED — Control linked to EVI-TEC-005 and the deterministic publication gate.</w:t>
      </w:r>
    </w:p>
    <w:p>
      <w:r>
        <w:t xml:space="preserve">Publication Integrity: APPLIED — Control linked to EVI-TEC-006 and the deterministic publication gate.</w:t>
      </w:r>
    </w:p>
    <w:p>
      <w:pPr>
        <w:pStyle w:val="Heading1"/>
      </w:pPr>
      <w:r>
        <w:t>SDG Contribution</w:t>
      </w:r>
    </w:p>
    <w:p>
      <w:r>
        <w:t xml:space="preserve">SDG 2: undefined — Indicators —</w:t>
      </w:r>
    </w:p>
    <w:p>
      <w:r>
        <w:t xml:space="preserve">SDG 5: undefined — Indicators —</w:t>
      </w:r>
    </w:p>
    <w:p>
      <w:r>
        <w:t xml:space="preserve">SDG 13: undefined — Indicators —</w:t>
      </w:r>
    </w:p>
    <w:p>
      <w:r>
        <w:t xml:space="preserve">SDG 15: undefined — Indicators —</w:t>
      </w:r>
    </w:p>
    <w:p>
      <w:pPr>
        <w:pStyle w:val="Heading1"/>
      </w:pPr>
      <w:r>
        <w:t>OECD-DAC Evaluation Criteria</w:t>
      </w:r>
    </w:p>
    <w:p>
      <w:r>
        <w:t xml:space="preserve">Relevance: Synthetic evidence indicates a strong relevance signal, subject to the stated design limitations. (75/100) — Review relevance evidence at the next formal management gate.</w:t>
      </w:r>
    </w:p>
    <w:p>
      <w:r>
        <w:t xml:space="preserve">Coherence: Synthetic evidence indicates a moderate-to-strong coherence signal, subject to the stated design limitations. (76/100) — Review coherence evidence at the next formal management gate.</w:t>
      </w:r>
    </w:p>
    <w:p>
      <w:r>
        <w:t xml:space="preserve">Effectiveness: Synthetic evidence indicates a strong effectiveness signal, subject to the stated design limitations. (77/100) — Review effectiveness evidence at the next formal management gate.</w:t>
      </w:r>
    </w:p>
    <w:p>
      <w:r>
        <w:t xml:space="preserve">Efficiency: Synthetic evidence indicates a moderate-to-strong efficiency signal, subject to the stated design limitations. (78/100) — Review efficiency evidence at the next formal management gate.</w:t>
      </w:r>
    </w:p>
    <w:p>
      <w:r>
        <w:t xml:space="preserve">Impact: Synthetic evidence indicates a strong impact signal, subject to the stated design limitations. (79/100) — Review impact evidence at the next formal management gate.</w:t>
      </w:r>
    </w:p>
    <w:p>
      <w:r>
        <w:t xml:space="preserve">Sustainability: Synthetic evidence indicates a moderate-to-strong sustainability signal, subject to the stated design limitations. (80/100) — Review sustainability evidence at the next formal management gate.</w:t>
      </w:r>
    </w:p>
    <w:p>
      <w:pPr>
        <w:pStyle w:val="Heading1"/>
      </w:pPr>
      <w:r>
        <w:t>Results-Based Management</w:t>
      </w:r>
    </w:p>
    <w:p>
      <w:r>
        <w:t xml:space="preserve">Impact: Sustained, equitable improvement in agricultural resilience performance</w:t>
      </w:r>
    </w:p>
    <w:p>
      <w:r>
        <w:t xml:space="preserve">OC-01: Improved agricultural resilience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EVI-TEC-001 • survey • SYN-TECH-0001 • APPROVED • 92%</w:t>
      </w:r>
    </w:p>
    <w:p>
      <w:r>
        <w:t xml:space="preserve">EVI-TEC-002 • key_informant_interview • SYN-TECH-0002 • APPROVED • 93%</w:t>
      </w:r>
    </w:p>
    <w:p>
      <w:r>
        <w:t xml:space="preserve">EVI-TEC-003 • administrative_record • SYN-TECH-0003 • APPROVED • 94%</w:t>
      </w:r>
    </w:p>
    <w:p>
      <w:r>
        <w:t xml:space="preserve">EVI-TEC-004 • survey • SYN-TECH-0004 • APPROVED • 95%</w:t>
      </w:r>
    </w:p>
    <w:p>
      <w:r>
        <w:t xml:space="preserve">EVI-TEC-005 • key_informant_interview • SYN-TECH-0005 • APPROVED • 96%</w:t>
      </w:r>
    </w:p>
    <w:p>
      <w:r>
        <w:t xml:space="preserve">EVI-TEC-006 • administrative_record • SYN-TECH-0006 • APPROVED • 97%</w:t>
      </w:r>
    </w:p>
    <w:p>
      <w:r>
        <w:t xml:space="preserve">EVI-TEC-007 • survey • SYN-TECH-0007 • APPROVED • 98%</w:t>
      </w:r>
    </w:p>
    <w:p>
      <w:r>
        <w:t xml:space="preserve">EVI-TEC-008 • key_informant_interview • SYN-TECH-0008 • APPROVED • 88%</w:t>
      </w:r>
    </w:p>
    <w:p>
      <w:r>
        <w:t xml:space="preserve">EVI-TEC-009 • administrative_record • SYN-TECH-0009 • APPROVED • 89%</w:t>
      </w:r>
    </w:p>
    <w:p>
      <w:r>
        <w:t xml:space="preserve">EVI-TEC-010 • survey • SYN-TECH-0010 • APPROVED • 90%</w:t>
      </w:r>
    </w:p>
    <w:p>
      <w:pPr>
        <w:pStyle w:val="Heading1"/>
      </w:pPr>
      <w:r>
        <w:t>Data Dictionary</w:t>
      </w:r>
    </w:p>
    <w:p>
      <w:r>
        <w:t xml:space="preserve">indicator_1: Synthetic Agricultural Resilience indicator 1; numeric; allowed: 0–100; missing: NA</w:t>
      </w:r>
    </w:p>
    <w:p>
      <w:r>
        <w:t xml:space="preserve">indicator_2: Synthetic Agricultural Resilience indicator 2; categorical; allowed: Documented code list; missing: NA</w:t>
      </w:r>
    </w:p>
    <w:p>
      <w:r>
        <w:t xml:space="preserve">indicator_3: Synthetic Agricultural Resilience indicator 3; categorical; allowed: Documented code list; missing: NA</w:t>
      </w:r>
    </w:p>
    <w:p>
      <w:r>
        <w:t xml:space="preserve">indicator_4: Synthetic Agricultural Resilience indicator 4; numeric; allowed: 0–100; missing: NA</w:t>
      </w:r>
    </w:p>
    <w:p>
      <w:r>
        <w:t xml:space="preserve">indicator_5: Synthetic Agricultural Resilience indicator 5; categorical; allowed: Documented code list; missing: NA</w:t>
      </w:r>
    </w:p>
    <w:p>
      <w:r>
        <w:t xml:space="preserve">indicator_6: Synthetic Agricultural Resilience indicator 6; categorical; allowed: Documented code list; missing: NA</w:t>
      </w:r>
    </w:p>
    <w:p>
      <w:r>
        <w:t xml:space="preserve">indicator_7: Synthetic Agricultural Resilience indicator 7; numeric; allowed: 0–100; missing: NA</w:t>
      </w:r>
    </w:p>
    <w:p>
      <w:r>
        <w:t xml:space="preserve">indicator_8: Synthetic Agricultural Resilience indicator 8; categorical; allowed: Documented code list; missing: NA</w:t>
      </w:r>
    </w:p>
    <w:p>
      <w:r>
        <w:t xml:space="preserve">indicator_9: Synthetic Agricultural Resilience indicator 9; categorical; allowed: Documented code list; missing: NA</w:t>
      </w:r>
    </w:p>
    <w:p>
      <w:r>
        <w:t xml:space="preserve">indicator_10: Synthetic Agricultural Resilience indicator 10; numeric; allowed: 0–100; missing: NA</w:t>
      </w:r>
    </w:p>
    <w:p>
      <w:r>
        <w:t xml:space="preserve">indicator_11: Synthetic Agricultural Resilience indicator 11; categorical; allowed: Documented code list; missing: NA</w:t>
      </w:r>
    </w:p>
    <w:p>
      <w:r>
        <w:t xml:space="preserve">indicator_12: Synthetic Agricultural Resilience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