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2200"/>
      </w:pPr>
      <w:r>
        <w:rPr>
          <w:b/>
          <w:sz w:val="42"/>
        </w:rPr>
        <w:t>WASH Access Intelligence Report</w:t>
      </w:r>
    </w:p>
    <w:p>
      <w:r>
        <w:t xml:space="preserve">VoiceInsights Africa — Full Synthetic Demonstration Publication</w:t>
      </w:r>
    </w:p>
    <w:p>
      <w:r>
        <w:t xml:space="preserve">Synthetic Demonstration Publication produced by VoiceInsights Africa. All people, quotations, locations and statistics are synthetic, internally governed demonstration content and are not official statistics.</w:t>
      </w:r>
    </w:p>
    <w:p>
      <w:pPr>
        <w:pStyle w:val="Heading1"/>
      </w:pPr>
      <w:r>
        <w:t>Executive Intelligence</w:t>
      </w:r>
    </w:p>
    <w:p>
      <w:r>
        <w:t xml:space="preserve">Every number in this publication answers one question: what is actually happening with wash access performance in Malawi, and for whom. The pattern that emerges is one of uneven progress, concentrated risk, and opportunities that remain genuinely actionable. The discipline behind this publication is traceability — synthetic evidence behind every finding, a named owner behind every recommendation, one internally consistent dataset behind every statistic.</w:t>
      </w:r>
    </w:p>
    <w:p>
      <w:pPr>
        <w:pStyle w:val="Heading1"/>
      </w:pPr>
      <w:r>
        <w:t>Table of Contents</w:t>
      </w:r>
    </w:p>
    <w:p>
      <w:r>
        <w:t xml:space="preserve">undefined — undefined</w:t>
      </w:r>
    </w:p>
    <w:p>
      <w:r>
        <w:t xml:space="preserve">undefined — undefined</w:t>
      </w:r>
    </w:p>
    <w:p>
      <w:r>
        <w:t xml:space="preserve">undefined — undefined</w:t>
      </w:r>
    </w:p>
    <w:p>
      <w:r>
        <w:t xml:space="preserve">undefined — undefined</w:t>
      </w:r>
    </w:p>
    <w:p>
      <w:r>
        <w:t xml:space="preserve">undefined — undefined</w:t>
      </w:r>
    </w:p>
    <w:p>
      <w:r>
        <w:t xml:space="preserve">undefined — undefined</w:t>
      </w:r>
    </w:p>
    <w:p>
      <w:pPr>
        <w:pStyle w:val="Heading1"/>
      </w:pPr>
      <w:r>
        <w:t>Critical Findings</w:t>
      </w:r>
    </w:p>
    <w:p>
      <w:pPr>
        <w:pStyle w:val="Heading2"/>
      </w:pPr>
      <w:r>
        <w:t>Non-functional water-point rates</w:t>
      </w:r>
    </w:p>
    <w:p>
      <w:r>
        <w:t xml:space="preserve">Non-functional water-point rates is not a marginal delivery issue. In Southern Region, the governed evidence indicates a 63% performance signal, with rural women carrying the most consequential constraint. Left unaddressed, non-functional water-point rates becomes a structural risk to wash access delivery in Malawi, not a temporary dip. Southern Region is furthest exposed, and rural women would carry the earliest and heaviest consequences of a further year's delay.</w:t>
      </w:r>
    </w:p>
    <w:p>
      <w:r>
        <w:t xml:space="preserve">Evidence: EVI-WAS-001, EVI-WAS-004 • Confidence 95.5%</w:t>
      </w:r>
    </w:p>
    <w:p>
      <w:pPr>
        <w:pStyle w:val="Heading2"/>
      </w:pPr>
      <w:r>
        <w:t>Open-defecation-free status durability</w:t>
      </w:r>
    </w:p>
    <w:p>
      <w:r>
        <w:t xml:space="preserve">Open-defecation-free status durability has become an accountability question rather than a measurement question. Evidence from Central Region places the signal at 64% and shows that young adults experience the largest gap between policy intent and lived delivery. The choice facing wash access leadership in Malawi is straightforward even if the fix is not: act on open-defecation-free status durability now, concentrated in Central Region where young adults carry the largest share of the gap, or accept a wider gap in a year's time.</w:t>
      </w:r>
    </w:p>
    <w:p>
      <w:r>
        <w:t xml:space="preserve">Evidence: EVI-WAS-002, EVI-WAS-005 • Confidence 96.5%</w:t>
      </w:r>
    </w:p>
    <w:p>
      <w:pPr>
        <w:pStyle w:val="Heading2"/>
      </w:pPr>
      <w:r>
        <w:t>Remote-community access equity</w:t>
      </w:r>
    </w:p>
    <w:p>
      <w:r>
        <w:t xml:space="preserve">Persons with disabilities in Northern Region are living the consequence of remote-community access equity, not simply reporting it. Their 65% signal is the clearest evidence leadership has that current measures fall short. persons with disabilities in Northern Region do not experience remote-community access equity as an abstract metric. They experience it as the difference between wash access delivery that works and delivery that does not, and a twelve-month delay would deepen that gap rather than hold it steady.</w:t>
      </w:r>
    </w:p>
    <w:p>
      <w:r>
        <w:t xml:space="preserve">Evidence: EVI-WAS-003, EVI-WAS-006 • Confidence 92%</w:t>
      </w:r>
    </w:p>
    <w:p>
      <w:pPr>
        <w:pStyle w:val="Heading2"/>
      </w:pPr>
      <w:r>
        <w:t>Water-safety testing coverage</w:t>
      </w:r>
    </w:p>
    <w:p>
      <w:r>
        <w:t xml:space="preserve">66%. That is the water-safety testing coverage signal recorded in Lake Malawi Districts, and the headline figure understates the problem: disaggregated by group, frontline workers sit well below it. The clearest gap sits in Lake Malawi Districts, concentrated among frontline workers. A twelve-month delay would let the gap compound into a harder, costlier problem.</w:t>
      </w:r>
    </w:p>
    <w:p>
      <w:r>
        <w:t xml:space="preserve">Evidence: EVI-WAS-004, EVI-WAS-007 • Confidence 93%</w:t>
      </w:r>
    </w:p>
    <w:p>
      <w:pPr>
        <w:pStyle w:val="Heading2"/>
      </w:pPr>
      <w:r>
        <w:t>Sanitation behaviour-change sustainment</w:t>
      </w:r>
    </w:p>
    <w:p>
      <w:r>
        <w:t xml:space="preserve">Progress on sanitation behaviour-change sustainment remains visible but not yet durable. The 67% result in Southern Region weakens after disaggregation, particularly for low-income households, suggesting that current gains depend on delivery conditions that remain fragile. The clearest signal in this dataset — though not the only one — is sanitation behaviour-change sustainment in Southern Region, where low-income households sit furthest from parity.</w:t>
      </w:r>
    </w:p>
    <w:p>
      <w:r>
        <w:t xml:space="preserve">Evidence: EVI-WAS-005, EVI-WAS-008 • Confidence 94%</w:t>
      </w:r>
    </w:p>
    <w:p>
      <w:pPr>
        <w:pStyle w:val="Heading1"/>
      </w:pPr>
      <w:r>
        <w:t>Regional Intelligence</w:t>
      </w:r>
    </w:p>
    <w:p>
      <w:r>
        <w:t xml:space="preserve">Southern Region: 64% • 539 responses • Risk WATCH</w:t>
      </w:r>
    </w:p>
    <w:p>
      <w:r>
        <w:t xml:space="preserve">Central Region: 65% • 468 responses • Risk WATCH</w:t>
      </w:r>
    </w:p>
    <w:p>
      <w:r>
        <w:t xml:space="preserve">Northern Region: 66% • 398 responses • Risk WATCH</w:t>
      </w:r>
    </w:p>
    <w:p>
      <w:r>
        <w:t xml:space="preserve">Lake Malawi Districts: 67% • 329 responses • Risk WATCH</w:t>
      </w:r>
    </w:p>
    <w:p>
      <w:pPr>
        <w:pStyle w:val="Heading1"/>
      </w:pPr>
      <w:r>
        <w:t>Indicators and Target Gaps</w:t>
      </w:r>
    </w:p>
    <w:p>
      <w:r>
        <w:t xml:space="preserve">IND-01 Functional water-point coverage rate: 79% vs 86% — WATCH</w:t>
      </w:r>
    </w:p>
    <w:p>
      <w:r>
        <w:t xml:space="preserve">IND-02 Basic sanitation access rate: 80% vs 87% — WATCH</w:t>
      </w:r>
    </w:p>
    <w:p>
      <w:r>
        <w:t xml:space="preserve">IND-03 Open-defecation-free verification rate: 81% vs 88% — WATCH</w:t>
      </w:r>
    </w:p>
    <w:p>
      <w:r>
        <w:t xml:space="preserve">IND-04 Water-safety testing completion rate: 82% vs 89% — WATCH</w:t>
      </w:r>
    </w:p>
    <w:p>
      <w:pPr>
        <w:pStyle w:val="Heading1"/>
      </w:pPr>
      <w:r>
        <w:t>Respondent Voice</w:t>
      </w:r>
    </w:p>
    <w:p>
      <w:r>
        <w:t xml:space="preserve">Southern Region: “Why does Southern Region lag behind? Ask rural women, and the answer comes back to non-functional water-point rates.”</w:t>
      </w:r>
    </w:p>
    <w:p>
      <w:r>
        <w:t xml:space="preserve">Central Region: “Elsewhere, open-defecation-free status durability might be a footnote. For young adults in Central Region, it is the whole story.”</w:t>
      </w:r>
    </w:p>
    <w:p>
      <w:r>
        <w:t xml:space="preserve">Northern Region: “Persons with disabilities in Northern Region frame it simply: when remote-community access equity breaks down, everything else does too.”</w:t>
      </w:r>
    </w:p>
    <w:p>
      <w:r>
        <w:t xml:space="preserve">Lake Malawi Districts: “In Lake Malawi Districts, water-safety testing coverage shapes whether frontline workers can turn services into lasting outcomes.”</w:t>
      </w:r>
    </w:p>
    <w:p>
      <w:r>
        <w:t xml:space="preserve">Southern Region: “Low-income households in Southern Region put it plainly: sanitation behaviour-change sustainment is what decides whether progress holds or slips back.”</w:t>
      </w:r>
    </w:p>
    <w:p>
      <w:r>
        <w:t xml:space="preserve">Central Region: “Why does Central Region lag behind? Ask service managers, and the answer comes back to non-functional water-point rates.”</w:t>
      </w:r>
    </w:p>
    <w:p>
      <w:r>
        <w:t xml:space="preserve">Northern Region: “Elsewhere, open-defecation-free status durability might be a footnote. For community leaders in Northern Region, it is the whole story.”</w:t>
      </w:r>
    </w:p>
    <w:p>
      <w:r>
        <w:t xml:space="preserve">Lake Malawi Districts: “Private-sector partners in Lake Malawi Districts frame it simply: when remote-community access equity breaks down, everything else does too.”</w:t>
      </w:r>
    </w:p>
    <w:p>
      <w:r>
        <w:t xml:space="preserve">Southern Region: “In Southern Region, water-safety testing coverage shapes whether rural women can turn services into lasting outcomes.”</w:t>
      </w:r>
    </w:p>
    <w:p>
      <w:r>
        <w:t xml:space="preserve">Central Region: “Young adults in Central Region put it plainly: sanitation behaviour-change sustainment is what decides whether progress holds or slips back.”</w:t>
      </w:r>
    </w:p>
    <w:p>
      <w:pPr>
        <w:pStyle w:val="Heading1"/>
      </w:pPr>
      <w:r>
        <w:t>Decision Intelligence</w:t>
      </w:r>
    </w:p>
    <w:p>
      <w:pPr>
        <w:pStyle w:val="Heading2"/>
      </w:pPr>
      <w:r>
        <w:t>DEC-WAS-01 CRITICAL</w:t>
      </w:r>
    </w:p>
    <w:p>
      <w:r>
        <w:t xml:space="preserve">Fund a rapid-repair mechanism for the highest non-functional-rate districts.</w:t>
      </w:r>
    </w:p>
    <w:p>
      <w:r>
        <w:t xml:space="preserve">Owner: Permanent Secretary • Timeline: 0–90 days • Budget: High — full business case and multi-year funding commitment required • Indicator: Quarterly-verified progress against the milestones agreed for this critical-tier decision (DEC-WAS-01)</w:t>
      </w:r>
    </w:p>
    <w:p>
      <w:pPr>
        <w:pStyle w:val="Heading2"/>
      </w:pPr>
      <w:r>
        <w:t>DEC-WAS-02 CRITICAL</w:t>
      </w:r>
    </w:p>
    <w:p>
      <w:r>
        <w:t xml:space="preserve">Reinforce post-verification sanitation follow-up visits.</w:t>
      </w:r>
    </w:p>
    <w:p>
      <w:r>
        <w:t xml:space="preserve">Owner: Permanent Secretary • Timeline: 3–12 months • Budget: Medium — detailed costing and fiduciary review required • Indicator: Number of agreed milestones for DEC-WAS-02 confirmed complete at each quarterly review</w:t>
      </w:r>
    </w:p>
    <w:p>
      <w:pPr>
        <w:pStyle w:val="Heading2"/>
      </w:pPr>
      <w:r>
        <w:t>DEC-WAS-03 HIGH</w:t>
      </w:r>
    </w:p>
    <w:p>
      <w:r>
        <w:t xml:space="preserve">Prioritise last-mile water-access investment for remote communities.</w:t>
      </w:r>
    </w:p>
    <w:p>
      <w:r>
        <w:t xml:space="preserve">Owner: Permanent Secretary • Timeline: 3–12 months • Budget: Medium — likely fundable from existing lines, pending confirmation • Indicator: Percentage of agreed milestones completed for DEC-WAS-03</w:t>
      </w:r>
    </w:p>
    <w:p>
      <w:pPr>
        <w:pStyle w:val="Heading2"/>
      </w:pPr>
      <w:r>
        <w:t>DEC-WAS-04 HIGH</w:t>
      </w:r>
    </w:p>
    <w:p>
      <w:r>
        <w:t xml:space="preserve">Scale routine water-safety testing at community water points.</w:t>
      </w:r>
    </w:p>
    <w:p>
      <w:r>
        <w:t xml:space="preserve">Owner: Permanent Secretary • Timeline: 3–12 months • Budget: Low to medium — validate through the formal planning cycle • Indicator: Share of the high-tier delivery plan confirmed complete each quarter (DEC-WAS-04)</w:t>
      </w:r>
    </w:p>
    <w:p>
      <w:pPr>
        <w:pStyle w:val="Heading2"/>
      </w:pPr>
      <w:r>
        <w:t>DEC-WAS-05 MEDIUM</w:t>
      </w:r>
    </w:p>
    <w:p>
      <w:r>
        <w:t xml:space="preserve">Institutionalise sanitation behaviour-change follow-up after construction.</w:t>
      </w:r>
    </w:p>
    <w:p>
      <w:r>
        <w:t xml:space="preserve">Owner: Permanent Secretary • Timeline: 6–18 months • Budget: Low — absorbable within existing allocations, subject to confirmation • Indicator: Milestone completion rate tracked against the DEC-WAS-05 delivery plan</w:t>
      </w:r>
    </w:p>
    <w:p>
      <w:pPr>
        <w:pStyle w:val="Heading1"/>
      </w:pPr>
      <w:r>
        <w:t>Methodology</w:t>
      </w:r>
    </w:p>
    <w:p>
      <w:r>
        <w:t xml:space="preserve">research objectives: ["Assess wash access performance and equity","Identify operational drivers and decision priorities"]</w:t>
      </w:r>
    </w:p>
    <w:p>
      <w:r>
        <w:t xml:space="preserve">evaluation questions: ["What outcomes are changing?","Who is being left behind?","Which actions are most likely to improve performance?"]</w:t>
      </w:r>
    </w:p>
    <w:p>
      <w:r>
        <w:t xml:space="preserve">sampling frame: Synthetic programme population frame for Malawi</w:t>
      </w:r>
    </w:p>
    <w:p>
      <w:r>
        <w:t xml:space="preserve">sample size: 1734</w:t>
      </w:r>
    </w:p>
    <w:p>
      <w:r>
        <w:t xml:space="preserve">stratification: ["Region","Location type","Sex","Age","Disability"]</w:t>
      </w:r>
    </w:p>
    <w:p>
      <w:r>
        <w:t xml:space="preserve">weights: Normalized post-stratification weights</w:t>
      </w:r>
    </w:p>
    <w:p>
      <w:r>
        <w:t xml:space="preserve">confidence intervals: 95%</w:t>
      </w:r>
    </w:p>
    <w:p>
      <w:r>
        <w:t xml:space="preserve">design effect: 1.5</w:t>
      </w:r>
    </w:p>
    <w:p>
      <w:r>
        <w:t xml:space="preserve">missing data: Documented and sensitivity-tested</w:t>
      </w:r>
    </w:p>
    <w:p>
      <w:r>
        <w:t xml:space="preserve">reliability: Cronbach alpha 0.86</w:t>
      </w:r>
    </w:p>
    <w:p>
      <w:r>
        <w:t xml:space="preserve">validity: Content and construct validity checks</w:t>
      </w:r>
    </w:p>
    <w:p>
      <w:r>
        <w:t xml:space="preserve">metadata: Complete synthetic data dictionary and lineage registry</w:t>
      </w:r>
    </w:p>
    <w:p>
      <w:pPr>
        <w:pStyle w:val="Heading1"/>
      </w:pPr>
      <w:r>
        <w:t>Institutional &amp; Methodology Assurance</w:t>
      </w:r>
    </w:p>
    <w:p>
      <w:r>
        <w:t xml:space="preserve">protocol: Governed synthetic research protocol with sampling, weighting, reliability, validity and reproducibility controls</w:t>
      </w:r>
    </w:p>
    <w:p>
      <w:r>
        <w:t xml:space="preserve">ethics: Synthetic records only; no real participants or personal data</w:t>
      </w:r>
    </w:p>
    <w:p>
      <w:r>
        <w:t xml:space="preserve">peer review: Independent synthetic-publication review checklist completed</w:t>
      </w:r>
    </w:p>
    <w:p>
      <w:r>
        <w:t xml:space="preserve">reproducibility: Deterministic inputs, versioned dataset and export manifest</w:t>
      </w:r>
    </w:p>
    <w:p>
      <w:pPr>
        <w:pStyle w:val="Heading1"/>
      </w:pPr>
      <w:r>
        <w:t>Analytical Depth &amp; Reproducibility</w:t>
      </w:r>
    </w:p>
    <w:p>
      <w:r>
        <w:t xml:space="preserve">inferential statistics: Enabled where assumptions and design permit</w:t>
      </w:r>
    </w:p>
    <w:p>
      <w:r>
        <w:t xml:space="preserve">segmentation: Evidence-led segments</w:t>
      </w:r>
    </w:p>
    <w:p>
      <w:r>
        <w:t xml:space="preserve">trend analysis: Three-period synthetic series</w:t>
      </w:r>
    </w:p>
    <w:p>
      <w:pPr>
        <w:pStyle w:val="Heading1"/>
      </w:pPr>
      <w:r>
        <w:t>Decision Architecture</w:t>
      </w:r>
    </w:p>
    <w:p>
      <w:pPr>
        <w:pStyle w:val="Heading2"/>
      </w:pPr>
      <w:r>
        <w:t>DEC-WAS-01</w:t>
      </w:r>
    </w:p>
    <w:p>
      <w:r>
        <w:t xml:space="preserve">Fund a rapid-repair mechanism for the highest non-functional-rate districts.</w:t>
      </w:r>
    </w:p>
    <w:p>
      <w:r>
        <w:t xml:space="preserve">Owner: Permanent Secretary • Window: 0–90 days • Cost: High — full business case and multi-year funding commitment required • Indicator: Quarterly-verified progress against the milestones agreed for this critical-tier decision (DEC-WAS-01)</w:t>
      </w:r>
    </w:p>
    <w:p>
      <w:pPr>
        <w:pStyle w:val="Heading2"/>
      </w:pPr>
      <w:r>
        <w:t>DEC-WAS-02</w:t>
      </w:r>
    </w:p>
    <w:p>
      <w:r>
        <w:t xml:space="preserve">Reinforce post-verification sanitation follow-up visits.</w:t>
      </w:r>
    </w:p>
    <w:p>
      <w:r>
        <w:t xml:space="preserve">Owner: Permanent Secretary • Window: 3–12 months • Cost: Medium — detailed costing and fiduciary review required • Indicator: Number of agreed milestones for DEC-WAS-02 confirmed complete at each quarterly review</w:t>
      </w:r>
    </w:p>
    <w:p>
      <w:pPr>
        <w:pStyle w:val="Heading2"/>
      </w:pPr>
      <w:r>
        <w:t>DEC-WAS-03</w:t>
      </w:r>
    </w:p>
    <w:p>
      <w:r>
        <w:t xml:space="preserve">Prioritise last-mile water-access investment for remote communities.</w:t>
      </w:r>
    </w:p>
    <w:p>
      <w:r>
        <w:t xml:space="preserve">Owner: Permanent Secretary • Window: 3–12 months • Cost: Medium — likely fundable from existing lines, pending confirmation • Indicator: Percentage of agreed milestones completed for DEC-WAS-03</w:t>
      </w:r>
    </w:p>
    <w:p>
      <w:pPr>
        <w:pStyle w:val="Heading2"/>
      </w:pPr>
      <w:r>
        <w:t>DEC-WAS-04</w:t>
      </w:r>
    </w:p>
    <w:p>
      <w:r>
        <w:t xml:space="preserve">Scale routine water-safety testing at community water points.</w:t>
      </w:r>
    </w:p>
    <w:p>
      <w:r>
        <w:t xml:space="preserve">Owner: Permanent Secretary • Window: 3–12 months • Cost: Low to medium — validate through the formal planning cycle • Indicator: Share of the high-tier delivery plan confirmed complete each quarter (DEC-WAS-04)</w:t>
      </w:r>
    </w:p>
    <w:p>
      <w:pPr>
        <w:pStyle w:val="Heading2"/>
      </w:pPr>
      <w:r>
        <w:t>DEC-WAS-05</w:t>
      </w:r>
    </w:p>
    <w:p>
      <w:r>
        <w:t xml:space="preserve">Institutionalise sanitation behaviour-change follow-up after construction.</w:t>
      </w:r>
    </w:p>
    <w:p>
      <w:r>
        <w:t xml:space="preserve">Owner: Permanent Secretary • Window: 6–18 months • Cost: Low — absorbable within existing allocations, subject to confirmation • Indicator: Milestone completion rate tracked against the DEC-WAS-05 delivery plan</w:t>
      </w:r>
    </w:p>
    <w:p>
      <w:pPr>
        <w:pStyle w:val="Heading1"/>
      </w:pPr>
      <w:r>
        <w:t>Evidence Lineage &amp; Citation Registry</w:t>
      </w:r>
    </w:p>
    <w:p>
      <w:r>
        <w:t xml:space="preserve">EVI-WAS-001: [object Object] • APPROVED_SYNTHETIC_DEMONSTRATION • 94%</w:t>
      </w:r>
    </w:p>
    <w:p>
      <w:r>
        <w:t xml:space="preserve">EVI-WAS-002: [object Object] • APPROVED_SYNTHETIC_DEMONSTRATION • 95%</w:t>
      </w:r>
    </w:p>
    <w:p>
      <w:r>
        <w:t xml:space="preserve">EVI-WAS-003: [object Object] • APPROVED_SYNTHETIC_DEMONSTRATION • 96%</w:t>
      </w:r>
    </w:p>
    <w:p>
      <w:r>
        <w:t xml:space="preserve">EVI-WAS-004: [object Object] • APPROVED_SYNTHETIC_DEMONSTRATION • 97%</w:t>
      </w:r>
    </w:p>
    <w:p>
      <w:r>
        <w:t xml:space="preserve">EVI-WAS-005: [object Object] • APPROVED_SYNTHETIC_DEMONSTRATION • 98%</w:t>
      </w:r>
    </w:p>
    <w:p>
      <w:r>
        <w:t xml:space="preserve">EVI-WAS-006: [object Object] • APPROVED_SYNTHETIC_DEMONSTRATION • 88%</w:t>
      </w:r>
    </w:p>
    <w:p>
      <w:r>
        <w:t xml:space="preserve">EVI-WAS-007: [object Object] • APPROVED_SYNTHETIC_DEMONSTRATION • 89%</w:t>
      </w:r>
    </w:p>
    <w:p>
      <w:r>
        <w:t xml:space="preserve">EVI-WAS-008: [object Object] • APPROVED_SYNTHETIC_DEMONSTRATION • 90%</w:t>
      </w:r>
    </w:p>
    <w:p>
      <w:r>
        <w:t xml:space="preserve">EVI-WAS-009: [object Object] • APPROVED_SYNTHETIC_DEMONSTRATION • 91%</w:t>
      </w:r>
    </w:p>
    <w:p>
      <w:r>
        <w:t xml:space="preserve">EVI-WAS-010: [object Object] • APPROVED_SYNTHETIC_DEMONSTRATION • 92%</w:t>
      </w:r>
    </w:p>
    <w:p>
      <w:r>
        <w:t xml:space="preserve">CIT-EVI-WAS-001: VoiceInsights Africa. WASH Access Intelligence Report. synthetic-wash-access-intelligence-2026.1, EVI-WAS-001, Q1: How does non-functional water-point rates affect wash access outcomes in Southern Region?</w:t>
      </w:r>
    </w:p>
    <w:p>
      <w:r>
        <w:t xml:space="preserve">CIT-EVI-WAS-002: VoiceInsights Africa. WASH Access Intelligence Report. synthetic-wash-access-intelligence-2026.1, EVI-WAS-002, Q2: How does open-defecation-free status durability affect wash access outcomes in Central Region?</w:t>
      </w:r>
    </w:p>
    <w:p>
      <w:r>
        <w:t xml:space="preserve">CIT-EVI-WAS-003: VoiceInsights Africa. WASH Access Intelligence Report. synthetic-wash-access-intelligence-2026.1, EVI-WAS-003, Q3: How does remote-community access equity affect wash access outcomes in Northern Region?</w:t>
      </w:r>
    </w:p>
    <w:p>
      <w:r>
        <w:t xml:space="preserve">CIT-EVI-WAS-004: VoiceInsights Africa. WASH Access Intelligence Report. synthetic-wash-access-intelligence-2026.1, EVI-WAS-004, Q4: How does water-safety testing coverage affect wash access outcomes in Lake Malawi Districts?</w:t>
      </w:r>
    </w:p>
    <w:p>
      <w:r>
        <w:t xml:space="preserve">CIT-EVI-WAS-005: VoiceInsights Africa. WASH Access Intelligence Report. synthetic-wash-access-intelligence-2026.1, EVI-WAS-005, Q5: How does sanitation behaviour-change sustainment affect wash access outcomes in Southern Region?</w:t>
      </w:r>
    </w:p>
    <w:p>
      <w:r>
        <w:t xml:space="preserve">CIT-EVI-WAS-006: VoiceInsights Africa. WASH Access Intelligence Report. synthetic-wash-access-intelligence-2026.1, EVI-WAS-006, Q6: How does non-functional water-point rates affect wash access outcomes in Central Region?</w:t>
      </w:r>
    </w:p>
    <w:p>
      <w:r>
        <w:t xml:space="preserve">CIT-EVI-WAS-007: VoiceInsights Africa. WASH Access Intelligence Report. synthetic-wash-access-intelligence-2026.1, EVI-WAS-007, Q7: How does open-defecation-free status durability affect wash access outcomes in Northern Region?</w:t>
      </w:r>
    </w:p>
    <w:p>
      <w:r>
        <w:t xml:space="preserve">CIT-EVI-WAS-008: VoiceInsights Africa. WASH Access Intelligence Report. synthetic-wash-access-intelligence-2026.1, EVI-WAS-008, Q8: How does remote-community access equity affect wash access outcomes in Lake Malawi Districts?</w:t>
      </w:r>
    </w:p>
    <w:p>
      <w:r>
        <w:t xml:space="preserve">CIT-EVI-WAS-009: VoiceInsights Africa. WASH Access Intelligence Report. synthetic-wash-access-intelligence-2026.1, EVI-WAS-009, Q9: How does water-safety testing coverage affect wash access outcomes in Southern Region?</w:t>
      </w:r>
    </w:p>
    <w:p>
      <w:r>
        <w:t xml:space="preserve">CIT-EVI-WAS-010: VoiceInsights Africa. WASH Access Intelligence Report. synthetic-wash-access-intelligence-2026.1, EVI-WAS-010, Q10: How does sanitation behaviour-change sustainment affect wash access outcomes in Central Region?</w:t>
      </w:r>
    </w:p>
    <w:p>
      <w:pPr>
        <w:pStyle w:val="Heading1"/>
      </w:pPr>
      <w:r>
        <w:t>Publication Architecture</w:t>
      </w:r>
    </w:p>
    <w:p>
      <w:r>
        <w:t xml:space="preserve">Executive Intelligence Book (2–7): Executive brief; Decision snapshot; Risks; Opportunities; Budget implications</w:t>
      </w:r>
    </w:p>
    <w:p>
      <w:r>
        <w:t xml:space="preserve">Evidence Intelligence Book (8–15): Critical findings; Respondent voice; Evidence chains; Citation registry</w:t>
      </w:r>
    </w:p>
    <w:p>
      <w:r>
        <w:t xml:space="preserve">Statistical Intelligence Book (16–22): Sampling; Weighting; Uncertainty; Reliability; Model diagnostics</w:t>
      </w:r>
    </w:p>
    <w:p>
      <w:r>
        <w:t xml:space="preserve">Decision Intelligence Book (23–27): Decision matrix; Ownership; Budget; Roadmap; Management response</w:t>
      </w:r>
    </w:p>
    <w:p>
      <w:r>
        <w:t xml:space="preserve">Standards &amp; Assurance (28–31): Relevant frameworks; Safeguarding; Privacy; Responsible AI; Accessibility</w:t>
      </w:r>
    </w:p>
    <w:p>
      <w:r>
        <w:t xml:space="preserve">Technical Appendices (32–34): Data dictionary; Quality gate; Export manifest; Responsible-use notice</w:t>
      </w:r>
    </w:p>
    <w:p>
      <w:pPr>
        <w:pStyle w:val="Heading1"/>
      </w:pPr>
      <w:r>
        <w:t>Peer Review &amp; Accessibility</w:t>
      </w:r>
    </w:p>
    <w:p>
      <w:r>
        <w:t xml:space="preserve">wcag target: WCAG 2.2 AA</w:t>
      </w:r>
    </w:p>
    <w:p>
      <w:r>
        <w:t xml:space="preserve">tagged pdf required: true</w:t>
      </w:r>
    </w:p>
    <w:p>
      <w:r>
        <w:t xml:space="preserve">alt text required: true</w:t>
      </w:r>
    </w:p>
    <w:p>
      <w:r>
        <w:t xml:space="preserve">table fallback required: true</w:t>
      </w:r>
    </w:p>
    <w:p>
      <w:r>
        <w:t xml:space="preserve">keyboard navigation required: true</w:t>
      </w:r>
    </w:p>
    <w:p>
      <w:r>
        <w:t xml:space="preserve">colour independent labels required: true</w:t>
      </w:r>
    </w:p>
    <w:p>
      <w:pPr>
        <w:pStyle w:val="Heading1"/>
      </w:pPr>
      <w:r>
        <w:t>International Standards Alignment</w:t>
      </w:r>
    </w:p>
    <w:p>
      <w:r>
        <w:t xml:space="preserve">SDG 6: APPLIED_WHERE_RELEVANT — Mapped to EVI-WAS-001, EVI-WAS-002; Synthetic demonstration mapping; institutional validation not implied</w:t>
      </w:r>
    </w:p>
    <w:p>
      <w:r>
        <w:t xml:space="preserve">Data Protection: APPLIED_WHERE_RELEVANT — Mapped to EVI-WAS-002, EVI-WAS-003; Synthetic demonstration mapping; institutional validation not implied</w:t>
      </w:r>
    </w:p>
    <w:p>
      <w:r>
        <w:t xml:space="preserve">Leave No One Behind: APPLIED_WHERE_RELEVANT — Mapped to EVI-WAS-003, EVI-WAS-004; Synthetic demonstration mapping; institutional validation not implied</w:t>
      </w:r>
    </w:p>
    <w:p>
      <w:r>
        <w:t xml:space="preserve">Evidence Traceability: APPLIED — Control linked to EVI-WAS-001 and the deterministic publication gate.</w:t>
      </w:r>
    </w:p>
    <w:p>
      <w:r>
        <w:t xml:space="preserve">Research Ethics: APPLIED — Control linked to EVI-WAS-002 and the deterministic publication gate.</w:t>
      </w:r>
    </w:p>
    <w:p>
      <w:r>
        <w:t xml:space="preserve">Data Protection: APPLIED — Control linked to EVI-WAS-003 and the deterministic publication gate.</w:t>
      </w:r>
    </w:p>
    <w:p>
      <w:r>
        <w:t xml:space="preserve">Accessibility: APPLIED — Control linked to EVI-WAS-004 and the deterministic publication gate.</w:t>
      </w:r>
    </w:p>
    <w:p>
      <w:r>
        <w:t xml:space="preserve">Responsible AI: APPLIED — Control linked to EVI-WAS-005 and the deterministic publication gate.</w:t>
      </w:r>
    </w:p>
    <w:p>
      <w:r>
        <w:t xml:space="preserve">Publication Integrity: APPLIED — Control linked to EVI-WAS-006 and the deterministic publication gate.</w:t>
      </w:r>
    </w:p>
    <w:p>
      <w:pPr>
        <w:pStyle w:val="Heading1"/>
      </w:pPr>
      <w:r>
        <w:t>SDG Contribution</w:t>
      </w:r>
    </w:p>
    <w:p>
      <w:r>
        <w:t xml:space="preserve">SDG 6: undefined — Indicators —</w:t>
      </w:r>
    </w:p>
    <w:p>
      <w:r>
        <w:t xml:space="preserve">SDG 6: undefined — Indicators —</w:t>
      </w:r>
    </w:p>
    <w:p>
      <w:r>
        <w:t xml:space="preserve">SDG 1: undefined — Indicators —</w:t>
      </w:r>
    </w:p>
    <w:p>
      <w:pPr>
        <w:pStyle w:val="Heading1"/>
      </w:pPr>
      <w:r>
        <w:t>OECD-DAC Evaluation Criteria</w:t>
      </w:r>
    </w:p>
    <w:p>
      <w:r>
        <w:t xml:space="preserve">Relevance: Synthetic evidence indicates a strong relevance signal, subject to the stated design limitations. (74/100) — Review relevance evidence at the next formal management gate.</w:t>
      </w:r>
    </w:p>
    <w:p>
      <w:r>
        <w:t xml:space="preserve">Coherence: Synthetic evidence indicates a moderate-to-strong coherence signal, subject to the stated design limitations. (75/100) — Review coherence evidence at the next formal management gate.</w:t>
      </w:r>
    </w:p>
    <w:p>
      <w:r>
        <w:t xml:space="preserve">Effectiveness: Synthetic evidence indicates a strong effectiveness signal, subject to the stated design limitations. (76/100) — Review effectiveness evidence at the next formal management gate.</w:t>
      </w:r>
    </w:p>
    <w:p>
      <w:r>
        <w:t xml:space="preserve">Efficiency: Synthetic evidence indicates a moderate-to-strong efficiency signal, subject to the stated design limitations. (77/100) — Review efficiency evidence at the next formal management gate.</w:t>
      </w:r>
    </w:p>
    <w:p>
      <w:r>
        <w:t xml:space="preserve">Impact: Synthetic evidence indicates a strong impact signal, subject to the stated design limitations. (78/100) — Review impact evidence at the next formal management gate.</w:t>
      </w:r>
    </w:p>
    <w:p>
      <w:r>
        <w:t xml:space="preserve">Sustainability: Synthetic evidence indicates a moderate-to-strong sustainability signal, subject to the stated design limitations. (79/100) — Review sustainability evidence at the next formal management gate.</w:t>
      </w:r>
    </w:p>
    <w:p>
      <w:pPr>
        <w:pStyle w:val="Heading1"/>
      </w:pPr>
      <w:r>
        <w:t>Results-Based Management</w:t>
      </w:r>
    </w:p>
    <w:p>
      <w:r>
        <w:t xml:space="preserve">Impact: Sustained, equitable improvement in wash access performance</w:t>
      </w:r>
    </w:p>
    <w:p>
      <w:r>
        <w:t xml:space="preserve">OC-01: Improved wash access delivery and accountability — Indicators IND-01, IND-02</w:t>
      </w:r>
    </w:p>
    <w:p>
      <w:r>
        <w:t xml:space="preserve">OC-02: More equitable and durable outcomes — Indicators IND-03, IND-04</w:t>
      </w:r>
    </w:p>
    <w:p>
      <w:r>
        <w:t xml:space="preserve">OUT-01: Verified findings and interpreted decision products</w:t>
      </w:r>
    </w:p>
    <w:p>
      <w:r>
        <w:t xml:space="preserve">OUT-02: Assigned actions with monitoring indicators</w:t>
      </w:r>
    </w:p>
    <w:p>
      <w:pPr>
        <w:pStyle w:val="Heading1"/>
      </w:pPr>
      <w:r>
        <w:t>CHS Accountability Mapping</w:t>
      </w:r>
    </w:p>
    <w:p>
      <w:r>
        <w:t xml:space="preserve">Commitment 1: CHS Commitment 1 — CONTEXT_ONLY. Validate relevance and assign an accountable owner before live use.</w:t>
      </w:r>
    </w:p>
    <w:p>
      <w:r>
        <w:t xml:space="preserve">Commitment 2: CHS Commitment 2 — CONTEXT_ONLY. Validate relevance and assign an accountable owner before live use.</w:t>
      </w:r>
    </w:p>
    <w:p>
      <w:r>
        <w:t xml:space="preserve">Commitment 3: CHS Commitment 3 — CONTEXT_ONLY. Validate relevance and assign an accountable owner before live use.</w:t>
      </w:r>
    </w:p>
    <w:p>
      <w:r>
        <w:t xml:space="preserve">Commitment 4: CHS Commitment 4 — CONTEXT_ONLY. Validate relevance and assign an accountable owner before live use.</w:t>
      </w:r>
    </w:p>
    <w:p>
      <w:r>
        <w:t xml:space="preserve">Commitment 5: CHS Commitment 5 — CONTEXT_ONLY. Validate relevance and assign an accountable owner before live use.</w:t>
      </w:r>
    </w:p>
    <w:p>
      <w:r>
        <w:t xml:space="preserve">Commitment 6: CHS Commitment 6 — CONTEXT_ONLY. Validate relevance and assign an accountable owner before live use.</w:t>
      </w:r>
    </w:p>
    <w:p>
      <w:r>
        <w:t xml:space="preserve">Commitment 7: CHS Commitment 7 — CONTEXT_ONLY. Validate relevance and assign an accountable owner before live use.</w:t>
      </w:r>
    </w:p>
    <w:p>
      <w:r>
        <w:t xml:space="preserve">Commitment 8: CHS Commitment 8 — CONTEXT_ONLY. Validate relevance and assign an accountable owner before live use.</w:t>
      </w:r>
    </w:p>
    <w:p>
      <w:r>
        <w:t xml:space="preserve">Commitment 9: CHS Commitment 9 — CONTEXT_ONLY. Validate relevance and assign an accountable owner before live use.</w:t>
      </w:r>
    </w:p>
    <w:p>
      <w:pPr>
        <w:pStyle w:val="Heading1"/>
      </w:pPr>
      <w:r>
        <w:t>Evidence Register</w:t>
      </w:r>
    </w:p>
    <w:p>
      <w:r>
        <w:t xml:space="preserve">EVI-WAS-001 • survey • SYN-WASH-0001 • APPROVED • 94%</w:t>
      </w:r>
    </w:p>
    <w:p>
      <w:r>
        <w:t xml:space="preserve">EVI-WAS-002 • key_informant_interview • SYN-WASH-0002 • APPROVED • 95%</w:t>
      </w:r>
    </w:p>
    <w:p>
      <w:r>
        <w:t xml:space="preserve">EVI-WAS-003 • administrative_record • SYN-WASH-0003 • APPROVED • 96%</w:t>
      </w:r>
    </w:p>
    <w:p>
      <w:r>
        <w:t xml:space="preserve">EVI-WAS-004 • survey • SYN-WASH-0004 • APPROVED • 97%</w:t>
      </w:r>
    </w:p>
    <w:p>
      <w:r>
        <w:t xml:space="preserve">EVI-WAS-005 • key_informant_interview • SYN-WASH-0005 • APPROVED • 98%</w:t>
      </w:r>
    </w:p>
    <w:p>
      <w:r>
        <w:t xml:space="preserve">EVI-WAS-006 • administrative_record • SYN-WASH-0006 • APPROVED • 88%</w:t>
      </w:r>
    </w:p>
    <w:p>
      <w:r>
        <w:t xml:space="preserve">EVI-WAS-007 • survey • SYN-WASH-0007 • APPROVED • 89%</w:t>
      </w:r>
    </w:p>
    <w:p>
      <w:r>
        <w:t xml:space="preserve">EVI-WAS-008 • key_informant_interview • SYN-WASH-0008 • APPROVED • 90%</w:t>
      </w:r>
    </w:p>
    <w:p>
      <w:r>
        <w:t xml:space="preserve">EVI-WAS-009 • administrative_record • SYN-WASH-0009 • APPROVED • 91%</w:t>
      </w:r>
    </w:p>
    <w:p>
      <w:r>
        <w:t xml:space="preserve">EVI-WAS-010 • survey • SYN-WASH-0010 • APPROVED • 92%</w:t>
      </w:r>
    </w:p>
    <w:p>
      <w:pPr>
        <w:pStyle w:val="Heading1"/>
      </w:pPr>
      <w:r>
        <w:t>Data Dictionary</w:t>
      </w:r>
    </w:p>
    <w:p>
      <w:r>
        <w:t xml:space="preserve">indicator_1: Synthetic WASH Access indicator 1; numeric; allowed: 0–100; missing: NA</w:t>
      </w:r>
    </w:p>
    <w:p>
      <w:r>
        <w:t xml:space="preserve">indicator_2: Synthetic WASH Access indicator 2; categorical; allowed: Documented code list; missing: NA</w:t>
      </w:r>
    </w:p>
    <w:p>
      <w:r>
        <w:t xml:space="preserve">indicator_3: Synthetic WASH Access indicator 3; categorical; allowed: Documented code list; missing: NA</w:t>
      </w:r>
    </w:p>
    <w:p>
      <w:r>
        <w:t xml:space="preserve">indicator_4: Synthetic WASH Access indicator 4; numeric; allowed: 0–100; missing: NA</w:t>
      </w:r>
    </w:p>
    <w:p>
      <w:r>
        <w:t xml:space="preserve">indicator_5: Synthetic WASH Access indicator 5; categorical; allowed: Documented code list; missing: NA</w:t>
      </w:r>
    </w:p>
    <w:p>
      <w:r>
        <w:t xml:space="preserve">indicator_6: Synthetic WASH Access indicator 6; categorical; allowed: Documented code list; missing: NA</w:t>
      </w:r>
    </w:p>
    <w:p>
      <w:r>
        <w:t xml:space="preserve">indicator_7: Synthetic WASH Access indicator 7; numeric; allowed: 0–100; missing: NA</w:t>
      </w:r>
    </w:p>
    <w:p>
      <w:r>
        <w:t xml:space="preserve">indicator_8: Synthetic WASH Access indicator 8; categorical; allowed: Documented code list; missing: NA</w:t>
      </w:r>
    </w:p>
    <w:p>
      <w:r>
        <w:t xml:space="preserve">indicator_9: Synthetic WASH Access indicator 9; categorical; allowed: Documented code list; missing: NA</w:t>
      </w:r>
    </w:p>
    <w:p>
      <w:r>
        <w:t xml:space="preserve">indicator_10: Synthetic WASH Access indicator 10; numeric; allowed: 0–100; missing: NA</w:t>
      </w:r>
    </w:p>
    <w:p>
      <w:r>
        <w:t xml:space="preserve">indicator_11: Synthetic WASH Access indicator 11; categorical; allowed: Documented code list; missing: NA</w:t>
      </w:r>
    </w:p>
    <w:p>
      <w:r>
        <w:t xml:space="preserve">indicator_12: Synthetic WASH Access indicator 12; categorical; allowed: Documented code list; missing: NA</w:t>
      </w:r>
    </w:p>
    <w:p>
      <w:pPr>
        <w:pStyle w:val="Heading1"/>
      </w:pPr>
      <w:r>
        <w:t>Limitations &amp; Responsible Use</w:t>
      </w:r>
    </w:p>
    <w:p>
      <w:r>
        <w:t xml:space="preserve">All content is synthetic and must not be interpreted as official statistics</w:t>
      </w:r>
    </w:p>
    <w:p>
      <w:r>
        <w:t xml:space="preserve">Geographic references are illustrative</w:t>
      </w:r>
    </w:p>
    <w:p>
      <w:r>
        <w:t xml:space="preserve">Budget implications are directional and require formal costing</w:t>
      </w:r>
    </w:p>
    <w:p>
      <w:r>
        <w:t xml:space="preserve">Causal claims are not made without an appropriate design</w:t>
      </w:r>
    </w:p>
    <w:sectPr>
      <w:pgSz w:w="11906" w:h="16838"/>
      <w:pgMar w:top="1100" w:right="1100" w:bottom="1100" w:left="1100"/>
    </w:sectPr>
  </w:body>
</w:document>
</file>

<file path=word/styles.xml><?xml version="1.0" encoding="utf-8"?>
<w:styles xmlns:w="http://schemas.openxmlformats.org/wordprocessingml/2006/main">
  <w:style w:type="paragraph" w:default="1" w:styleId="Normal">
    <w:name w:val="Normal"/>
    <w:rPr>
      <w:rFonts w:ascii="Aptos"/>
      <w:sz w:val="22"/>
    </w:rPr>
  </w:style>
  <w:style w:type="paragraph" w:styleId="Heading1">
    <w:name w:val="heading 1"/>
    <w:basedOn w:val="Normal"/>
    <w:rPr>
      <w:b/>
      <w:color w:val="0B2E59"/>
      <w:sz w:val="32"/>
    </w:rPr>
  </w:style>
  <w:style w:type="paragraph" w:styleId="Heading2">
    <w:name w:val="heading 2"/>
    <w:basedOn w:val="Normal"/>
    <w:rPr>
      <w:b/>
      <w:color w:val="1C7ED6"/>
      <w:sz w:val="26"/>
    </w:rPr>
  </w:style>
</w:styles>
</file>

<file path=word/_rels/document.xml.rels><?xml version="1.0"?><Relationships xmlns="http://schemas.openxmlformats.org/package/2006/relationships"><Relationship Id="rId1" Type="http://schemas.openxmlformats.org/officeDocument/2006/relationships/styles" Target="styles.xml"/></Relationships>
</file>