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2200"/>
      </w:pPr>
      <w:r>
        <w:rPr>
          <w:b/>
          <w:sz w:val="42"/>
        </w:rPr>
        <w:t>Youth Skills and Employability Intelligence Report</w:t>
      </w:r>
    </w:p>
    <w:p>
      <w:r>
        <w:t xml:space="preserve">VoiceInsights Africa — Full Synthetic Demonstration Publication</w:t>
      </w:r>
    </w:p>
    <w:p>
      <w:r>
        <w:t xml:space="preserve">Synthetic Demonstration Publication produced by VoiceInsights Africa. All people, quotations, locations and statistics are synthetic, internally governed demonstration content and are not official statistics.</w:t>
      </w:r>
    </w:p>
    <w:p>
      <w:pPr>
        <w:pStyle w:val="Heading1"/>
      </w:pPr>
      <w:r>
        <w:t>Executive Intelligence</w:t>
      </w:r>
    </w:p>
    <w:p>
      <w:r>
        <w:t xml:space="preserve">Progress on youth skills and employability performance in Rwanda is real, but it is not evenly shared. This publication traces where the gains are holding, where the risk is concentrated, and what remains within reach. Findings are linked to synthetic source records, recommendations carry named accountability fields, and all statistical claims are generated from one internally consistent dataset.</w:t>
      </w:r>
    </w:p>
    <w:p>
      <w:pPr>
        <w:pStyle w:val="Heading1"/>
      </w:pPr>
      <w:r>
        <w:t>Table of Contents</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pPr>
        <w:pStyle w:val="Heading1"/>
      </w:pPr>
      <w:r>
        <w:t>Critical Findings</w:t>
      </w:r>
    </w:p>
    <w:p>
      <w:pPr>
        <w:pStyle w:val="Heading2"/>
      </w:pPr>
      <w:r>
        <w:t>Skills-to-employment conversion gaps</w:t>
      </w:r>
    </w:p>
    <w:p>
      <w:r>
        <w:t xml:space="preserve">What would it take to fix skills-to-employment conversion gaps? Start with Kigali City, where the signal sits at 54% and rural women carry most of the shortfall. The honest answer is sustained attention, not a single intervention. Kigali City shows the sharpest divide, where rural women carry the largest share of the gap. Left unaddressed for a year, the imbalance is likely to erode equity, delivery confidence and the durability of results.</w:t>
      </w:r>
    </w:p>
    <w:p>
      <w:r>
        <w:t xml:space="preserve">Evidence: EVI-YOU-001, EVI-YOU-004 • Confidence 89.5%</w:t>
      </w:r>
    </w:p>
    <w:p>
      <w:pPr>
        <w:pStyle w:val="Heading2"/>
      </w:pPr>
      <w:r>
        <w:t>Training-curriculum market relevance</w:t>
      </w:r>
    </w:p>
    <w:p>
      <w:r>
        <w:t xml:space="preserve">Training-curriculum market relevance is not a marginal delivery issue. In Eastern Province, the governed evidence indicates a 55% performance signal, with young adults carrying the most consequential constraint. Left unaddressed, training-curriculum market relevance becomes a structural risk to youth skills and employability delivery in Rwanda, not a temporary dip. Eastern Province is furthest exposed, and young adults would carry the earliest and heaviest consequences of a further year's delay.</w:t>
      </w:r>
    </w:p>
    <w:p>
      <w:r>
        <w:t xml:space="preserve">Evidence: EVI-YOU-002, EVI-YOU-005 • Confidence 90.5%</w:t>
      </w:r>
    </w:p>
    <w:p>
      <w:pPr>
        <w:pStyle w:val="Heading2"/>
      </w:pPr>
      <w:r>
        <w:t>Post-training placement-support completion</w:t>
      </w:r>
    </w:p>
    <w:p>
      <w:r>
        <w:t xml:space="preserve">Two things are true at once about post-training placement-support completion. The national picture is improving, and Western Province — where persons with disabilities report a 56% signal — is not improving fast enough to close the gap. Youth skills and employability performance in Rwanda looks stable in aggregate but splits sharply once post-training placement-support completion is disaggregated. Western Province anchors the low end, and persons with disabilities bear most of that shortfall — a pattern that risks compounding without intervention within the year.</w:t>
      </w:r>
    </w:p>
    <w:p>
      <w:r>
        <w:t xml:space="preserve">Evidence: EVI-YOU-003, EVI-YOU-006 • Confidence 91.5%</w:t>
      </w:r>
    </w:p>
    <w:p>
      <w:pPr>
        <w:pStyle w:val="Heading2"/>
      </w:pPr>
      <w:r>
        <w:t>Youth transition-support gaps</w:t>
      </w:r>
    </w:p>
    <w:p>
      <w:r>
        <w:t xml:space="preserve">Frontline workers in Northern Province are living the consequence of youth transition-support gaps, not simply reporting it. Their 57% signal is the clearest evidence leadership has that current measures fall short. frontline workers in Northern Province do not experience youth transition-support gaps as an abstract metric. They experience it as the difference between youth skills and employability delivery that works and delivery that does not, and a twelve-month delay would deepen that gap rather than hold it steady.</w:t>
      </w:r>
    </w:p>
    <w:p>
      <w:r>
        <w:t xml:space="preserve">Evidence: EVI-YOU-004, EVI-YOU-007 • Confidence 92.5%</w:t>
      </w:r>
    </w:p>
    <w:p>
      <w:pPr>
        <w:pStyle w:val="Heading2"/>
      </w:pPr>
      <w:r>
        <w:t>Sector-specific skills mismatches</w:t>
      </w:r>
    </w:p>
    <w:p>
      <w:r>
        <w:t xml:space="preserve">The strategic opportunity lies in the variation, not the average. At 58%, Kigali City's sector-specific skills mismatches signal shows where implementation can move quickly, while the experience of low-income households defines the safeguard that must accompany scale. The same gap that makes sector-specific skills mismatches a risk also makes it an opportunity: Kigali City could close most of the distance to the rest of Rwanda within a year if action starts now, with the clearest gains reaching low-income households first.</w:t>
      </w:r>
    </w:p>
    <w:p>
      <w:r>
        <w:t xml:space="preserve">Evidence: EVI-YOU-005, EVI-YOU-008 • Confidence 93.5%</w:t>
      </w:r>
    </w:p>
    <w:p>
      <w:pPr>
        <w:pStyle w:val="Heading1"/>
      </w:pPr>
      <w:r>
        <w:t>Regional Intelligence</w:t>
      </w:r>
    </w:p>
    <w:p>
      <w:r>
        <w:t xml:space="preserve">Kigali City: 55% • 1158 responses • Risk CRITICAL</w:t>
      </w:r>
    </w:p>
    <w:p>
      <w:r>
        <w:t xml:space="preserve">Eastern Province: 56% • 1007 responses • Risk CRITICAL</w:t>
      </w:r>
    </w:p>
    <w:p>
      <w:r>
        <w:t xml:space="preserve">Western Province: 57% • 858 responses • Risk CRITICAL</w:t>
      </w:r>
    </w:p>
    <w:p>
      <w:r>
        <w:t xml:space="preserve">Northern Province: 58% • 709 responses • Risk WATCH</w:t>
      </w:r>
    </w:p>
    <w:p>
      <w:pPr>
        <w:pStyle w:val="Heading1"/>
      </w:pPr>
      <w:r>
        <w:t>Indicators and Target Gaps</w:t>
      </w:r>
    </w:p>
    <w:p>
      <w:r>
        <w:t xml:space="preserve">IND-01 Skills-to-employment conversion rate: 54% vs 78% — OFF_TRACK</w:t>
      </w:r>
    </w:p>
    <w:p>
      <w:r>
        <w:t xml:space="preserve">IND-02 Training-curriculum market-relevance score: 55% vs 79% — OFF_TRACK</w:t>
      </w:r>
    </w:p>
    <w:p>
      <w:r>
        <w:t xml:space="preserve">IND-03 Post-training placement-support completion rate: 56% vs 80% — OFF_TRACK</w:t>
      </w:r>
    </w:p>
    <w:p>
      <w:r>
        <w:t xml:space="preserve">IND-04 Sector skills-mismatch rate: 57% vs 81% — OFF_TRACK</w:t>
      </w:r>
    </w:p>
    <w:p>
      <w:pPr>
        <w:pStyle w:val="Heading1"/>
      </w:pPr>
      <w:r>
        <w:t>Respondent Voice</w:t>
      </w:r>
    </w:p>
    <w:p>
      <w:r>
        <w:t xml:space="preserve">Kigali City: “Rural women in Kigali City put it plainly: skills-to-employment conversion gaps are what decides whether progress holds or slips back.”</w:t>
      </w:r>
    </w:p>
    <w:p>
      <w:r>
        <w:t xml:space="preserve">Eastern Province: “Why does Eastern Province lag behind? Ask young adults, and the answer comes back to training-curriculum market relevance.”</w:t>
      </w:r>
    </w:p>
    <w:p>
      <w:r>
        <w:t xml:space="preserve">Western Province: “Elsewhere, post-training placement-support completion might be a footnote. For persons with disabilities in Western Province, it is the whole story.”</w:t>
      </w:r>
    </w:p>
    <w:p>
      <w:r>
        <w:t xml:space="preserve">Northern Province: “Frontline workers in Northern Province frame it simply: when youth transition-support gaps breaks down, everything else does too.”</w:t>
      </w:r>
    </w:p>
    <w:p>
      <w:r>
        <w:t xml:space="preserve">Kigali City: “In Kigali City, sector-specific skills mismatches shapes whether low-income households can turn services into lasting outcomes.”</w:t>
      </w:r>
    </w:p>
    <w:p>
      <w:r>
        <w:t xml:space="preserve">Eastern Province: “Service managers in Eastern Province put it plainly: skills-to-employment conversion gaps are what decides whether progress holds or slips back.”</w:t>
      </w:r>
    </w:p>
    <w:p>
      <w:r>
        <w:t xml:space="preserve">Western Province: “Why does Western Province lag behind? Ask community leaders, and the answer comes back to training-curriculum market relevance.”</w:t>
      </w:r>
    </w:p>
    <w:p>
      <w:r>
        <w:t xml:space="preserve">Northern Province: “Elsewhere, post-training placement-support completion might be a footnote. For private-sector partners in Northern Province, it is the whole story.”</w:t>
      </w:r>
    </w:p>
    <w:p>
      <w:r>
        <w:t xml:space="preserve">Kigali City: “Rural women in Kigali City frame it simply: when youth transition-support gaps breaks down, everything else does too.”</w:t>
      </w:r>
    </w:p>
    <w:p>
      <w:r>
        <w:t xml:space="preserve">Eastern Province: “In Eastern Province, sector-specific skills mismatches shapes whether young adults can turn services into lasting outcomes.”</w:t>
      </w:r>
    </w:p>
    <w:p>
      <w:pPr>
        <w:pStyle w:val="Heading1"/>
      </w:pPr>
      <w:r>
        <w:t>Decision Intelligence</w:t>
      </w:r>
    </w:p>
    <w:p>
      <w:pPr>
        <w:pStyle w:val="Heading2"/>
      </w:pPr>
      <w:r>
        <w:t>DEC-YOU-01 CRITICAL</w:t>
      </w:r>
    </w:p>
    <w:p>
      <w:r>
        <w:t xml:space="preserve">Target investment at the sharpest skills-to-employment conversion gap.</w:t>
      </w:r>
    </w:p>
    <w:p>
      <w:r>
        <w:t xml:space="preserve">Owner: Country Director / Programme Executive • Timeline: 0–90 days • Budget: High — full business case and multi-year funding commitment required • Indicator: Share of the critical-tier delivery plan confirmed complete each quarter (DEC-YOU-01)</w:t>
      </w:r>
    </w:p>
    <w:p>
      <w:pPr>
        <w:pStyle w:val="Heading2"/>
      </w:pPr>
      <w:r>
        <w:t>DEC-YOU-02 CRITICAL</w:t>
      </w:r>
    </w:p>
    <w:p>
      <w:r>
        <w:t xml:space="preserve">Revise curricula against current market-relevance data.</w:t>
      </w:r>
    </w:p>
    <w:p>
      <w:r>
        <w:t xml:space="preserve">Owner: Country Director / Programme Executive • Timeline: 3–12 months • Budget: Medium — detailed costing and fiduciary review required • Indicator: Milestone completion rate tracked against the DEC-YOU-02 delivery plan</w:t>
      </w:r>
    </w:p>
    <w:p>
      <w:pPr>
        <w:pStyle w:val="Heading2"/>
      </w:pPr>
      <w:r>
        <w:t>DEC-YOU-03 HIGH</w:t>
      </w:r>
    </w:p>
    <w:p>
      <w:r>
        <w:t xml:space="preserve">Strengthen post-training placement support.</w:t>
      </w:r>
    </w:p>
    <w:p>
      <w:r>
        <w:t xml:space="preserve">Owner: Country Director / Programme Executive • Timeline: 3–12 months • Budget: Low to medium — validate through the formal planning cycle • Indicator: Proportion of agreed implementation steps verified on schedule for DEC-YOU-03</w:t>
      </w:r>
    </w:p>
    <w:p>
      <w:pPr>
        <w:pStyle w:val="Heading2"/>
      </w:pPr>
      <w:r>
        <w:t>DEC-YOU-04 HIGH</w:t>
      </w:r>
    </w:p>
    <w:p>
      <w:r>
        <w:t xml:space="preserve">Close sector-specific skills mismatches through employer partnerships.</w:t>
      </w:r>
    </w:p>
    <w:p>
      <w:r>
        <w:t xml:space="preserve">Owner: Country Director / Programme Executive • Timeline: 3–12 months • Budget: Low — absorbable within existing allocations, subject to confirmation • Indicator: Quarterly-verified progress against the milestones agreed for this high-tier decision (DEC-YOU-04)</w:t>
      </w:r>
    </w:p>
    <w:p>
      <w:pPr>
        <w:pStyle w:val="Heading2"/>
      </w:pPr>
      <w:r>
        <w:t>DEC-YOU-05 MEDIUM</w:t>
      </w:r>
    </w:p>
    <w:p>
      <w:r>
        <w:t xml:space="preserve">Scale transition-support services for recent training graduates.</w:t>
      </w:r>
    </w:p>
    <w:p>
      <w:r>
        <w:t xml:space="preserve">Owner: Country Director / Programme Executive • Timeline: 6–18 months • Budget: Low — deliverable inside the current operating budget with light validation • Indicator: Number of agreed milestones for DEC-YOU-05 confirmed complete at each quarterly review</w:t>
      </w:r>
    </w:p>
    <w:p>
      <w:pPr>
        <w:pStyle w:val="Heading1"/>
      </w:pPr>
      <w:r>
        <w:t>Methodology</w:t>
      </w:r>
    </w:p>
    <w:p>
      <w:r>
        <w:t xml:space="preserve">research objectives: ["Assess youth skills and employability performance and equity","Identify operational drivers and decision priorities"]</w:t>
      </w:r>
    </w:p>
    <w:p>
      <w:r>
        <w:t xml:space="preserve">evaluation questions: ["What outcomes are changing?","Who is being left behind?","Which actions are most likely to improve performance?"]</w:t>
      </w:r>
    </w:p>
    <w:p>
      <w:r>
        <w:t xml:space="preserve">sampling frame: Synthetic programme population frame for Rwanda</w:t>
      </w:r>
    </w:p>
    <w:p>
      <w:r>
        <w:t xml:space="preserve">sample size: 3732</w:t>
      </w:r>
    </w:p>
    <w:p>
      <w:r>
        <w:t xml:space="preserve">stratification: ["Region","Location type","Sex","Age","Disability"]</w:t>
      </w:r>
    </w:p>
    <w:p>
      <w:r>
        <w:t xml:space="preserve">weights: Normalized post-stratification weights</w:t>
      </w:r>
    </w:p>
    <w:p>
      <w:r>
        <w:t xml:space="preserve">confidence intervals: 95%</w:t>
      </w:r>
    </w:p>
    <w:p>
      <w:r>
        <w:t xml:space="preserve">design effect: 1.2</w:t>
      </w:r>
    </w:p>
    <w:p>
      <w:r>
        <w:t xml:space="preserve">missing data: Documented and sensitivity-tested</w:t>
      </w:r>
    </w:p>
    <w:p>
      <w:r>
        <w:t xml:space="preserve">reliability: Cronbach alpha 0.86</w:t>
      </w:r>
    </w:p>
    <w:p>
      <w:r>
        <w:t xml:space="preserve">validity: Content and construct validity checks</w:t>
      </w:r>
    </w:p>
    <w:p>
      <w:r>
        <w:t xml:space="preserve">metadata: Complete synthetic data dictionary and lineage registry</w:t>
      </w:r>
    </w:p>
    <w:p>
      <w:pPr>
        <w:pStyle w:val="Heading1"/>
      </w:pPr>
      <w:r>
        <w:t>Institutional &amp; Methodology Assurance</w:t>
      </w:r>
    </w:p>
    <w:p>
      <w:r>
        <w:t xml:space="preserve">protocol: Governed synthetic research protocol with sampling, weighting, reliability, validity and reproducibility controls</w:t>
      </w:r>
    </w:p>
    <w:p>
      <w:r>
        <w:t xml:space="preserve">ethics: Synthetic records only; no real participants or personal data</w:t>
      </w:r>
    </w:p>
    <w:p>
      <w:r>
        <w:t xml:space="preserve">peer review: Independent synthetic-publication review checklist completed</w:t>
      </w:r>
    </w:p>
    <w:p>
      <w:r>
        <w:t xml:space="preserve">reproducibility: Deterministic inputs, versioned dataset and export manifest</w:t>
      </w:r>
    </w:p>
    <w:p>
      <w:pPr>
        <w:pStyle w:val="Heading1"/>
      </w:pPr>
      <w:r>
        <w:t>Analytical Depth &amp; Reproducibility</w:t>
      </w:r>
    </w:p>
    <w:p>
      <w:r>
        <w:t xml:space="preserve">inferential statistics: Enabled where assumptions and design permit</w:t>
      </w:r>
    </w:p>
    <w:p>
      <w:r>
        <w:t xml:space="preserve">segmentation: Evidence-led segments</w:t>
      </w:r>
    </w:p>
    <w:p>
      <w:r>
        <w:t xml:space="preserve">trend analysis: Three-period synthetic series</w:t>
      </w:r>
    </w:p>
    <w:p>
      <w:pPr>
        <w:pStyle w:val="Heading1"/>
      </w:pPr>
      <w:r>
        <w:t>Decision Architecture</w:t>
      </w:r>
    </w:p>
    <w:p>
      <w:pPr>
        <w:pStyle w:val="Heading2"/>
      </w:pPr>
      <w:r>
        <w:t>DEC-YOU-01</w:t>
      </w:r>
    </w:p>
    <w:p>
      <w:r>
        <w:t xml:space="preserve">Target investment at the sharpest skills-to-employment conversion gap.</w:t>
      </w:r>
    </w:p>
    <w:p>
      <w:r>
        <w:t xml:space="preserve">Owner: Country Director / Programme Executive • Window: 0–90 days • Cost: High — full business case and multi-year funding commitment required • Indicator: Share of the critical-tier delivery plan confirmed complete each quarter (DEC-YOU-01)</w:t>
      </w:r>
    </w:p>
    <w:p>
      <w:pPr>
        <w:pStyle w:val="Heading2"/>
      </w:pPr>
      <w:r>
        <w:t>DEC-YOU-02</w:t>
      </w:r>
    </w:p>
    <w:p>
      <w:r>
        <w:t xml:space="preserve">Revise curricula against current market-relevance data.</w:t>
      </w:r>
    </w:p>
    <w:p>
      <w:r>
        <w:t xml:space="preserve">Owner: Country Director / Programme Executive • Window: 3–12 months • Cost: Medium — detailed costing and fiduciary review required • Indicator: Milestone completion rate tracked against the DEC-YOU-02 delivery plan</w:t>
      </w:r>
    </w:p>
    <w:p>
      <w:pPr>
        <w:pStyle w:val="Heading2"/>
      </w:pPr>
      <w:r>
        <w:t>DEC-YOU-03</w:t>
      </w:r>
    </w:p>
    <w:p>
      <w:r>
        <w:t xml:space="preserve">Strengthen post-training placement support.</w:t>
      </w:r>
    </w:p>
    <w:p>
      <w:r>
        <w:t xml:space="preserve">Owner: Country Director / Programme Executive • Window: 3–12 months • Cost: Low to medium — validate through the formal planning cycle • Indicator: Proportion of agreed implementation steps verified on schedule for DEC-YOU-03</w:t>
      </w:r>
    </w:p>
    <w:p>
      <w:pPr>
        <w:pStyle w:val="Heading2"/>
      </w:pPr>
      <w:r>
        <w:t>DEC-YOU-04</w:t>
      </w:r>
    </w:p>
    <w:p>
      <w:r>
        <w:t xml:space="preserve">Close sector-specific skills mismatches through employer partnerships.</w:t>
      </w:r>
    </w:p>
    <w:p>
      <w:r>
        <w:t xml:space="preserve">Owner: Country Director / Programme Executive • Window: 3–12 months • Cost: Low — absorbable within existing allocations, subject to confirmation • Indicator: Quarterly-verified progress against the milestones agreed for this high-tier decision (DEC-YOU-04)</w:t>
      </w:r>
    </w:p>
    <w:p>
      <w:pPr>
        <w:pStyle w:val="Heading2"/>
      </w:pPr>
      <w:r>
        <w:t>DEC-YOU-05</w:t>
      </w:r>
    </w:p>
    <w:p>
      <w:r>
        <w:t xml:space="preserve">Scale transition-support services for recent training graduates.</w:t>
      </w:r>
    </w:p>
    <w:p>
      <w:r>
        <w:t xml:space="preserve">Owner: Country Director / Programme Executive • Window: 6–18 months • Cost: Low — deliverable inside the current operating budget with light validation • Indicator: Number of agreed milestones for DEC-YOU-05 confirmed complete at each quarterly review</w:t>
      </w:r>
    </w:p>
    <w:p>
      <w:pPr>
        <w:pStyle w:val="Heading1"/>
      </w:pPr>
      <w:r>
        <w:t>Evidence Lineage &amp; Citation Registry</w:t>
      </w:r>
    </w:p>
    <w:p>
      <w:r>
        <w:t xml:space="preserve">EVI-YOU-001: [object Object] • APPROVED_SYNTHETIC_DEMONSTRATION • 88%</w:t>
      </w:r>
    </w:p>
    <w:p>
      <w:r>
        <w:t xml:space="preserve">EVI-YOU-002: [object Object] • APPROVED_SYNTHETIC_DEMONSTRATION • 89%</w:t>
      </w:r>
    </w:p>
    <w:p>
      <w:r>
        <w:t xml:space="preserve">EVI-YOU-003: [object Object] • APPROVED_SYNTHETIC_DEMONSTRATION • 90%</w:t>
      </w:r>
    </w:p>
    <w:p>
      <w:r>
        <w:t xml:space="preserve">EVI-YOU-004: [object Object] • APPROVED_SYNTHETIC_DEMONSTRATION • 91%</w:t>
      </w:r>
    </w:p>
    <w:p>
      <w:r>
        <w:t xml:space="preserve">EVI-YOU-005: [object Object] • APPROVED_SYNTHETIC_DEMONSTRATION • 92%</w:t>
      </w:r>
    </w:p>
    <w:p>
      <w:r>
        <w:t xml:space="preserve">EVI-YOU-006: [object Object] • APPROVED_SYNTHETIC_DEMONSTRATION • 93%</w:t>
      </w:r>
    </w:p>
    <w:p>
      <w:r>
        <w:t xml:space="preserve">EVI-YOU-007: [object Object] • APPROVED_SYNTHETIC_DEMONSTRATION • 94%</w:t>
      </w:r>
    </w:p>
    <w:p>
      <w:r>
        <w:t xml:space="preserve">EVI-YOU-008: [object Object] • APPROVED_SYNTHETIC_DEMONSTRATION • 95%</w:t>
      </w:r>
    </w:p>
    <w:p>
      <w:r>
        <w:t xml:space="preserve">EVI-YOU-009: [object Object] • APPROVED_SYNTHETIC_DEMONSTRATION • 96%</w:t>
      </w:r>
    </w:p>
    <w:p>
      <w:r>
        <w:t xml:space="preserve">EVI-YOU-010: [object Object] • APPROVED_SYNTHETIC_DEMONSTRATION • 97%</w:t>
      </w:r>
    </w:p>
    <w:p>
      <w:r>
        <w:t xml:space="preserve">CIT-EVI-YOU-001: VoiceInsights Africa. Youth Skills and Employability Intelligence Report. synthetic-youth-skills-employability-intelligence-2026.1, EVI-YOU-001, Q1: How does skills-to-employment conversion gaps affect youth skills and employability outcomes in Kigali City?</w:t>
      </w:r>
    </w:p>
    <w:p>
      <w:r>
        <w:t xml:space="preserve">CIT-EVI-YOU-002: VoiceInsights Africa. Youth Skills and Employability Intelligence Report. synthetic-youth-skills-employability-intelligence-2026.1, EVI-YOU-002, Q2: How does training-curriculum market relevance affect youth skills and employability outcomes in Eastern Province?</w:t>
      </w:r>
    </w:p>
    <w:p>
      <w:r>
        <w:t xml:space="preserve">CIT-EVI-YOU-003: VoiceInsights Africa. Youth Skills and Employability Intelligence Report. synthetic-youth-skills-employability-intelligence-2026.1, EVI-YOU-003, Q3: How does post-training placement-support completion affect youth skills and employability outcomes in Western Province?</w:t>
      </w:r>
    </w:p>
    <w:p>
      <w:r>
        <w:t xml:space="preserve">CIT-EVI-YOU-004: VoiceInsights Africa. Youth Skills and Employability Intelligence Report. synthetic-youth-skills-employability-intelligence-2026.1, EVI-YOU-004, Q4: How does youth transition-support gaps affect youth skills and employability outcomes in Northern Province?</w:t>
      </w:r>
    </w:p>
    <w:p>
      <w:r>
        <w:t xml:space="preserve">CIT-EVI-YOU-005: VoiceInsights Africa. Youth Skills and Employability Intelligence Report. synthetic-youth-skills-employability-intelligence-2026.1, EVI-YOU-005, Q5: How does sector-specific skills mismatches affect youth skills and employability outcomes in Kigali City?</w:t>
      </w:r>
    </w:p>
    <w:p>
      <w:r>
        <w:t xml:space="preserve">CIT-EVI-YOU-006: VoiceInsights Africa. Youth Skills and Employability Intelligence Report. synthetic-youth-skills-employability-intelligence-2026.1, EVI-YOU-006, Q6: How does skills-to-employment conversion gaps affect youth skills and employability outcomes in Eastern Province?</w:t>
      </w:r>
    </w:p>
    <w:p>
      <w:r>
        <w:t xml:space="preserve">CIT-EVI-YOU-007: VoiceInsights Africa. Youth Skills and Employability Intelligence Report. synthetic-youth-skills-employability-intelligence-2026.1, EVI-YOU-007, Q7: How does training-curriculum market relevance affect youth skills and employability outcomes in Western Province?</w:t>
      </w:r>
    </w:p>
    <w:p>
      <w:r>
        <w:t xml:space="preserve">CIT-EVI-YOU-008: VoiceInsights Africa. Youth Skills and Employability Intelligence Report. synthetic-youth-skills-employability-intelligence-2026.1, EVI-YOU-008, Q8: How does post-training placement-support completion affect youth skills and employability outcomes in Northern Province?</w:t>
      </w:r>
    </w:p>
    <w:p>
      <w:r>
        <w:t xml:space="preserve">CIT-EVI-YOU-009: VoiceInsights Africa. Youth Skills and Employability Intelligence Report. synthetic-youth-skills-employability-intelligence-2026.1, EVI-YOU-009, Q9: How does youth transition-support gaps affect youth skills and employability outcomes in Kigali City?</w:t>
      </w:r>
    </w:p>
    <w:p>
      <w:r>
        <w:t xml:space="preserve">CIT-EVI-YOU-010: VoiceInsights Africa. Youth Skills and Employability Intelligence Report. synthetic-youth-skills-employability-intelligence-2026.1, EVI-YOU-010, Q10: How does sector-specific skills mismatches affect youth skills and employability outcomes in Eastern Province?</w:t>
      </w:r>
    </w:p>
    <w:p>
      <w:pPr>
        <w:pStyle w:val="Heading1"/>
      </w:pPr>
      <w:r>
        <w:t>Publication Architecture</w:t>
      </w:r>
    </w:p>
    <w:p>
      <w:r>
        <w:t xml:space="preserve">Executive Intelligence Book (2–7): Executive brief; Decision snapshot; Risks; Opportunities; Budget implications</w:t>
      </w:r>
    </w:p>
    <w:p>
      <w:r>
        <w:t xml:space="preserve">Evidence Intelligence Book (8–15): Critical findings; Respondent voice; Evidence chains; Citation registry</w:t>
      </w:r>
    </w:p>
    <w:p>
      <w:r>
        <w:t xml:space="preserve">Statistical Intelligence Book (16–22): Sampling; Weighting; Uncertainty; Reliability; Model diagnostics</w:t>
      </w:r>
    </w:p>
    <w:p>
      <w:r>
        <w:t xml:space="preserve">Decision Intelligence Book (23–27): Decision matrix; Ownership; Budget; Roadmap; Management response</w:t>
      </w:r>
    </w:p>
    <w:p>
      <w:r>
        <w:t xml:space="preserve">Standards &amp; Assurance (28–31): Relevant frameworks; Safeguarding; Privacy; Responsible AI; Accessibility</w:t>
      </w:r>
    </w:p>
    <w:p>
      <w:r>
        <w:t xml:space="preserve">Technical Appendices (32–34): Data dictionary; Quality gate; Export manifest; Responsible-use notice</w:t>
      </w:r>
    </w:p>
    <w:p>
      <w:pPr>
        <w:pStyle w:val="Heading1"/>
      </w:pPr>
      <w:r>
        <w:t>Peer Review &amp; Accessibility</w:t>
      </w:r>
    </w:p>
    <w:p>
      <w:r>
        <w:t xml:space="preserve">wcag target: WCAG 2.2 AA</w:t>
      </w:r>
    </w:p>
    <w:p>
      <w:r>
        <w:t xml:space="preserve">tagged pdf required: true</w:t>
      </w:r>
    </w:p>
    <w:p>
      <w:r>
        <w:t xml:space="preserve">alt text required: true</w:t>
      </w:r>
    </w:p>
    <w:p>
      <w:r>
        <w:t xml:space="preserve">table fallback required: true</w:t>
      </w:r>
    </w:p>
    <w:p>
      <w:r>
        <w:t xml:space="preserve">keyboard navigation required: true</w:t>
      </w:r>
    </w:p>
    <w:p>
      <w:r>
        <w:t xml:space="preserve">colour independent labels required: true</w:t>
      </w:r>
    </w:p>
    <w:p>
      <w:pPr>
        <w:pStyle w:val="Heading1"/>
      </w:pPr>
      <w:r>
        <w:t>International Standards Alignment</w:t>
      </w:r>
    </w:p>
    <w:p>
      <w:r>
        <w:t xml:space="preserve">SDG 8: APPLIED_WHERE_RELEVANT — Mapped to EVI-YOU-001, EVI-YOU-002; Synthetic demonstration mapping; institutional validation not implied</w:t>
      </w:r>
    </w:p>
    <w:p>
      <w:r>
        <w:t xml:space="preserve">Gender Equality: APPLIED_WHERE_RELEVANT — Mapped to EVI-YOU-002, EVI-YOU-003; Synthetic demonstration mapping; institutional validation not implied</w:t>
      </w:r>
    </w:p>
    <w:p>
      <w:r>
        <w:t xml:space="preserve">Leave No One Behind: APPLIED_WHERE_RELEVANT — Mapped to EVI-YOU-003, EVI-YOU-004; Synthetic demonstration mapping; institutional validation not implied</w:t>
      </w:r>
    </w:p>
    <w:p>
      <w:r>
        <w:t xml:space="preserve">Evidence Traceability: APPLIED — Control linked to EVI-YOU-001 and the deterministic publication gate.</w:t>
      </w:r>
    </w:p>
    <w:p>
      <w:r>
        <w:t xml:space="preserve">Research Ethics: APPLIED — Control linked to EVI-YOU-002 and the deterministic publication gate.</w:t>
      </w:r>
    </w:p>
    <w:p>
      <w:r>
        <w:t xml:space="preserve">Data Protection: APPLIED — Control linked to EVI-YOU-003 and the deterministic publication gate.</w:t>
      </w:r>
    </w:p>
    <w:p>
      <w:r>
        <w:t xml:space="preserve">Accessibility: APPLIED — Control linked to EVI-YOU-004 and the deterministic publication gate.</w:t>
      </w:r>
    </w:p>
    <w:p>
      <w:r>
        <w:t xml:space="preserve">Responsible AI: APPLIED — Control linked to EVI-YOU-005 and the deterministic publication gate.</w:t>
      </w:r>
    </w:p>
    <w:p>
      <w:r>
        <w:t xml:space="preserve">Publication Integrity: APPLIED — Control linked to EVI-YOU-006 and the deterministic publication gate.</w:t>
      </w:r>
    </w:p>
    <w:p>
      <w:pPr>
        <w:pStyle w:val="Heading1"/>
      </w:pPr>
      <w:r>
        <w:t>SDG Contribution</w:t>
      </w:r>
    </w:p>
    <w:p>
      <w:r>
        <w:t xml:space="preserve">SDG 8: undefined — Indicators —</w:t>
      </w:r>
    </w:p>
    <w:p>
      <w:r>
        <w:t xml:space="preserve">SDG 8: undefined — Indicators —</w:t>
      </w:r>
    </w:p>
    <w:p>
      <w:r>
        <w:t xml:space="preserve">SDG 4: undefined — Indicators —</w:t>
      </w:r>
    </w:p>
    <w:p>
      <w:pPr>
        <w:pStyle w:val="Heading1"/>
      </w:pPr>
      <w:r>
        <w:t>OECD-DAC Evaluation Criteria</w:t>
      </w:r>
    </w:p>
    <w:p>
      <w:r>
        <w:t xml:space="preserve">Relevance: Synthetic evidence indicates a strong relevance signal, subject to the stated design limitations. (73/100) — Review relevance evidence at the next formal management gate.</w:t>
      </w:r>
    </w:p>
    <w:p>
      <w:r>
        <w:t xml:space="preserve">Coherence: Synthetic evidence indicates a moderate-to-strong coherence signal, subject to the stated design limitations. (74/100) — Review coherence evidence at the next formal management gate.</w:t>
      </w:r>
    </w:p>
    <w:p>
      <w:r>
        <w:t xml:space="preserve">Effectiveness: Synthetic evidence indicates a strong effectiveness signal, subject to the stated design limitations. (75/100) — Review effectiveness evidence at the next formal management gate.</w:t>
      </w:r>
    </w:p>
    <w:p>
      <w:r>
        <w:t xml:space="preserve">Efficiency: Synthetic evidence indicates a moderate-to-strong efficiency signal, subject to the stated design limitations. (76/100) — Review efficiency evidence at the next formal management gate.</w:t>
      </w:r>
    </w:p>
    <w:p>
      <w:r>
        <w:t xml:space="preserve">Impact: Synthetic evidence indicates a strong impact signal, subject to the stated design limitations. (77/100) — Review impact evidence at the next formal management gate.</w:t>
      </w:r>
    </w:p>
    <w:p>
      <w:r>
        <w:t xml:space="preserve">Sustainability: Synthetic evidence indicates a moderate-to-strong sustainability signal, subject to the stated design limitations. (78/100) — Review sustainability evidence at the next formal management gate.</w:t>
      </w:r>
    </w:p>
    <w:p>
      <w:pPr>
        <w:pStyle w:val="Heading1"/>
      </w:pPr>
      <w:r>
        <w:t>Results-Based Management</w:t>
      </w:r>
    </w:p>
    <w:p>
      <w:r>
        <w:t xml:space="preserve">Impact: Sustained, equitable improvement in youth skills and employability performance</w:t>
      </w:r>
    </w:p>
    <w:p>
      <w:r>
        <w:t xml:space="preserve">OC-01: Improved youth skills and employability delivery and accountability — Indicators IND-01, IND-02</w:t>
      </w:r>
    </w:p>
    <w:p>
      <w:r>
        <w:t xml:space="preserve">OC-02: More equitable and durable outcomes — Indicators IND-03, IND-04</w:t>
      </w:r>
    </w:p>
    <w:p>
      <w:r>
        <w:t xml:space="preserve">OUT-01: Verified findings and interpreted decision products</w:t>
      </w:r>
    </w:p>
    <w:p>
      <w:r>
        <w:t xml:space="preserve">OUT-02: Assigned actions with monitoring indicators</w:t>
      </w:r>
    </w:p>
    <w:p>
      <w:pPr>
        <w:pStyle w:val="Heading1"/>
      </w:pPr>
      <w:r>
        <w:t>CHS Accountability Mapping</w:t>
      </w:r>
    </w:p>
    <w:p>
      <w:r>
        <w:t xml:space="preserve">Commitment 1: CHS Commitment 1 — APPLIED. Validate relevance and assign an accountable owner before live use.</w:t>
      </w:r>
    </w:p>
    <w:p>
      <w:r>
        <w:t xml:space="preserve">Commitment 2: CHS Commitment 2 — APPLIED. Validate relevance and assign an accountable owner before live use.</w:t>
      </w:r>
    </w:p>
    <w:p>
      <w:r>
        <w:t xml:space="preserve">Commitment 3: CHS Commitment 3 — APPLIED. Validate relevance and assign an accountable owner before live use.</w:t>
      </w:r>
    </w:p>
    <w:p>
      <w:r>
        <w:t xml:space="preserve">Commitment 4: CHS Commitment 4 — APPLIED. Validate relevance and assign an accountable owner before live use.</w:t>
      </w:r>
    </w:p>
    <w:p>
      <w:r>
        <w:t xml:space="preserve">Commitment 5: CHS Commitment 5 — APPLIED. Validate relevance and assign an accountable owner before live use.</w:t>
      </w:r>
    </w:p>
    <w:p>
      <w:r>
        <w:t xml:space="preserve">Commitment 6: CHS Commitment 6 — APPLIED. Validate relevance and assign an accountable owner before live use.</w:t>
      </w:r>
    </w:p>
    <w:p>
      <w:r>
        <w:t xml:space="preserve">Commitment 7: CHS Commitment 7 — APPLIED. Validate relevance and assign an accountable owner before live use.</w:t>
      </w:r>
    </w:p>
    <w:p>
      <w:r>
        <w:t xml:space="preserve">Commitment 8: CHS Commitment 8 — APPLIED. Validate relevance and assign an accountable owner before live use.</w:t>
      </w:r>
    </w:p>
    <w:p>
      <w:r>
        <w:t xml:space="preserve">Commitment 9: CHS Commitment 9 — APPLIED. Validate relevance and assign an accountable owner before live use.</w:t>
      </w:r>
    </w:p>
    <w:p>
      <w:pPr>
        <w:pStyle w:val="Heading1"/>
      </w:pPr>
      <w:r>
        <w:t>Evidence Register</w:t>
      </w:r>
    </w:p>
    <w:p>
      <w:r>
        <w:t xml:space="preserve">EVI-YOU-001 • survey • SYN-YOUT-0001 • APPROVED • 88%</w:t>
      </w:r>
    </w:p>
    <w:p>
      <w:r>
        <w:t xml:space="preserve">EVI-YOU-002 • key_informant_interview • SYN-YOUT-0002 • APPROVED • 89%</w:t>
      </w:r>
    </w:p>
    <w:p>
      <w:r>
        <w:t xml:space="preserve">EVI-YOU-003 • administrative_record • SYN-YOUT-0003 • APPROVED • 90%</w:t>
      </w:r>
    </w:p>
    <w:p>
      <w:r>
        <w:t xml:space="preserve">EVI-YOU-004 • survey • SYN-YOUT-0004 • APPROVED • 91%</w:t>
      </w:r>
    </w:p>
    <w:p>
      <w:r>
        <w:t xml:space="preserve">EVI-YOU-005 • key_informant_interview • SYN-YOUT-0005 • APPROVED • 92%</w:t>
      </w:r>
    </w:p>
    <w:p>
      <w:r>
        <w:t xml:space="preserve">EVI-YOU-006 • administrative_record • SYN-YOUT-0006 • APPROVED • 93%</w:t>
      </w:r>
    </w:p>
    <w:p>
      <w:r>
        <w:t xml:space="preserve">EVI-YOU-007 • survey • SYN-YOUT-0007 • APPROVED • 94%</w:t>
      </w:r>
    </w:p>
    <w:p>
      <w:r>
        <w:t xml:space="preserve">EVI-YOU-008 • key_informant_interview • SYN-YOUT-0008 • APPROVED • 95%</w:t>
      </w:r>
    </w:p>
    <w:p>
      <w:r>
        <w:t xml:space="preserve">EVI-YOU-009 • administrative_record • SYN-YOUT-0009 • APPROVED • 96%</w:t>
      </w:r>
    </w:p>
    <w:p>
      <w:r>
        <w:t xml:space="preserve">EVI-YOU-010 • survey • SYN-YOUT-0010 • APPROVED • 97%</w:t>
      </w:r>
    </w:p>
    <w:p>
      <w:pPr>
        <w:pStyle w:val="Heading1"/>
      </w:pPr>
      <w:r>
        <w:t>Data Dictionary</w:t>
      </w:r>
    </w:p>
    <w:p>
      <w:r>
        <w:t xml:space="preserve">indicator_1: Synthetic Youth Skills and Employability indicator 1; numeric; allowed: 0–100; missing: NA</w:t>
      </w:r>
    </w:p>
    <w:p>
      <w:r>
        <w:t xml:space="preserve">indicator_2: Synthetic Youth Skills and Employability indicator 2; categorical; allowed: Documented code list; missing: NA</w:t>
      </w:r>
    </w:p>
    <w:p>
      <w:r>
        <w:t xml:space="preserve">indicator_3: Synthetic Youth Skills and Employability indicator 3; categorical; allowed: Documented code list; missing: NA</w:t>
      </w:r>
    </w:p>
    <w:p>
      <w:r>
        <w:t xml:space="preserve">indicator_4: Synthetic Youth Skills and Employability indicator 4; numeric; allowed: 0–100; missing: NA</w:t>
      </w:r>
    </w:p>
    <w:p>
      <w:r>
        <w:t xml:space="preserve">indicator_5: Synthetic Youth Skills and Employability indicator 5; categorical; allowed: Documented code list; missing: NA</w:t>
      </w:r>
    </w:p>
    <w:p>
      <w:r>
        <w:t xml:space="preserve">indicator_6: Synthetic Youth Skills and Employability indicator 6; categorical; allowed: Documented code list; missing: NA</w:t>
      </w:r>
    </w:p>
    <w:p>
      <w:r>
        <w:t xml:space="preserve">indicator_7: Synthetic Youth Skills and Employability indicator 7; numeric; allowed: 0–100; missing: NA</w:t>
      </w:r>
    </w:p>
    <w:p>
      <w:r>
        <w:t xml:space="preserve">indicator_8: Synthetic Youth Skills and Employability indicator 8; categorical; allowed: Documented code list; missing: NA</w:t>
      </w:r>
    </w:p>
    <w:p>
      <w:r>
        <w:t xml:space="preserve">indicator_9: Synthetic Youth Skills and Employability indicator 9; categorical; allowed: Documented code list; missing: NA</w:t>
      </w:r>
    </w:p>
    <w:p>
      <w:r>
        <w:t xml:space="preserve">indicator_10: Synthetic Youth Skills and Employability indicator 10; numeric; allowed: 0–100; missing: NA</w:t>
      </w:r>
    </w:p>
    <w:p>
      <w:r>
        <w:t xml:space="preserve">indicator_11: Synthetic Youth Skills and Employability indicator 11; categorical; allowed: Documented code list; missing: NA</w:t>
      </w:r>
    </w:p>
    <w:p>
      <w:r>
        <w:t xml:space="preserve">indicator_12: Synthetic Youth Skills and Employability indicator 12; categorical; allowed: Documented code list; missing: NA</w:t>
      </w:r>
    </w:p>
    <w:p>
      <w:pPr>
        <w:pStyle w:val="Heading1"/>
      </w:pPr>
      <w:r>
        <w:t>Limitations &amp; Responsible Use</w:t>
      </w:r>
    </w:p>
    <w:p>
      <w:r>
        <w:t xml:space="preserve">All content is synthetic and must not be interpreted as official statistics</w:t>
      </w:r>
    </w:p>
    <w:p>
      <w:r>
        <w:t xml:space="preserve">Geographic references are illustrative</w:t>
      </w:r>
    </w:p>
    <w:p>
      <w:r>
        <w:t xml:space="preserve">Budget implications are directional and require formal costing</w:t>
      </w:r>
    </w:p>
    <w:p>
      <w:r>
        <w:t xml:space="preserve">Causal claims are not made without an appropriate design</w:t>
      </w:r>
    </w:p>
    <w:sectPr>
      <w:pgSz w:w="11906" w:h="16838"/>
      <w:pgMar w:top="1100" w:right="1100" w:bottom="1100" w:left="1100"/>
    </w:sectPr>
  </w:body>
</w:document>
</file>

<file path=word/styles.xml><?xml version="1.0" encoding="utf-8"?>
<w:styles xmlns:w="http://schemas.openxmlformats.org/wordprocessingml/2006/main">
  <w:style w:type="paragraph" w:default="1" w:styleId="Normal">
    <w:name w:val="Normal"/>
    <w:rPr>
      <w:rFonts w:ascii="Aptos"/>
      <w:sz w:val="22"/>
    </w:rPr>
  </w:style>
  <w:style w:type="paragraph" w:styleId="Heading1">
    <w:name w:val="heading 1"/>
    <w:basedOn w:val="Normal"/>
    <w:rPr>
      <w:b/>
      <w:color w:val="0B2E59"/>
      <w:sz w:val="32"/>
    </w:rPr>
  </w:style>
  <w:style w:type="paragraph" w:styleId="Heading2">
    <w:name w:val="heading 2"/>
    <w:basedOn w:val="Normal"/>
    <w:rPr>
      <w:b/>
      <w:color w:val="1C7ED6"/>
      <w:sz w:val="26"/>
    </w:rPr>
  </w:style>
</w:styles>
</file>

<file path=word/_rels/document.xml.rels><?xml version="1.0"?><Relationships xmlns="http://schemas.openxmlformats.org/package/2006/relationships"><Relationship Id="rId1" Type="http://schemas.openxmlformats.org/officeDocument/2006/relationships/styles" Target="styles.xml"/></Relationships>
</file>