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Space"/>
        <w:spacing w:before="0" w:after="60"/>
      </w:pPr>
    </w:p>
    <w:p>
      <w:pPr>
        <w:pStyle w:val="MdParagraph"/>
      </w:pPr>
      <w:r>
        <w:rPr>
          <w:rStyle w:val="MdEm"/>
          <w:i/>
          <w:iCs/>
        </w:rPr>
        <w:t xml:space="preserve">Cost Estimate: New Gutter Installation</w:t>
      </w:r>
    </w:p>
    <w:p>
      <w:pPr>
        <w:pStyle w:val="MdSpace"/>
        <w:spacing w:before="0" w:after="60"/>
      </w:pPr>
    </w:p>
    <w:p>
      <w:pPr>
        <w:pStyle w:val="MdParagraph"/>
      </w:pPr>
      <w:r>
        <w:rPr>
          <w:rStyle w:val="MdStrong"/>
          <w:b/>
          <w:bCs/>
        </w:rPr>
        <w:t xml:space="preserve">Date:</w:t>
      </w:r>
      <w:r>
        <w:t xml:space="preserve"> September 14, 2025</w:t>
      </w:r>
    </w:p>
    <w:p>
      <w:pPr>
        <w:pStyle w:val="MdSpace"/>
        <w:spacing w:before="0" w:after="60"/>
      </w:pPr>
    </w:p>
    <w:p>
      <w:pPr>
        <w:pStyle w:val="MdParagraph"/>
      </w:pPr>
      <w:r>
        <w:rPr>
          <w:rStyle w:val="MdStrong"/>
          <w:b/>
          <w:bCs/>
        </w:rPr>
        <w:t xml:space="preserve">Project Address:</w:t>
      </w:r>
      <w:r>
        <w:t xml:space="preserve"> [Client Address]</w:t>
      </w:r>
    </w:p>
    <w:p>
      <w:pPr>
        <w:pStyle w:val="MdSpace"/>
        <w:spacing w:before="0" w:after="60"/>
      </w:pPr>
    </w:p>
    <w:p>
      <w:pPr>
        <w:pStyle w:val="MdParagraph"/>
      </w:pPr>
      <w:r>
        <w:rPr>
          <w:rStyle w:val="MdStrong"/>
          <w:b/>
          <w:bCs/>
        </w:rPr>
        <w:t xml:space="preserve">Client:</w:t>
      </w:r>
      <w:r>
        <w:t xml:space="preserve"> [Client Name]</w:t>
      </w:r>
    </w:p>
    <w:p>
      <w:pPr>
        <w:pStyle w:val="MdSpace"/>
        <w:spacing w:before="0" w:after="60"/>
      </w:pPr>
    </w:p>
    <w:p>
      <w:pPr>
        <w:pStyle w:val="MdParagraph"/>
      </w:pPr>
      <w:r>
        <w:rPr>
          <w:rStyle w:val="MdStrong"/>
          <w:b/>
          <w:bCs/>
        </w:rPr>
        <w:t xml:space="preserve">Contractor:</w:t>
      </w:r>
      <w:r>
        <w:t xml:space="preserve"> [Contractor Name/Company]</w:t>
      </w:r>
    </w:p>
    <w:p>
      <w:pPr>
        <w:pStyle w:val="MdSpace"/>
        <w:spacing w:before="0" w:after="60"/>
      </w:pPr>
    </w:p>
    <w:p>
      <w:pPr>
        <w:pStyle w:val="MdParagraph"/>
      </w:pPr>
      <w:r>
        <w:rPr>
          <w:rStyle w:val="MdStrong"/>
          <w:b/>
          <w:bCs/>
        </w:rPr>
        <w:t xml:space="preserve">1. Project Overview</w:t>
      </w:r>
    </w:p>
    <w:p>
      <w:pPr>
        <w:pStyle w:val="MdSpace"/>
        <w:spacing w:before="0" w:after="60"/>
      </w:pPr>
    </w:p>
    <w:p>
      <w:pPr>
        <w:pStyle w:val="MdParagraph"/>
      </w:pPr>
      <w:r>
        <w:t xml:space="preserve">This estimate details the projected costs for the professional installation of a new seamless aluminum gutter system for a residential property requiring approximately 200 linear feet of gutters. The estimate is based on current market rates for materials and labor in 2025. The final cost may vary based on the specific requirements of the property and any unforeseen issues.</w:t>
      </w:r>
    </w:p>
    <w:p>
      <w:pPr>
        <w:pStyle w:val="MdSpace"/>
        <w:spacing w:before="0" w:after="60"/>
      </w:pPr>
    </w:p>
    <w:p>
      <w:pPr>
        <w:pStyle w:val="MdParagraph"/>
      </w:pPr>
      <w:r>
        <w:rPr>
          <w:rStyle w:val="MdStrong"/>
          <w:b/>
          <w:bCs/>
        </w:rPr>
        <w:t xml:space="preserve">2. Detailed Cost Breakdown</w:t>
      </w:r>
    </w:p>
    <w:p>
      <w:pPr>
        <w:pStyle w:val="MdSpace"/>
        <w:spacing w:before="0" w:after="60"/>
      </w:pPr>
    </w:p>
    <w:p>
      <w:pPr>
        <w:pStyle w:val="MdParagraph"/>
      </w:pPr>
      <w:r>
        <w:t xml:space="preserve">This cost breakdown is based on a standard installation of 200 linear feet of seamless aluminum gutters.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Item</w:t>
            </w:r>
          </w:p>
        </w:tc>
        <w:tc>
          <w:tcPr>
            <w:tcMar>
              <w:top w:type="dxa" w:w="100"/>
              <w:left w:type="dxa" w:w="120"/>
              <w:bottom w:type="dxa" w:w="100"/>
              <w:right w:type="dxa" w:w="120"/>
            </w:tcMar>
            <w:vAlign w:val="center"/>
          </w:tcPr>
          <w:p>
            <w:pPr>
              <w:pStyle w:val="MdTableHeader"/>
              <w:jc w:val="left"/>
            </w:pPr>
            <w:r>
              <w:t xml:space="preserve">Description</w:t>
            </w:r>
          </w:p>
        </w:tc>
        <w:tc>
          <w:tcPr>
            <w:tcMar>
              <w:top w:type="dxa" w:w="100"/>
              <w:left w:type="dxa" w:w="120"/>
              <w:bottom w:type="dxa" w:w="100"/>
              <w:right w:type="dxa" w:w="120"/>
            </w:tcMar>
            <w:vAlign w:val="center"/>
          </w:tcPr>
          <w:p>
            <w:pPr>
              <w:pStyle w:val="MdTableHeader"/>
              <w:jc w:val="left"/>
            </w:pPr>
            <w:r>
              <w:t xml:space="preserve">Quantity</w:t>
            </w:r>
          </w:p>
        </w:tc>
        <w:tc>
          <w:tcPr>
            <w:tcMar>
              <w:top w:type="dxa" w:w="100"/>
              <w:left w:type="dxa" w:w="120"/>
              <w:bottom w:type="dxa" w:w="100"/>
              <w:right w:type="dxa" w:w="120"/>
            </w:tcMar>
            <w:vAlign w:val="center"/>
          </w:tcPr>
          <w:p>
            <w:pPr>
              <w:pStyle w:val="MdTableHeader"/>
              <w:jc w:val="left"/>
            </w:pPr>
            <w:r>
              <w:t xml:space="preserve">Unit Cost</w:t>
            </w:r>
          </w:p>
        </w:tc>
        <w:tc>
          <w:tcPr>
            <w:tcBorders>
              <w:right w:val="none"/>
            </w:tcBorders>
            <w:tcMar>
              <w:top w:type="dxa" w:w="100"/>
              <w:left w:type="dxa" w:w="120"/>
              <w:bottom w:type="dxa" w:w="100"/>
              <w:right w:type="dxa" w:w="120"/>
            </w:tcMar>
            <w:vAlign w:val="center"/>
          </w:tcPr>
          <w:p>
            <w:pPr>
              <w:pStyle w:val="MdTableHeader"/>
              <w:jc w:val="left"/>
            </w:pPr>
            <w:r>
              <w:t xml:space="preserve">Total Cost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Labor</w:t>
            </w:r>
          </w:p>
        </w:tc>
        <w:tc>
          <w:tcPr>
            <w:tcMar>
              <w:top w:type="dxa" w:w="80"/>
              <w:left w:type="dxa" w:w="120"/>
              <w:bottom w:type="dxa" w:w="80"/>
              <w:right w:type="dxa" w:w="120"/>
            </w:tcMar>
            <w:vAlign w:val="center"/>
          </w:tcPr>
          <w:p>
            <w:pPr>
              <w:pStyle w:val="MdTableCell"/>
              <w:jc w:val="left"/>
            </w:pPr>
            <w:r>
              <w:t xml:space="preserve">Gutter Installation</w:t>
            </w:r>
          </w:p>
        </w:tc>
        <w:tc>
          <w:tcPr>
            <w:tcMar>
              <w:top w:type="dxa" w:w="80"/>
              <w:left w:type="dxa" w:w="120"/>
              <w:bottom w:type="dxa" w:w="80"/>
              <w:right w:type="dxa" w:w="120"/>
            </w:tcMar>
            <w:vAlign w:val="center"/>
          </w:tcPr>
          <w:p>
            <w:pPr>
              <w:pStyle w:val="MdTableCell"/>
              <w:jc w:val="left"/>
            </w:pPr>
            <w:r>
              <w:t xml:space="preserve">200 linear feet</w:t>
            </w:r>
          </w:p>
        </w:tc>
        <w:tc>
          <w:tcPr>
            <w:tcMar>
              <w:top w:type="dxa" w:w="80"/>
              <w:left w:type="dxa" w:w="120"/>
              <w:bottom w:type="dxa" w:w="80"/>
              <w:right w:type="dxa" w:w="120"/>
            </w:tcMar>
            <w:vAlign w:val="center"/>
          </w:tcPr>
          <w:p>
            <w:pPr>
              <w:pStyle w:val="MdTableCell"/>
              <w:jc w:val="left"/>
            </w:pPr>
            <w:r>
              <w:t xml:space="preserve">$5.50/LF</w:t>
            </w:r>
          </w:p>
        </w:tc>
        <w:tc>
          <w:tcPr>
            <w:tcBorders>
              <w:right w:val="none"/>
            </w:tcBorders>
            <w:tcMar>
              <w:top w:type="dxa" w:w="80"/>
              <w:left w:type="dxa" w:w="120"/>
              <w:bottom w:type="dxa" w:w="80"/>
              <w:right w:type="dxa" w:w="120"/>
            </w:tcMar>
            <w:vAlign w:val="center"/>
          </w:tcPr>
          <w:p>
            <w:pPr>
              <w:pStyle w:val="MdTableCell"/>
              <w:jc w:val="left"/>
            </w:pPr>
            <w:r>
              <w:t xml:space="preserve">$1,100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rPr>
                <w:rStyle w:val="MdEm"/>
                <w:i/>
                <w:iCs/>
              </w:rPr>
              <w:t xml:space="preserve">(Includes removal of old gutters)</w:t>
            </w: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Materials</w:t>
            </w: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5-inch Seamless Aluminum Gutters</w:t>
            </w:r>
          </w:p>
        </w:tc>
        <w:tc>
          <w:tcPr>
            <w:tcMar>
              <w:top w:type="dxa" w:w="80"/>
              <w:left w:type="dxa" w:w="120"/>
              <w:bottom w:type="dxa" w:w="80"/>
              <w:right w:type="dxa" w:w="120"/>
            </w:tcMar>
            <w:vAlign w:val="center"/>
          </w:tcPr>
          <w:p>
            <w:pPr>
              <w:pStyle w:val="MdTableCell"/>
              <w:jc w:val="left"/>
            </w:pPr>
            <w:r>
              <w:t xml:space="preserve">200 linear feet</w:t>
            </w:r>
          </w:p>
        </w:tc>
        <w:tc>
          <w:tcPr>
            <w:tcMar>
              <w:top w:type="dxa" w:w="80"/>
              <w:left w:type="dxa" w:w="120"/>
              <w:bottom w:type="dxa" w:w="80"/>
              <w:right w:type="dxa" w:w="120"/>
            </w:tcMar>
            <w:vAlign w:val="center"/>
          </w:tcPr>
          <w:p>
            <w:pPr>
              <w:pStyle w:val="MdTableCell"/>
              <w:jc w:val="left"/>
            </w:pPr>
            <w:r>
              <w:t xml:space="preserve">$8.33/LF</w:t>
            </w:r>
          </w:p>
        </w:tc>
        <w:tc>
          <w:tcPr>
            <w:tcBorders>
              <w:right w:val="none"/>
            </w:tcBorders>
            <w:tcMar>
              <w:top w:type="dxa" w:w="80"/>
              <w:left w:type="dxa" w:w="120"/>
              <w:bottom w:type="dxa" w:w="80"/>
              <w:right w:type="dxa" w:w="120"/>
            </w:tcMar>
            <w:vAlign w:val="center"/>
          </w:tcPr>
          <w:p>
            <w:pPr>
              <w:pStyle w:val="MdTableCell"/>
              <w:jc w:val="left"/>
            </w:pPr>
            <w:r>
              <w:t xml:space="preserve">$1,666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2x3 inch Aluminum Downspouts</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$50/each</w:t>
            </w:r>
          </w:p>
        </w:tc>
        <w:tc>
          <w:tcPr>
            <w:tcBorders>
              <w:right w:val="none"/>
            </w:tcBorders>
            <w:tcMar>
              <w:top w:type="dxa" w:w="80"/>
              <w:left w:type="dxa" w:w="120"/>
              <w:bottom w:type="dxa" w:w="80"/>
              <w:right w:type="dxa" w:w="120"/>
            </w:tcMar>
            <w:vAlign w:val="center"/>
          </w:tcPr>
          <w:p>
            <w:pPr>
              <w:pStyle w:val="MdTableCell"/>
              <w:jc w:val="left"/>
            </w:pPr>
            <w:r>
              <w:t xml:space="preserve">$200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Downspout Extensions</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$35/each</w:t>
            </w:r>
          </w:p>
        </w:tc>
        <w:tc>
          <w:tcPr>
            <w:tcBorders>
              <w:right w:val="none"/>
            </w:tcBorders>
            <w:tcMar>
              <w:top w:type="dxa" w:w="80"/>
              <w:left w:type="dxa" w:w="120"/>
              <w:bottom w:type="dxa" w:w="80"/>
              <w:right w:type="dxa" w:w="120"/>
            </w:tcMar>
            <w:vAlign w:val="center"/>
          </w:tcPr>
          <w:p>
            <w:pPr>
              <w:pStyle w:val="MdTableCell"/>
              <w:jc w:val="left"/>
            </w:pPr>
            <w:r>
              <w:t xml:space="preserve">$140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Hangers, End Caps, Miters, Sealant</w:t>
            </w: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Borders>
              <w:right w:val="none"/>
            </w:tcBorders>
            <w:tcMar>
              <w:top w:type="dxa" w:w="80"/>
              <w:left w:type="dxa" w:w="120"/>
              <w:bottom w:type="dxa" w:w="80"/>
              <w:right w:type="dxa" w:w="120"/>
            </w:tcMar>
            <w:vAlign w:val="center"/>
          </w:tcPr>
          <w:p>
            <w:pPr>
              <w:pStyle w:val="MdTableCell"/>
              <w:jc w:val="left"/>
            </w:pPr>
            <w:r>
              <w:t xml:space="preserve">$150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rPr>
                <w:rStyle w:val="MdStrong"/>
                <w:b/>
                <w:bCs/>
              </w:rPr>
              <w:t xml:space="preserve">Subtotal Materials</w:t>
            </w: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$2,156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Optional Add-ons</w:t>
            </w: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Gutter Guards (Mesh)</w:t>
            </w:r>
          </w:p>
        </w:tc>
        <w:tc>
          <w:tcPr>
            <w:tcMar>
              <w:top w:type="dxa" w:w="80"/>
              <w:left w:type="dxa" w:w="120"/>
              <w:bottom w:type="dxa" w:w="80"/>
              <w:right w:type="dxa" w:w="120"/>
            </w:tcMar>
            <w:vAlign w:val="center"/>
          </w:tcPr>
          <w:p>
            <w:pPr>
              <w:pStyle w:val="MdTableCell"/>
              <w:jc w:val="left"/>
            </w:pPr>
            <w:r>
              <w:t xml:space="preserve">200 linear feet</w:t>
            </w:r>
          </w:p>
        </w:tc>
        <w:tc>
          <w:tcPr>
            <w:tcMar>
              <w:top w:type="dxa" w:w="80"/>
              <w:left w:type="dxa" w:w="120"/>
              <w:bottom w:type="dxa" w:w="80"/>
              <w:right w:type="dxa" w:w="120"/>
            </w:tcMar>
            <w:vAlign w:val="center"/>
          </w:tcPr>
          <w:p>
            <w:pPr>
              <w:pStyle w:val="MdTableCell"/>
              <w:jc w:val="left"/>
            </w:pPr>
            <w:r>
              <w:t xml:space="preserve">$4.00/LF</w:t>
            </w:r>
          </w:p>
        </w:tc>
        <w:tc>
          <w:tcPr>
            <w:tcBorders>
              <w:right w:val="none"/>
            </w:tcBorders>
            <w:tcMar>
              <w:top w:type="dxa" w:w="80"/>
              <w:left w:type="dxa" w:w="120"/>
              <w:bottom w:type="dxa" w:w="80"/>
              <w:right w:type="dxa" w:w="120"/>
            </w:tcMar>
            <w:vAlign w:val="center"/>
          </w:tcPr>
          <w:p>
            <w:pPr>
              <w:pStyle w:val="MdTableCell"/>
              <w:jc w:val="left"/>
            </w:pPr>
            <w:r>
              <w:t xml:space="preserve">$800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Contingency</w:t>
            </w:r>
          </w:p>
        </w:tc>
        <w:tc>
          <w:tcPr>
            <w:tcMar>
              <w:top w:type="dxa" w:w="80"/>
              <w:left w:type="dxa" w:w="120"/>
              <w:bottom w:type="dxa" w:w="80"/>
              <w:right w:type="dxa" w:w="120"/>
            </w:tcMar>
            <w:vAlign w:val="center"/>
          </w:tcPr>
          <w:p>
            <w:pPr>
              <w:pStyle w:val="MdTableCell"/>
              <w:jc w:val="left"/>
            </w:pPr>
            <w:r>
              <w:t xml:space="preserve">10% for unforeseen issues</w:t>
            </w: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Borders>
              <w:right w:val="none"/>
            </w:tcBorders>
            <w:tcMar>
              <w:top w:type="dxa" w:w="80"/>
              <w:left w:type="dxa" w:w="120"/>
              <w:bottom w:type="dxa" w:w="80"/>
              <w:right w:type="dxa" w:w="120"/>
            </w:tcMar>
            <w:vAlign w:val="center"/>
          </w:tcPr>
          <w:p>
            <w:pPr>
              <w:pStyle w:val="MdTableCell"/>
              <w:jc w:val="left"/>
            </w:pPr>
            <w:r>
              <w:t xml:space="preserve">$325.60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Total Estimated Project Cost (without guards)</w:t>
            </w: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$3,581.60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Total Estimated Project Cost (with guards)</w:t>
            </w: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$4,381.60</w:t>
            </w:r>
          </w:p>
        </w:tc>
      </w:tr>
    </w:tbl>
    <w:p>
      <w:pPr>
        <w:pStyle w:val="MdParagraph"/>
      </w:pPr>
      <w:r>
        <w:rPr>
          <w:rStyle w:val="MdStrong"/>
          <w:b/>
          <w:bCs/>
        </w:rPr>
        <w:t xml:space="preserve">3. Project Timeline</w:t>
      </w:r>
    </w:p>
    <w:p>
      <w:pPr>
        <w:pStyle w:val="MdSpace"/>
        <w:spacing w:before="0" w:after="60"/>
      </w:pPr>
    </w:p>
    <w:p>
      <w:pPr>
        <w:pStyle w:val="MdListItem"/>
        <w:numPr>
          <w:ilvl w:val="0"/>
          <w:numId w:val="2"/>
        </w:numPr>
      </w:pPr>
      <w:r>
        <w:rPr>
          <w:rStyle w:val="MdStrong"/>
          <w:b/>
          <w:bCs/>
        </w:rPr>
        <w:t xml:space="preserve">Estimated Start Date:</w:t>
      </w:r>
      <w:r>
        <w:t xml:space="preserve"> [Start Date]</w:t>
      </w:r>
    </w:p>
    <w:p>
      <w:pPr>
        <w:pStyle w:val="MdListItem"/>
        <w:numPr>
          <w:ilvl w:val="0"/>
          <w:numId w:val="2"/>
        </w:numPr>
      </w:pPr>
      <w:r>
        <w:rPr>
          <w:rStyle w:val="MdStrong"/>
          <w:b/>
          <w:bCs/>
        </w:rPr>
        <w:t xml:space="preserve">Estimated Completion Date:</w:t>
      </w:r>
      <w:r>
        <w:t xml:space="preserve"> [Completion Date]</w:t>
      </w:r>
    </w:p>
    <w:p>
      <w:pPr>
        <w:pStyle w:val="MdSpace"/>
        <w:spacing w:before="0" w:after="60"/>
      </w:pPr>
    </w:p>
    <w:p>
      <w:pPr>
        <w:pStyle w:val="MdParagraph"/>
      </w:pPr>
      <w:r>
        <w:t xml:space="preserve">This timeline is an estimate and may be affected by weather conditions. The contractor will keep the client informed of any changes to the schedule.</w:t>
      </w:r>
    </w:p>
    <w:p>
      <w:pPr>
        <w:pStyle w:val="MdSpace"/>
        <w:spacing w:before="0" w:after="60"/>
      </w:pPr>
    </w:p>
    <w:p>
      <w:pPr>
        <w:pStyle w:val="MdParagraph"/>
      </w:pPr>
      <w:r>
        <w:rPr>
          <w:rStyle w:val="MdStrong"/>
          <w:b/>
          <w:bCs/>
        </w:rPr>
        <w:t xml:space="preserve">4. Payment Schedule</w:t>
      </w:r>
    </w:p>
    <w:p>
      <w:pPr>
        <w:pStyle w:val="MdSpace"/>
        <w:spacing w:before="0" w:after="60"/>
      </w:pPr>
    </w:p>
    <w:p>
      <w:pPr>
        <w:pStyle w:val="MdListItem"/>
        <w:numPr>
          <w:ilvl w:val="0"/>
          <w:numId w:val="2"/>
        </w:numPr>
      </w:pPr>
      <w:r>
        <w:rPr>
          <w:rStyle w:val="MdStrong"/>
          <w:b/>
          <w:bCs/>
        </w:rPr>
        <w:t xml:space="preserve">Deposit:</w:t>
      </w:r>
      <w:r>
        <w:t xml:space="preserve"> 50% of the total estimated cost is due upon signing of the contract to secure the project start date and purchase materials.</w:t>
      </w:r>
    </w:p>
    <w:p>
      <w:pPr>
        <w:pStyle w:val="MdListItem"/>
        <w:numPr>
          <w:ilvl w:val="0"/>
          <w:numId w:val="2"/>
        </w:numPr>
      </w:pPr>
      <w:r>
        <w:rPr>
          <w:rStyle w:val="MdStrong"/>
          <w:b/>
          <w:bCs/>
        </w:rPr>
        <w:t xml:space="preserve">Final Payment:</w:t>
      </w:r>
      <w:r>
        <w:t xml:space="preserve"> The remaining 50% is due upon completion of the project and a final walkthrough with the client.</w:t>
      </w:r>
    </w:p>
    <w:p>
      <w:pPr>
        <w:pStyle w:val="MdSpace"/>
        <w:spacing w:before="0" w:after="60"/>
      </w:pPr>
    </w:p>
    <w:p>
      <w:pPr>
        <w:pStyle w:val="MdParagraph"/>
      </w:pPr>
      <w:r>
        <w:rPr>
          <w:rStyle w:val="MdStrong"/>
          <w:b/>
          <w:bCs/>
        </w:rPr>
        <w:t xml:space="preserve">5. Terms and Conditions</w:t>
      </w:r>
    </w:p>
    <w:p>
      <w:pPr>
        <w:pStyle w:val="MdSpace"/>
        <w:spacing w:before="0" w:after="60"/>
      </w:pPr>
    </w:p>
    <w:p>
      <w:pPr>
        <w:pStyle w:val="MdListItem"/>
        <w:numPr>
          <w:ilvl w:val="0"/>
          <w:numId w:val="2"/>
        </w:numPr>
      </w:pPr>
      <w:r>
        <w:t xml:space="preserve">This estimate is valid for 30 days from the date of issue.</w:t>
      </w:r>
    </w:p>
    <w:p>
      <w:pPr>
        <w:pStyle w:val="MdListItem"/>
        <w:numPr>
          <w:ilvl w:val="0"/>
          <w:numId w:val="2"/>
        </w:numPr>
      </w:pPr>
      <w:r>
        <w:t xml:space="preserve">The final cost may be adjusted for any unforeseen repairs or changes to the scope of work requested by the client. All changes will be documented in a written change order and approved by both parties before work begins.</w:t>
      </w:r>
    </w:p>
    <w:p>
      <w:pPr>
        <w:pStyle w:val="MdListItem"/>
        <w:numPr>
          <w:ilvl w:val="0"/>
          <w:numId w:val="2"/>
        </w:numPr>
      </w:pPr>
      <w:r>
        <w:t xml:space="preserve">The contractor will carry all necessary liability insurance and workers' compensation coverage.</w:t>
      </w:r>
    </w:p>
    <w:p>
      <w:pPr>
        <w:pStyle w:val="MdListItem"/>
        <w:numPr>
          <w:ilvl w:val="0"/>
          <w:numId w:val="2"/>
        </w:numPr>
      </w:pPr>
      <w:r>
        <w:t xml:space="preserve">The contractor will provide a [Warranty Period] warranty on workmanship and materials.</w:t>
      </w:r>
    </w:p>
    <w:p>
      <w:pPr>
        <w:pStyle w:val="MdSpace"/>
        <w:spacing w:before="0" w:after="60"/>
      </w:pPr>
    </w:p>
    <w:p>
      <w:pPr>
        <w:pStyle w:val="MdParagraph"/>
      </w:pPr>
      <w:r>
        <w:rPr>
          <w:rStyle w:val="MdStrong"/>
          <w:b/>
          <w:bCs/>
        </w:rPr>
        <w:t xml:space="preserve">Client Acceptance</w:t>
      </w:r>
    </w:p>
    <w:p>
      <w:pPr>
        <w:pStyle w:val="MdSpace"/>
        <w:spacing w:before="0" w:after="60"/>
      </w:pPr>
    </w:p>
    <w:p>
      <w:pPr>
        <w:pStyle w:val="MdParagraph"/>
      </w:pPr>
      <w:r>
        <w:t xml:space="preserve">By signing below, the client acknowledges that they have reviewed and accepted this cost estimate.</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[Client Name]</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[Date]</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[Contractor Name/Company]</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[Date]</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2025-09-28T05:38:43.189Z</dcterms:created>
  <dcterms:modified xsi:type="dcterms:W3CDTF">2025-09-28T05:38:43.189Z</dcterms:modified>
</cp:coreProperties>
</file>

<file path=docProps/custom.xml><?xml version="1.0" encoding="utf-8"?>
<Properties xmlns="http://schemas.openxmlformats.org/officeDocument/2006/custom-properties" xmlns:vt="http://schemas.openxmlformats.org/officeDocument/2006/docPropsVTypes"/>
</file>