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Calibri" w:cs="Calibri" w:eastAsia="Calibri" w:hAnsi="Calibri"/>
          <w:b/>
          <w:bCs/>
          <w:color w:val="1B2B5E"/>
          <w:spacing w:val="200"/>
          <w:sz w:val="72"/>
          <w:szCs w:val="72"/>
        </w:rPr>
        <w:t xml:space="preserve">NEXTSTEP</w:t>
      </w:r>
    </w:p>
    <w:p>
      <w:pPr>
        <w:spacing w:after="200" w:before="0"/>
        <w:jc w:val="center"/>
      </w:pPr>
      <w:r>
        <w:rPr>
          <w:rFonts w:ascii="Calibri" w:cs="Calibri" w:eastAsia="Calibri" w:hAnsi="Calibri"/>
          <w:i/>
          <w:iCs/>
          <w:color w:val="0D9488"/>
          <w:sz w:val="28"/>
          <w:szCs w:val="28"/>
        </w:rPr>
        <w:t xml:space="preserve">Plateforme d'Orientation Scolaire &amp; Professionnelle</w:t>
      </w:r>
    </w:p>
    <w:p>
      <w:pPr>
        <w:spacing w:after="120" w:before="0"/>
        <w:jc w:val="center"/>
      </w:pPr>
      <w:r>
        <w:rPr>
          <w:rFonts w:ascii="Calibri" w:cs="Calibri" w:eastAsia="Calibri" w:hAnsi="Calibri"/>
          <w:i/>
          <w:iCs/>
          <w:color w:val="64748B"/>
          <w:sz w:val="24"/>
          <w:szCs w:val="24"/>
        </w:rPr>
        <w:t xml:space="preserve">"Ton avenir commence ici 🚀"</w:t>
      </w:r>
    </w:p>
    <w:p>
      <w:pPr>
        <w:spacing w:after="600" w:before="60"/>
        <w:jc w:val="center"/>
      </w:pPr>
      <w:r>
        <w:rPr>
          <w:rFonts w:ascii="Calibri" w:cs="Calibri" w:eastAsia="Calibri" w:hAnsi="Calibri"/>
          <w:color w:val="64748B"/>
          <w:sz w:val="20"/>
          <w:szCs w:val="20"/>
        </w:rPr>
        <w:t xml:space="preserve">Présenté par : Laurent MASSOYA &amp; Ndeye Awa NIANE  |  L2 SID</w:t>
      </w:r>
    </w:p>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I. RÉSUMÉ DU PROJET</w:t>
      </w:r>
    </w:p>
    <w:p>
      <w:pPr>
        <w:spacing w:after="80" w:before="80"/>
      </w:pPr>
      <w:r>
        <w:rPr>
          <w:rFonts w:ascii="Calibri" w:cs="Calibri" w:eastAsia="Calibri" w:hAnsi="Calibri"/>
          <w:b w:val="false"/>
          <w:bCs w:val="false"/>
          <w:color w:val="0F172A"/>
          <w:sz w:val="22"/>
          <w:szCs w:val="22"/>
        </w:rPr>
        <w:t xml:space="preserve">NextStep est une plateforme digitale dédiée à l'orientation scolaire et professionnelle des jeunes, notamment après le baccalauréat. Elle vise à réduire les erreurs d'orientation en proposant des tests personnalisés, des informations sur les métiers et des séances avec des conseillers certifiés.</w:t>
      </w:r>
    </w:p>
    <w:p>
      <w:r>
        <w:rPr>
          <w:sz w:val="22"/>
          <w:szCs w:val="22"/>
        </w:rPr>
        <w:t xml:space="preserve"/>
      </w:r>
    </w:p>
    <w:p>
      <w:pPr>
        <w:pStyle w:val="Heading2"/>
        <w:spacing w:after="120" w:before="240"/>
      </w:pPr>
      <w:r>
        <w:rPr>
          <w:rFonts w:ascii="Calibri" w:cs="Calibri" w:eastAsia="Calibri" w:hAnsi="Calibri"/>
          <w:b/>
          <w:bCs/>
          <w:color w:val="0D9488"/>
          <w:sz w:val="26"/>
          <w:szCs w:val="26"/>
        </w:rPr>
        <w:t xml:space="preserve">Le problème identifié</w:t>
      </w:r>
    </w:p>
    <w:p>
      <w:pPr>
        <w:pStyle w:val="ListParagraph"/>
        <w:numPr>
          <w:ilvl w:val="0"/>
          <w:numId w:val="2"/>
        </w:numPr>
        <w:spacing w:after="60" w:before="60"/>
      </w:pPr>
      <w:r>
        <w:rPr>
          <w:rFonts w:ascii="Calibri" w:cs="Calibri" w:eastAsia="Calibri" w:hAnsi="Calibri"/>
          <w:color w:val="0F172A"/>
          <w:sz w:val="22"/>
          <w:szCs w:val="22"/>
        </w:rPr>
        <w:t xml:space="preserve">Erreurs de parcours fréquentes après le baccalauréat</w:t>
      </w:r>
    </w:p>
    <w:p>
      <w:pPr>
        <w:pStyle w:val="ListParagraph"/>
        <w:numPr>
          <w:ilvl w:val="0"/>
          <w:numId w:val="2"/>
        </w:numPr>
        <w:spacing w:after="60" w:before="60"/>
      </w:pPr>
      <w:r>
        <w:rPr>
          <w:rFonts w:ascii="Calibri" w:cs="Calibri" w:eastAsia="Calibri" w:hAnsi="Calibri"/>
          <w:color w:val="0F172A"/>
          <w:sz w:val="22"/>
          <w:szCs w:val="22"/>
        </w:rPr>
        <w:t xml:space="preserve">Changements de filière coûteux en temps et en argent</w:t>
      </w:r>
    </w:p>
    <w:p>
      <w:pPr>
        <w:pStyle w:val="ListParagraph"/>
        <w:numPr>
          <w:ilvl w:val="0"/>
          <w:numId w:val="2"/>
        </w:numPr>
        <w:spacing w:after="60" w:before="60"/>
      </w:pPr>
      <w:r>
        <w:rPr>
          <w:rFonts w:ascii="Calibri" w:cs="Calibri" w:eastAsia="Calibri" w:hAnsi="Calibri"/>
          <w:color w:val="0F172A"/>
          <w:sz w:val="22"/>
          <w:szCs w:val="22"/>
        </w:rPr>
        <w:t xml:space="preserve">Manque d'informations fiables sur les métiers et les formations</w:t>
      </w:r>
    </w:p>
    <w:p>
      <w:pPr>
        <w:pStyle w:val="ListParagraph"/>
        <w:numPr>
          <w:ilvl w:val="0"/>
          <w:numId w:val="2"/>
        </w:numPr>
        <w:spacing w:after="60" w:before="60"/>
      </w:pPr>
      <w:r>
        <w:rPr>
          <w:rFonts w:ascii="Calibri" w:cs="Calibri" w:eastAsia="Calibri" w:hAnsi="Calibri"/>
          <w:color w:val="0F172A"/>
          <w:sz w:val="22"/>
          <w:szCs w:val="22"/>
        </w:rPr>
        <w:t xml:space="preserve">Absence de conseillers d'orientation accessibles</w:t>
      </w:r>
    </w:p>
    <w:p>
      <w:r>
        <w:rPr>
          <w:sz w:val="22"/>
          <w:szCs w:val="22"/>
        </w:rPr>
        <w:t xml:space="preserve"/>
      </w:r>
    </w:p>
    <w:p>
      <w:pPr>
        <w:pStyle w:val="Heading2"/>
        <w:spacing w:after="120" w:before="240"/>
      </w:pPr>
      <w:r>
        <w:rPr>
          <w:rFonts w:ascii="Calibri" w:cs="Calibri" w:eastAsia="Calibri" w:hAnsi="Calibri"/>
          <w:b/>
          <w:bCs/>
          <w:color w:val="0D9488"/>
          <w:sz w:val="26"/>
          <w:szCs w:val="26"/>
        </w:rPr>
        <w:t xml:space="preserve">Notre solution</w:t>
      </w:r>
    </w:p>
    <w:p>
      <w:pPr>
        <w:pStyle w:val="ListParagraph"/>
        <w:numPr>
          <w:ilvl w:val="0"/>
          <w:numId w:val="2"/>
        </w:numPr>
        <w:spacing w:after="60" w:before="60"/>
      </w:pPr>
      <w:r>
        <w:rPr>
          <w:rFonts w:ascii="Calibri" w:cs="Calibri" w:eastAsia="Calibri" w:hAnsi="Calibri"/>
          <w:color w:val="0F172A"/>
          <w:sz w:val="22"/>
          <w:szCs w:val="22"/>
        </w:rPr>
        <w:t xml:space="preserve">Tests d'orientation personnalisés basés sur le modèle RIASEC</w:t>
      </w:r>
    </w:p>
    <w:p>
      <w:pPr>
        <w:pStyle w:val="ListParagraph"/>
        <w:numPr>
          <w:ilvl w:val="0"/>
          <w:numId w:val="2"/>
        </w:numPr>
        <w:spacing w:after="60" w:before="60"/>
      </w:pPr>
      <w:r>
        <w:rPr>
          <w:rFonts w:ascii="Calibri" w:cs="Calibri" w:eastAsia="Calibri" w:hAnsi="Calibri"/>
          <w:color w:val="0F172A"/>
          <w:sz w:val="22"/>
          <w:szCs w:val="22"/>
        </w:rPr>
        <w:t xml:space="preserve">Fiches métiers complètes (débouchés, salaires, formations)</w:t>
      </w:r>
    </w:p>
    <w:p>
      <w:pPr>
        <w:pStyle w:val="ListParagraph"/>
        <w:numPr>
          <w:ilvl w:val="0"/>
          <w:numId w:val="2"/>
        </w:numPr>
        <w:spacing w:after="60" w:before="60"/>
      </w:pPr>
      <w:r>
        <w:rPr>
          <w:rFonts w:ascii="Calibri" w:cs="Calibri" w:eastAsia="Calibri" w:hAnsi="Calibri"/>
          <w:color w:val="0F172A"/>
          <w:sz w:val="22"/>
          <w:szCs w:val="22"/>
        </w:rPr>
        <w:t xml:space="preserve">Réservation de séances avec des conseillers certifiés</w:t>
      </w:r>
    </w:p>
    <w:p>
      <w:pPr>
        <w:pStyle w:val="ListParagraph"/>
        <w:numPr>
          <w:ilvl w:val="0"/>
          <w:numId w:val="2"/>
        </w:numPr>
        <w:spacing w:after="60" w:before="60"/>
      </w:pPr>
      <w:r>
        <w:rPr>
          <w:rFonts w:ascii="Calibri" w:cs="Calibri" w:eastAsia="Calibri" w:hAnsi="Calibri"/>
          <w:color w:val="0F172A"/>
          <w:sz w:val="22"/>
          <w:szCs w:val="22"/>
        </w:rPr>
        <w:t xml:space="preserve">Guides des filières disponibles au Sénégal</w:t>
      </w:r>
    </w:p>
    <w:p>
      <w:r>
        <w:rPr>
          <w:sz w:val="22"/>
          <w:szCs w:val="22"/>
        </w:rPr>
        <w:t xml:space="preserve"/>
      </w:r>
    </w:p>
    <w:p>
      <w:pPr>
        <w:spacing w:after="80" w:before="80"/>
      </w:pPr>
      <w:r>
        <w:rPr>
          <w:rFonts w:ascii="Calibri" w:cs="Calibri" w:eastAsia="Calibri" w:hAnsi="Calibri"/>
          <w:b w:val="false"/>
          <w:bCs w:val="false"/>
          <w:color w:val="64748B"/>
          <w:sz w:val="22"/>
          <w:szCs w:val="22"/>
        </w:rPr>
        <w:t xml:space="preserve">Cible principale : Élèves de lycée, nouveaux bacheliers, étudiants en réorientation.</w:t>
      </w:r>
    </w:p>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II. LE PROJET — Nature &amp; Cibles</w:t>
      </w:r>
    </w:p>
    <w:p>
      <w:pPr>
        <w:pStyle w:val="Heading2"/>
        <w:spacing w:after="120" w:before="240"/>
      </w:pPr>
      <w:r>
        <w:rPr>
          <w:rFonts w:ascii="Calibri" w:cs="Calibri" w:eastAsia="Calibri" w:hAnsi="Calibri"/>
          <w:b/>
          <w:bCs/>
          <w:color w:val="0D9488"/>
          <w:sz w:val="26"/>
          <w:szCs w:val="26"/>
        </w:rPr>
        <w:t xml:space="preserve">Description</w:t>
      </w:r>
    </w:p>
    <w:p>
      <w:pPr>
        <w:spacing w:after="80" w:before="80"/>
      </w:pPr>
      <w:r>
        <w:rPr>
          <w:rFonts w:ascii="Calibri" w:cs="Calibri" w:eastAsia="Calibri" w:hAnsi="Calibri"/>
          <w:b w:val="false"/>
          <w:bCs w:val="false"/>
          <w:color w:val="0F172A"/>
          <w:sz w:val="22"/>
          <w:szCs w:val="22"/>
        </w:rPr>
        <w:t xml:space="preserve">NextStep est une plateforme web et mobile comprenant un espace élève et un espace spécialiste. Elle s'adresse en priorité aux jeunes sénégalais après le baccalauréat, dans un contexte où l'orientation structurée fait défaut.</w:t>
      </w:r>
    </w:p>
    <w:p>
      <w:r>
        <w:rPr>
          <w:sz w:val="22"/>
          <w:szCs w:val="22"/>
        </w:rPr>
        <w:t xml:space="preserve"/>
      </w:r>
    </w:p>
    <w:p>
      <w:pPr>
        <w:pStyle w:val="Heading2"/>
        <w:spacing w:after="120" w:before="240"/>
      </w:pPr>
      <w:r>
        <w:rPr>
          <w:rFonts w:ascii="Calibri" w:cs="Calibri" w:eastAsia="Calibri" w:hAnsi="Calibri"/>
          <w:b/>
          <w:bCs/>
          <w:color w:val="0D9488"/>
          <w:sz w:val="26"/>
          <w:szCs w:val="26"/>
        </w:rPr>
        <w:t xml:space="preserve">Contexte — Sénégal</w:t>
      </w:r>
    </w:p>
    <w:p>
      <w:pPr>
        <w:pStyle w:val="ListParagraph"/>
        <w:numPr>
          <w:ilvl w:val="0"/>
          <w:numId w:val="2"/>
        </w:numPr>
        <w:spacing w:after="60" w:before="60"/>
      </w:pPr>
      <w:r>
        <w:rPr>
          <w:rFonts w:ascii="Calibri" w:cs="Calibri" w:eastAsia="Calibri" w:hAnsi="Calibri"/>
          <w:color w:val="0F172A"/>
          <w:sz w:val="22"/>
          <w:szCs w:val="22"/>
        </w:rPr>
        <w:t xml:space="preserve">Manque d'orientation structurée dans le système éducatif</w:t>
      </w:r>
    </w:p>
    <w:p>
      <w:pPr>
        <w:pStyle w:val="ListParagraph"/>
        <w:numPr>
          <w:ilvl w:val="0"/>
          <w:numId w:val="2"/>
        </w:numPr>
        <w:spacing w:after="60" w:before="60"/>
      </w:pPr>
      <w:r>
        <w:rPr>
          <w:rFonts w:ascii="Calibri" w:cs="Calibri" w:eastAsia="Calibri" w:hAnsi="Calibri"/>
          <w:color w:val="0F172A"/>
          <w:sz w:val="22"/>
          <w:szCs w:val="22"/>
        </w:rPr>
        <w:t xml:space="preserve">Peu de conseillers d'orientation disponibles et accessibles</w:t>
      </w:r>
    </w:p>
    <w:p>
      <w:pPr>
        <w:pStyle w:val="ListParagraph"/>
        <w:numPr>
          <w:ilvl w:val="0"/>
          <w:numId w:val="2"/>
        </w:numPr>
        <w:spacing w:after="60" w:before="60"/>
      </w:pPr>
      <w:r>
        <w:rPr>
          <w:rFonts w:ascii="Calibri" w:cs="Calibri" w:eastAsia="Calibri" w:hAnsi="Calibri"/>
          <w:color w:val="0F172A"/>
          <w:sz w:val="22"/>
          <w:szCs w:val="22"/>
        </w:rPr>
        <w:t xml:space="preserve">Informations dispersées et peu fiables sur les filières</w:t>
      </w:r>
    </w:p>
    <w:p>
      <w:r>
        <w:rPr>
          <w:sz w:val="22"/>
          <w:szCs w:val="22"/>
        </w:rPr>
        <w:t xml:space="preserve"/>
      </w:r>
    </w:p>
    <w:p>
      <w:pPr>
        <w:pStyle w:val="Heading2"/>
        <w:spacing w:after="120" w:before="240"/>
      </w:pPr>
      <w:r>
        <w:rPr>
          <w:rFonts w:ascii="Calibri" w:cs="Calibri" w:eastAsia="Calibri" w:hAnsi="Calibri"/>
          <w:b/>
          <w:bCs/>
          <w:color w:val="0D9488"/>
          <w:sz w:val="26"/>
          <w:szCs w:val="26"/>
        </w:rPr>
        <w:t xml:space="preserve">Cibles principales</w:t>
      </w:r>
    </w:p>
    <w:p>
      <w:pPr>
        <w:pStyle w:val="ListParagraph"/>
        <w:numPr>
          <w:ilvl w:val="0"/>
          <w:numId w:val="2"/>
        </w:numPr>
        <w:spacing w:after="60" w:before="60"/>
      </w:pPr>
      <w:r>
        <w:rPr>
          <w:rFonts w:ascii="Calibri" w:cs="Calibri" w:eastAsia="Calibri" w:hAnsi="Calibri"/>
          <w:color w:val="0F172A"/>
          <w:sz w:val="22"/>
          <w:szCs w:val="22"/>
        </w:rPr>
        <w:t xml:space="preserve">Élèves de lycée (terminale)</w:t>
      </w:r>
    </w:p>
    <w:p>
      <w:pPr>
        <w:pStyle w:val="ListParagraph"/>
        <w:numPr>
          <w:ilvl w:val="0"/>
          <w:numId w:val="2"/>
        </w:numPr>
        <w:spacing w:after="60" w:before="60"/>
      </w:pPr>
      <w:r>
        <w:rPr>
          <w:rFonts w:ascii="Calibri" w:cs="Calibri" w:eastAsia="Calibri" w:hAnsi="Calibri"/>
          <w:color w:val="0F172A"/>
          <w:sz w:val="22"/>
          <w:szCs w:val="22"/>
        </w:rPr>
        <w:t xml:space="preserve">Nouveaux bacheliers</w:t>
      </w:r>
    </w:p>
    <w:p>
      <w:pPr>
        <w:pStyle w:val="ListParagraph"/>
        <w:numPr>
          <w:ilvl w:val="0"/>
          <w:numId w:val="2"/>
        </w:numPr>
        <w:spacing w:after="60" w:before="60"/>
      </w:pPr>
      <w:r>
        <w:rPr>
          <w:rFonts w:ascii="Calibri" w:cs="Calibri" w:eastAsia="Calibri" w:hAnsi="Calibri"/>
          <w:color w:val="0F172A"/>
          <w:sz w:val="22"/>
          <w:szCs w:val="22"/>
        </w:rPr>
        <w:t xml:space="preserve">Étudiants universitaires en cours de réorientation</w:t>
      </w:r>
    </w:p>
    <w:p>
      <w:pPr>
        <w:pStyle w:val="ListParagraph"/>
        <w:numPr>
          <w:ilvl w:val="0"/>
          <w:numId w:val="2"/>
        </w:numPr>
        <w:spacing w:after="60" w:before="60"/>
      </w:pPr>
      <w:r>
        <w:rPr>
          <w:rFonts w:ascii="Calibri" w:cs="Calibri" w:eastAsia="Calibri" w:hAnsi="Calibri"/>
          <w:color w:val="0F172A"/>
          <w:sz w:val="22"/>
          <w:szCs w:val="22"/>
        </w:rPr>
        <w:t xml:space="preserve">Jeunes en recherche de reconversion professionnelle</w:t>
      </w:r>
    </w:p>
    <w:p>
      <w:r>
        <w:rPr>
          <w:sz w:val="22"/>
          <w:szCs w:val="22"/>
        </w:rPr>
        <w:t xml:space="preserve"/>
      </w:r>
    </w:p>
    <w:p>
      <w:pPr>
        <w:pStyle w:val="Heading2"/>
        <w:spacing w:after="120" w:before="240"/>
      </w:pPr>
      <w:r>
        <w:rPr>
          <w:rFonts w:ascii="Calibri" w:cs="Calibri" w:eastAsia="Calibri" w:hAnsi="Calibri"/>
          <w:b/>
          <w:bCs/>
          <w:color w:val="0D9488"/>
          <w:sz w:val="26"/>
          <w:szCs w:val="26"/>
        </w:rPr>
        <w:t xml:space="preserve">Cibles secondaires</w:t>
      </w:r>
    </w:p>
    <w:p>
      <w:pPr>
        <w:spacing w:after="80" w:before="80"/>
      </w:pPr>
      <w:r>
        <w:rPr>
          <w:rFonts w:ascii="Calibri" w:cs="Calibri" w:eastAsia="Calibri" w:hAnsi="Calibri"/>
          <w:b w:val="false"/>
          <w:bCs w:val="false"/>
          <w:color w:val="0F172A"/>
          <w:sz w:val="22"/>
          <w:szCs w:val="22"/>
        </w:rPr>
        <w:t xml:space="preserve">Parents d'élèves · Écoles &amp; Lycées · Universités · Conseillers pédagogiques · Ministère de l'Enseignement Supérieur du Sénégal</w:t>
      </w:r>
    </w:p>
    <w:p>
      <w:r>
        <w:rPr>
          <w:sz w:val="22"/>
          <w:szCs w:val="22"/>
        </w:rPr>
        <w:t xml:space="preserve"/>
      </w:r>
    </w:p>
    <w:p>
      <w:pPr>
        <w:pBdr>
          <w:left w:val="single" w:color="0D9488" w:sz="16" w:space="8"/>
        </w:pBdr>
        <w:shd w:fill="CCFBF1" w:val="clear"/>
        <w:spacing w:after="160" w:before="160"/>
      </w:pPr>
      <w:r>
        <w:rPr>
          <w:rFonts w:ascii="Calibri" w:cs="Calibri" w:eastAsia="Calibri" w:hAnsi="Calibri"/>
          <w:b/>
          <w:bCs/>
          <w:i/>
          <w:iCs/>
          <w:color w:val="0D9488"/>
          <w:sz w:val="22"/>
          <w:szCs w:val="22"/>
        </w:rPr>
        <w:t xml:space="preserve">"La plateforme intelligente d'orientation scolaire et professionnelle pour les jeunes africains."</w:t>
      </w:r>
    </w:p>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III. ANALYSE SWOT</w:t>
      </w:r>
    </w:p>
    <w:p>
      <w:pPr>
        <w:pStyle w:val="Heading2"/>
        <w:spacing w:after="120" w:before="240"/>
      </w:pPr>
      <w:r>
        <w:rPr>
          <w:rFonts w:ascii="Calibri" w:cs="Calibri" w:eastAsia="Calibri" w:hAnsi="Calibri"/>
          <w:b/>
          <w:bCs/>
          <w:color w:val="0D9488"/>
          <w:sz w:val="26"/>
          <w:szCs w:val="26"/>
        </w:rPr>
        <w:t xml:space="preserve">Forces</w:t>
      </w:r>
    </w:p>
    <w:p>
      <w:pPr>
        <w:pStyle w:val="ListParagraph"/>
        <w:numPr>
          <w:ilvl w:val="0"/>
          <w:numId w:val="2"/>
        </w:numPr>
        <w:spacing w:after="60" w:before="60"/>
      </w:pPr>
      <w:r>
        <w:rPr>
          <w:rFonts w:ascii="Calibri" w:cs="Calibri" w:eastAsia="Calibri" w:hAnsi="Calibri"/>
          <w:color w:val="0F172A"/>
          <w:sz w:val="22"/>
          <w:szCs w:val="22"/>
        </w:rPr>
        <w:t xml:space="preserve">Solution digitale innovante et accessible</w:t>
      </w:r>
    </w:p>
    <w:p>
      <w:pPr>
        <w:pStyle w:val="ListParagraph"/>
        <w:numPr>
          <w:ilvl w:val="0"/>
          <w:numId w:val="2"/>
        </w:numPr>
        <w:spacing w:after="60" w:before="60"/>
      </w:pPr>
      <w:r>
        <w:rPr>
          <w:rFonts w:ascii="Calibri" w:cs="Calibri" w:eastAsia="Calibri" w:hAnsi="Calibri"/>
          <w:color w:val="0F172A"/>
          <w:sz w:val="22"/>
          <w:szCs w:val="22"/>
        </w:rPr>
        <w:t xml:space="preserve">Compatible smartphone — touche les jeunes où ils sont</w:t>
      </w:r>
    </w:p>
    <w:p>
      <w:pPr>
        <w:pStyle w:val="ListParagraph"/>
        <w:numPr>
          <w:ilvl w:val="0"/>
          <w:numId w:val="2"/>
        </w:numPr>
        <w:spacing w:after="60" w:before="60"/>
      </w:pPr>
      <w:r>
        <w:rPr>
          <w:rFonts w:ascii="Calibri" w:cs="Calibri" w:eastAsia="Calibri" w:hAnsi="Calibri"/>
          <w:color w:val="0F172A"/>
          <w:sz w:val="22"/>
          <w:szCs w:val="22"/>
        </w:rPr>
        <w:t xml:space="preserve">Impact social significatif sur l'avenir des jeunes</w:t>
      </w:r>
    </w:p>
    <w:p>
      <w:pPr>
        <w:pStyle w:val="ListParagraph"/>
        <w:numPr>
          <w:ilvl w:val="0"/>
          <w:numId w:val="2"/>
        </w:numPr>
        <w:spacing w:after="60" w:before="60"/>
      </w:pPr>
      <w:r>
        <w:rPr>
          <w:rFonts w:ascii="Calibri" w:cs="Calibri" w:eastAsia="Calibri" w:hAnsi="Calibri"/>
          <w:color w:val="0F172A"/>
          <w:sz w:val="22"/>
          <w:szCs w:val="22"/>
        </w:rPr>
        <w:t xml:space="preserve">Coût de lancement raisonnable</w:t>
      </w:r>
    </w:p>
    <w:p>
      <w:pPr>
        <w:pStyle w:val="Heading2"/>
        <w:spacing w:after="120" w:before="240"/>
      </w:pPr>
      <w:r>
        <w:rPr>
          <w:rFonts w:ascii="Calibri" w:cs="Calibri" w:eastAsia="Calibri" w:hAnsi="Calibri"/>
          <w:b/>
          <w:bCs/>
          <w:color w:val="0D9488"/>
          <w:sz w:val="26"/>
          <w:szCs w:val="26"/>
        </w:rPr>
        <w:t xml:space="preserve">Faiblesses</w:t>
      </w:r>
    </w:p>
    <w:p>
      <w:pPr>
        <w:pStyle w:val="ListParagraph"/>
        <w:numPr>
          <w:ilvl w:val="0"/>
          <w:numId w:val="2"/>
        </w:numPr>
        <w:spacing w:after="60" w:before="60"/>
      </w:pPr>
      <w:r>
        <w:rPr>
          <w:rFonts w:ascii="Calibri" w:cs="Calibri" w:eastAsia="Calibri" w:hAnsi="Calibri"/>
          <w:color w:val="0F172A"/>
          <w:sz w:val="22"/>
          <w:szCs w:val="22"/>
        </w:rPr>
        <w:t xml:space="preserve">Manque de notoriété au démarrage</w:t>
      </w:r>
    </w:p>
    <w:p>
      <w:pPr>
        <w:pStyle w:val="ListParagraph"/>
        <w:numPr>
          <w:ilvl w:val="0"/>
          <w:numId w:val="2"/>
        </w:numPr>
        <w:spacing w:after="60" w:before="60"/>
      </w:pPr>
      <w:r>
        <w:rPr>
          <w:rFonts w:ascii="Calibri" w:cs="Calibri" w:eastAsia="Calibri" w:hAnsi="Calibri"/>
          <w:color w:val="0F172A"/>
          <w:sz w:val="22"/>
          <w:szCs w:val="22"/>
        </w:rPr>
        <w:t xml:space="preserve">Ressources financières initiales limitées</w:t>
      </w:r>
    </w:p>
    <w:p>
      <w:pPr>
        <w:pStyle w:val="ListParagraph"/>
        <w:numPr>
          <w:ilvl w:val="0"/>
          <w:numId w:val="2"/>
        </w:numPr>
        <w:spacing w:after="60" w:before="60"/>
      </w:pPr>
      <w:r>
        <w:rPr>
          <w:rFonts w:ascii="Calibri" w:cs="Calibri" w:eastAsia="Calibri" w:hAnsi="Calibri"/>
          <w:color w:val="0F172A"/>
          <w:sz w:val="22"/>
          <w:szCs w:val="22"/>
        </w:rPr>
        <w:t xml:space="preserve">Dépendance à la connectivité internet</w:t>
      </w:r>
    </w:p>
    <w:p>
      <w:pPr>
        <w:pStyle w:val="ListParagraph"/>
        <w:numPr>
          <w:ilvl w:val="0"/>
          <w:numId w:val="2"/>
        </w:numPr>
        <w:spacing w:after="60" w:before="60"/>
      </w:pPr>
      <w:r>
        <w:rPr>
          <w:rFonts w:ascii="Calibri" w:cs="Calibri" w:eastAsia="Calibri" w:hAnsi="Calibri"/>
          <w:color w:val="0F172A"/>
          <w:sz w:val="22"/>
          <w:szCs w:val="22"/>
        </w:rPr>
        <w:t xml:space="preserve">Difficulté à établir la confiance sans historique</w:t>
      </w:r>
    </w:p>
    <w:p>
      <w:pPr>
        <w:pStyle w:val="Heading2"/>
        <w:spacing w:after="120" w:before="240"/>
      </w:pPr>
      <w:r>
        <w:rPr>
          <w:rFonts w:ascii="Calibri" w:cs="Calibri" w:eastAsia="Calibri" w:hAnsi="Calibri"/>
          <w:b/>
          <w:bCs/>
          <w:color w:val="0D9488"/>
          <w:sz w:val="26"/>
          <w:szCs w:val="26"/>
        </w:rPr>
        <w:t xml:space="preserve">Opportunités</w:t>
      </w:r>
    </w:p>
    <w:p>
      <w:pPr>
        <w:pStyle w:val="ListParagraph"/>
        <w:numPr>
          <w:ilvl w:val="0"/>
          <w:numId w:val="2"/>
        </w:numPr>
        <w:spacing w:after="60" w:before="60"/>
      </w:pPr>
      <w:r>
        <w:rPr>
          <w:rFonts w:ascii="Calibri" w:cs="Calibri" w:eastAsia="Calibri" w:hAnsi="Calibri"/>
          <w:color w:val="0F172A"/>
          <w:sz w:val="22"/>
          <w:szCs w:val="22"/>
        </w:rPr>
        <w:t xml:space="preserve">Forte population jeune au Sénégal et en Afrique de l'Ouest</w:t>
      </w:r>
    </w:p>
    <w:p>
      <w:pPr>
        <w:pStyle w:val="ListParagraph"/>
        <w:numPr>
          <w:ilvl w:val="0"/>
          <w:numId w:val="2"/>
        </w:numPr>
        <w:spacing w:after="60" w:before="60"/>
      </w:pPr>
      <w:r>
        <w:rPr>
          <w:rFonts w:ascii="Calibri" w:cs="Calibri" w:eastAsia="Calibri" w:hAnsi="Calibri"/>
          <w:color w:val="0F172A"/>
          <w:sz w:val="22"/>
          <w:szCs w:val="22"/>
        </w:rPr>
        <w:t xml:space="preserve">Très peu de solutions équivalentes sur le marché local</w:t>
      </w:r>
    </w:p>
    <w:p>
      <w:pPr>
        <w:pStyle w:val="ListParagraph"/>
        <w:numPr>
          <w:ilvl w:val="0"/>
          <w:numId w:val="2"/>
        </w:numPr>
        <w:spacing w:after="60" w:before="60"/>
      </w:pPr>
      <w:r>
        <w:rPr>
          <w:rFonts w:ascii="Calibri" w:cs="Calibri" w:eastAsia="Calibri" w:hAnsi="Calibri"/>
          <w:color w:val="0F172A"/>
          <w:sz w:val="22"/>
          <w:szCs w:val="22"/>
        </w:rPr>
        <w:t xml:space="preserve">Partenariats potentiels avec écoles, lycées et universités</w:t>
      </w:r>
    </w:p>
    <w:p>
      <w:pPr>
        <w:pStyle w:val="ListParagraph"/>
        <w:numPr>
          <w:ilvl w:val="0"/>
          <w:numId w:val="2"/>
        </w:numPr>
        <w:spacing w:after="60" w:before="60"/>
      </w:pPr>
      <w:r>
        <w:rPr>
          <w:rFonts w:ascii="Calibri" w:cs="Calibri" w:eastAsia="Calibri" w:hAnsi="Calibri"/>
          <w:color w:val="0F172A"/>
          <w:sz w:val="22"/>
          <w:szCs w:val="22"/>
        </w:rPr>
        <w:t xml:space="preserve">Croissance du e-learning et de la digitalisation de l'éducation</w:t>
      </w:r>
    </w:p>
    <w:p>
      <w:pPr>
        <w:pStyle w:val="Heading2"/>
        <w:spacing w:after="120" w:before="240"/>
      </w:pPr>
      <w:r>
        <w:rPr>
          <w:rFonts w:ascii="Calibri" w:cs="Calibri" w:eastAsia="Calibri" w:hAnsi="Calibri"/>
          <w:b/>
          <w:bCs/>
          <w:color w:val="0D9488"/>
          <w:sz w:val="26"/>
          <w:szCs w:val="26"/>
        </w:rPr>
        <w:t xml:space="preserve">Menaces</w:t>
      </w:r>
    </w:p>
    <w:p>
      <w:pPr>
        <w:pStyle w:val="ListParagraph"/>
        <w:numPr>
          <w:ilvl w:val="0"/>
          <w:numId w:val="2"/>
        </w:numPr>
        <w:spacing w:after="60" w:before="60"/>
      </w:pPr>
      <w:r>
        <w:rPr>
          <w:rFonts w:ascii="Calibri" w:cs="Calibri" w:eastAsia="Calibri" w:hAnsi="Calibri"/>
          <w:color w:val="0F172A"/>
          <w:sz w:val="22"/>
          <w:szCs w:val="22"/>
        </w:rPr>
        <w:t xml:space="preserve">Accès limité à internet dans certaines zones</w:t>
      </w:r>
    </w:p>
    <w:p>
      <w:pPr>
        <w:pStyle w:val="ListParagraph"/>
        <w:numPr>
          <w:ilvl w:val="0"/>
          <w:numId w:val="2"/>
        </w:numPr>
        <w:spacing w:after="60" w:before="60"/>
      </w:pPr>
      <w:r>
        <w:rPr>
          <w:rFonts w:ascii="Calibri" w:cs="Calibri" w:eastAsia="Calibri" w:hAnsi="Calibri"/>
          <w:color w:val="0F172A"/>
          <w:sz w:val="22"/>
          <w:szCs w:val="22"/>
        </w:rPr>
        <w:t xml:space="preserve">Résistance culturelle au changement d'habitudes</w:t>
      </w:r>
    </w:p>
    <w:p>
      <w:pPr>
        <w:pStyle w:val="ListParagraph"/>
        <w:numPr>
          <w:ilvl w:val="0"/>
          <w:numId w:val="2"/>
        </w:numPr>
        <w:spacing w:after="60" w:before="60"/>
      </w:pPr>
      <w:r>
        <w:rPr>
          <w:rFonts w:ascii="Calibri" w:cs="Calibri" w:eastAsia="Calibri" w:hAnsi="Calibri"/>
          <w:color w:val="0F172A"/>
          <w:sz w:val="22"/>
          <w:szCs w:val="22"/>
        </w:rPr>
        <w:t xml:space="preserve">Concurrence possible de CAMPUSEN et autres plateformes</w:t>
      </w:r>
    </w:p>
    <w:p>
      <w:pPr>
        <w:pStyle w:val="ListParagraph"/>
        <w:numPr>
          <w:ilvl w:val="0"/>
          <w:numId w:val="2"/>
        </w:numPr>
        <w:spacing w:after="60" w:before="60"/>
      </w:pPr>
      <w:r>
        <w:rPr>
          <w:rFonts w:ascii="Calibri" w:cs="Calibri" w:eastAsia="Calibri" w:hAnsi="Calibri"/>
          <w:color w:val="0F172A"/>
          <w:sz w:val="22"/>
          <w:szCs w:val="22"/>
        </w:rPr>
        <w:t xml:space="preserve">Méfiance envers les outils digitaux dans le secteur éducatif</w:t>
      </w:r>
    </w:p>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IV. ÉTUDE DE MARCHÉ</w:t>
      </w:r>
    </w:p>
    <w:p>
      <w:pPr>
        <w:spacing w:after="80" w:before="80"/>
      </w:pPr>
      <w:r>
        <w:rPr>
          <w:rFonts w:ascii="Calibri" w:cs="Calibri" w:eastAsia="Calibri" w:hAnsi="Calibri"/>
          <w:b w:val="false"/>
          <w:bCs w:val="false"/>
          <w:color w:val="0F172A"/>
          <w:sz w:val="22"/>
          <w:szCs w:val="22"/>
        </w:rPr>
        <w:t xml:space="preserve">Enquête réalisée auprès de 100 répondants — jeunes sénégalais concernés par l'orientation.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c>
          <w:tcPr>
            <w:tcW w:type="dxa" w:w="300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r>
              <w:rPr>
                <w:rFonts w:ascii="Calibri" w:cs="Calibri" w:eastAsia="Calibri" w:hAnsi="Calibri"/>
                <w:b/>
                <w:bCs/>
                <w:color w:val="FFFFFF"/>
                <w:sz w:val="22"/>
                <w:szCs w:val="22"/>
              </w:rPr>
              <w:t xml:space="preserve">Résultat</w:t>
            </w:r>
          </w:p>
        </w:tc>
        <w:tc>
          <w:tcPr>
            <w:tcW w:type="dxa" w:w="268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368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r>
              <w:rPr>
                <w:rFonts w:ascii="Calibri" w:cs="Calibri" w:eastAsia="Calibri" w:hAnsi="Calibri"/>
                <w:b/>
                <w:bCs/>
                <w:color w:val="FFFFFF"/>
                <w:sz w:val="22"/>
                <w:szCs w:val="22"/>
              </w:rPr>
              <w:t xml:space="preserve">Détail</w:t>
            </w:r>
          </w:p>
        </w:tc>
      </w:tr>
      <w:tr>
        <w:tc>
          <w:tcPr>
            <w:tcW w:type="dxa" w:w="3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color w:val="0F172A"/>
                <w:sz w:val="22"/>
                <w:szCs w:val="22"/>
              </w:rPr>
              <w:t xml:space="preserve">N'ont jamais reçu d'orientation</w:t>
            </w:r>
          </w:p>
        </w:tc>
        <w:tc>
          <w:tcPr>
            <w:tcW w:type="dxa" w:w="26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89%</w:t>
            </w:r>
          </w:p>
        </w:tc>
        <w:tc>
          <w:tcPr>
            <w:tcW w:type="dxa" w:w="36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i/>
                <w:iCs/>
                <w:color w:val="64748B"/>
                <w:sz w:val="22"/>
                <w:szCs w:val="22"/>
              </w:rPr>
              <w:t xml:space="preserve">Seulement 11% en ont bénéficié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Manquaient d'informations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77%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64748B"/>
                <w:sz w:val="22"/>
                <w:szCs w:val="22"/>
              </w:rPr>
              <w:t xml:space="preserve">44% NON + 33% PAS VRAIMENT</w:t>
            </w:r>
          </w:p>
        </w:tc>
      </w:tr>
      <w:tr>
        <w:tc>
          <w:tcPr>
            <w:tcW w:type="dxa" w:w="3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color w:val="0F172A"/>
                <w:sz w:val="22"/>
                <w:szCs w:val="22"/>
              </w:rPr>
              <w:t xml:space="preserve">N'étaient pas sûrs de leur choix</w:t>
            </w:r>
          </w:p>
        </w:tc>
        <w:tc>
          <w:tcPr>
            <w:tcW w:type="dxa" w:w="26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89%</w:t>
            </w:r>
          </w:p>
        </w:tc>
        <w:tc>
          <w:tcPr>
            <w:tcW w:type="dxa" w:w="36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i/>
                <w:iCs/>
                <w:color w:val="64748B"/>
                <w:sz w:val="22"/>
                <w:szCs w:val="22"/>
              </w:rPr>
              <w:t xml:space="preserve">56% pas sûr + 33% pas totalement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Jugent le manque d'orientation grave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100%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64748B"/>
                <w:sz w:val="22"/>
                <w:szCs w:val="22"/>
              </w:rPr>
              <w:t xml:space="preserve">Unanimité absolue</w:t>
            </w:r>
          </w:p>
        </w:tc>
      </w:tr>
      <w:tr>
        <w:tc>
          <w:tcPr>
            <w:tcW w:type="dxa" w:w="3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color w:val="0F172A"/>
                <w:sz w:val="22"/>
                <w:szCs w:val="22"/>
              </w:rPr>
              <w:t xml:space="preserve">Intéressés par NextStep</w:t>
            </w:r>
          </w:p>
        </w:tc>
        <w:tc>
          <w:tcPr>
            <w:tcW w:type="dxa" w:w="26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89%</w:t>
            </w:r>
          </w:p>
        </w:tc>
        <w:tc>
          <w:tcPr>
            <w:tcW w:type="dxa" w:w="368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i/>
                <w:iCs/>
                <w:color w:val="64748B"/>
                <w:sz w:val="22"/>
                <w:szCs w:val="22"/>
              </w:rPr>
              <w:t xml:space="preserve">Base utilisateurs potentielle massive</w:t>
            </w:r>
          </w:p>
        </w:tc>
      </w:tr>
    </w:tbl>
    <w:p>
      <w:r>
        <w:rPr>
          <w:sz w:val="22"/>
          <w:szCs w:val="22"/>
        </w:rPr>
        <w:t xml:space="preserve"/>
      </w:r>
    </w:p>
    <w:p>
      <w:pPr>
        <w:spacing w:after="80" w:before="80"/>
      </w:pPr>
      <w:r>
        <w:rPr>
          <w:rFonts w:ascii="Calibri" w:cs="Calibri" w:eastAsia="Calibri" w:hAnsi="Calibri"/>
          <w:b w:val="false"/>
          <w:bCs w:val="false"/>
          <w:color w:val="64748B"/>
          <w:sz w:val="22"/>
          <w:szCs w:val="22"/>
        </w:rPr>
        <w:t xml:space="preserve">286 000 étudiants au Sénégal en 2024 · +60 000 nouveaux bacheliers par an</w:t>
      </w:r>
    </w:p>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V. DESCRIPTION TECHNIQUE</w:t>
      </w:r>
    </w:p>
    <w:p>
      <w:pPr>
        <w:spacing w:after="80" w:before="80"/>
      </w:pPr>
      <w:r>
        <w:rPr>
          <w:rFonts w:ascii="Calibri" w:cs="Calibri" w:eastAsia="Calibri" w:hAnsi="Calibri"/>
          <w:b w:val="false"/>
          <w:bCs w:val="false"/>
          <w:color w:val="0F172A"/>
          <w:sz w:val="22"/>
          <w:szCs w:val="22"/>
        </w:rPr>
        <w:t xml:space="preserve">La plateforme NextStep repose sur 6 fonctionnalités clés :</w:t>
      </w:r>
    </w:p>
    <w:p>
      <w:r>
        <w:rPr>
          <w:sz w:val="22"/>
          <w:szCs w:val="22"/>
        </w:rPr>
        <w:t xml:space="preserve"/>
      </w:r>
    </w:p>
    <w:p>
      <w:pPr>
        <w:spacing w:after="80" w:before="80"/>
      </w:pPr>
      <w:r>
        <w:rPr>
          <w:rFonts w:ascii="Calibri" w:cs="Calibri" w:eastAsia="Calibri" w:hAnsi="Calibri"/>
          <w:b/>
          <w:bCs/>
          <w:color w:val="0F172A"/>
          <w:sz w:val="22"/>
          <w:szCs w:val="22"/>
        </w:rPr>
        <w:t xml:space="preserve">► Tests RIASEC</w:t>
      </w:r>
    </w:p>
    <w:p>
      <w:pPr>
        <w:spacing w:after="80" w:before="80"/>
      </w:pPr>
      <w:r>
        <w:rPr>
          <w:rFonts w:ascii="Calibri" w:cs="Calibri" w:eastAsia="Calibri" w:hAnsi="Calibri"/>
          <w:b w:val="false"/>
          <w:bCs w:val="false"/>
          <w:color w:val="64748B"/>
          <w:sz w:val="22"/>
          <w:szCs w:val="22"/>
        </w:rPr>
        <w:t xml:space="preserve">Algorithme basé sur le modèle de John Holland : Réaliste, Investigateur, Artistique, Social, Entrepreneur, Conventionnel. Les résultats orientent vers des secteurs et métiers compatibles.</w:t>
      </w:r>
    </w:p>
    <w:p>
      <w:r>
        <w:rPr>
          <w:sz w:val="22"/>
          <w:szCs w:val="22"/>
        </w:rPr>
        <w:t xml:space="preserve"/>
      </w:r>
    </w:p>
    <w:p>
      <w:pPr>
        <w:spacing w:after="80" w:before="80"/>
      </w:pPr>
      <w:r>
        <w:rPr>
          <w:rFonts w:ascii="Calibri" w:cs="Calibri" w:eastAsia="Calibri" w:hAnsi="Calibri"/>
          <w:b/>
          <w:bCs/>
          <w:color w:val="0F172A"/>
          <w:sz w:val="22"/>
          <w:szCs w:val="22"/>
        </w:rPr>
        <w:t xml:space="preserve">► Fiches Métiers</w:t>
      </w:r>
    </w:p>
    <w:p>
      <w:pPr>
        <w:spacing w:after="80" w:before="80"/>
      </w:pPr>
      <w:r>
        <w:rPr>
          <w:rFonts w:ascii="Calibri" w:cs="Calibri" w:eastAsia="Calibri" w:hAnsi="Calibri"/>
          <w:b w:val="false"/>
          <w:bCs w:val="false"/>
          <w:color w:val="64748B"/>
          <w:sz w:val="22"/>
          <w:szCs w:val="22"/>
        </w:rPr>
        <w:t xml:space="preserve">Chaque métier est documenté avec sa description, les études requises, les salaires indicatifs et les débouchés disponibles au Sénégal.</w:t>
      </w:r>
    </w:p>
    <w:p>
      <w:r>
        <w:rPr>
          <w:sz w:val="22"/>
          <w:szCs w:val="22"/>
        </w:rPr>
        <w:t xml:space="preserve"/>
      </w:r>
    </w:p>
    <w:p>
      <w:pPr>
        <w:spacing w:after="80" w:before="80"/>
      </w:pPr>
      <w:r>
        <w:rPr>
          <w:rFonts w:ascii="Calibri" w:cs="Calibri" w:eastAsia="Calibri" w:hAnsi="Calibri"/>
          <w:b/>
          <w:bCs/>
          <w:color w:val="0F172A"/>
          <w:sz w:val="22"/>
          <w:szCs w:val="22"/>
        </w:rPr>
        <w:t xml:space="preserve">► Réservation de séances conseillers</w:t>
      </w:r>
    </w:p>
    <w:p>
      <w:pPr>
        <w:spacing w:after="80" w:before="80"/>
      </w:pPr>
      <w:r>
        <w:rPr>
          <w:rFonts w:ascii="Calibri" w:cs="Calibri" w:eastAsia="Calibri" w:hAnsi="Calibri"/>
          <w:b w:val="false"/>
          <w:bCs w:val="false"/>
          <w:color w:val="64748B"/>
          <w:sz w:val="22"/>
          <w:szCs w:val="22"/>
        </w:rPr>
        <w:t xml:space="preserve">Interface de prise de rendez-vous en ligne avec des conseillers d'orientation certifiés, disponibles en présentiel ou en visioconférence.</w:t>
      </w:r>
    </w:p>
    <w:p>
      <w:r>
        <w:rPr>
          <w:sz w:val="22"/>
          <w:szCs w:val="22"/>
        </w:rPr>
        <w:t xml:space="preserve"/>
      </w:r>
    </w:p>
    <w:p>
      <w:pPr>
        <w:spacing w:after="80" w:before="80"/>
      </w:pPr>
      <w:r>
        <w:rPr>
          <w:rFonts w:ascii="Calibri" w:cs="Calibri" w:eastAsia="Calibri" w:hAnsi="Calibri"/>
          <w:b/>
          <w:bCs/>
          <w:color w:val="0F172A"/>
          <w:sz w:val="22"/>
          <w:szCs w:val="22"/>
        </w:rPr>
        <w:t xml:space="preserve">► Guides des filières</w:t>
      </w:r>
    </w:p>
    <w:p>
      <w:pPr>
        <w:spacing w:after="80" w:before="80"/>
      </w:pPr>
      <w:r>
        <w:rPr>
          <w:rFonts w:ascii="Calibri" w:cs="Calibri" w:eastAsia="Calibri" w:hAnsi="Calibri"/>
          <w:b w:val="false"/>
          <w:bCs w:val="false"/>
          <w:color w:val="64748B"/>
          <w:sz w:val="22"/>
          <w:szCs w:val="22"/>
        </w:rPr>
        <w:t xml:space="preserve">Présentation des formations universitaires disponibles au Sénégal avec suggestions d'établissements adaptés au profil.</w:t>
      </w:r>
    </w:p>
    <w:p>
      <w:r>
        <w:rPr>
          <w:sz w:val="22"/>
          <w:szCs w:val="22"/>
        </w:rPr>
        <w:t xml:space="preserve"/>
      </w:r>
    </w:p>
    <w:p>
      <w:pPr>
        <w:spacing w:after="80" w:before="80"/>
      </w:pPr>
      <w:r>
        <w:rPr>
          <w:rFonts w:ascii="Calibri" w:cs="Calibri" w:eastAsia="Calibri" w:hAnsi="Calibri"/>
          <w:b/>
          <w:bCs/>
          <w:color w:val="0F172A"/>
          <w:sz w:val="22"/>
          <w:szCs w:val="22"/>
        </w:rPr>
        <w:t xml:space="preserve">► Témoignages</w:t>
      </w:r>
    </w:p>
    <w:p>
      <w:pPr>
        <w:spacing w:after="80" w:before="80"/>
      </w:pPr>
      <w:r>
        <w:rPr>
          <w:rFonts w:ascii="Calibri" w:cs="Calibri" w:eastAsia="Calibri" w:hAnsi="Calibri"/>
          <w:b w:val="false"/>
          <w:bCs w:val="false"/>
          <w:color w:val="64748B"/>
          <w:sz w:val="22"/>
          <w:szCs w:val="22"/>
        </w:rPr>
        <w:t xml:space="preserve">Section dédiée aux retours d'expériences d'étudiants et de professionnels, pour inspirer et guider les utilisateurs.</w:t>
      </w:r>
    </w:p>
    <w:p>
      <w:r>
        <w:rPr>
          <w:sz w:val="22"/>
          <w:szCs w:val="22"/>
        </w:rPr>
        <w:t xml:space="preserve"/>
      </w:r>
    </w:p>
    <w:p>
      <w:pPr>
        <w:spacing w:after="80" w:before="80"/>
      </w:pPr>
      <w:r>
        <w:rPr>
          <w:rFonts w:ascii="Calibri" w:cs="Calibri" w:eastAsia="Calibri" w:hAnsi="Calibri"/>
          <w:b/>
          <w:bCs/>
          <w:color w:val="0F172A"/>
          <w:sz w:val="22"/>
          <w:szCs w:val="22"/>
        </w:rPr>
        <w:t xml:space="preserve">► Badges &amp; Progression</w:t>
      </w:r>
    </w:p>
    <w:p>
      <w:pPr>
        <w:spacing w:after="80" w:before="80"/>
      </w:pPr>
      <w:r>
        <w:rPr>
          <w:rFonts w:ascii="Calibri" w:cs="Calibri" w:eastAsia="Calibri" w:hAnsi="Calibri"/>
          <w:b w:val="false"/>
          <w:bCs w:val="false"/>
          <w:color w:val="64748B"/>
          <w:sz w:val="22"/>
          <w:szCs w:val="22"/>
        </w:rPr>
        <w:t xml:space="preserve">Système de gamification avec suivi de l'avancement, historique des tests et attribution de badges de progression.</w:t>
      </w:r>
    </w:p>
    <w:p>
      <w:r>
        <w:rPr>
          <w:sz w:val="22"/>
          <w:szCs w:val="22"/>
        </w:rPr>
        <w:t xml:space="preserve"/>
      </w:r>
    </w:p>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VI. PLANNING DE MISE EN ŒUVRE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3000"/>
      </w:tblGrid>
      <w:tr>
        <w:tc>
          <w:tcPr>
            <w:tcW w:type="dxa" w:w="72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N°</w:t>
            </w:r>
          </w:p>
        </w:tc>
        <w:tc>
          <w:tcPr>
            <w:tcW w:type="dxa" w:w="360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r>
              <w:rPr>
                <w:rFonts w:ascii="Calibri" w:cs="Calibri" w:eastAsia="Calibri" w:hAnsi="Calibri"/>
                <w:b/>
                <w:bCs/>
                <w:color w:val="FFFFFF"/>
                <w:sz w:val="22"/>
                <w:szCs w:val="22"/>
              </w:rPr>
              <w:t xml:space="preserve">Étape</w:t>
            </w:r>
          </w:p>
        </w:tc>
        <w:tc>
          <w:tcPr>
            <w:tcW w:type="dxa" w:w="204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Durée</w:t>
            </w:r>
          </w:p>
        </w:tc>
        <w:tc>
          <w:tcPr>
            <w:tcW w:type="dxa" w:w="300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72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01</w:t>
            </w:r>
          </w:p>
        </w:tc>
        <w:tc>
          <w:tcPr>
            <w:tcW w:type="dxa" w:w="3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b/>
                <w:bCs/>
                <w:color w:val="0F172A"/>
                <w:sz w:val="22"/>
                <w:szCs w:val="22"/>
              </w:rPr>
              <w:t xml:space="preserve">Étude du besoin</w:t>
            </w:r>
          </w:p>
        </w:tc>
        <w:tc>
          <w:tcPr>
            <w:tcW w:type="dxa" w:w="2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center"/>
            </w:pPr>
            <w:r>
              <w:rPr>
                <w:rFonts w:ascii="Calibri" w:cs="Calibri" w:eastAsia="Calibri" w:hAnsi="Calibri"/>
                <w:color w:val="64748B"/>
                <w:sz w:val="22"/>
                <w:szCs w:val="22"/>
              </w:rPr>
              <w:t xml:space="preserve">2 mois</w:t>
            </w:r>
          </w:p>
        </w:tc>
        <w:tc>
          <w:tcPr>
            <w:tcW w:type="dxa" w:w="3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i/>
                <w:iCs/>
                <w:color w:val="64748B"/>
                <w:sz w:val="20"/>
                <w:szCs w:val="20"/>
              </w:rPr>
              <w:t xml:space="preserve">Analyse terrain, entretiens utilisateurs, benchmarking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F172A"/>
                <w:sz w:val="22"/>
                <w:szCs w:val="22"/>
              </w:rPr>
              <w:t xml:space="preserve">Maquette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64748B"/>
                <w:sz w:val="22"/>
                <w:szCs w:val="22"/>
              </w:rPr>
              <w:t xml:space="preserve">2 semaines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64748B"/>
                <w:sz w:val="20"/>
                <w:szCs w:val="20"/>
              </w:rPr>
              <w:t xml:space="preserve">Conception des wireframes et prototypes UX/UI</w:t>
            </w:r>
          </w:p>
        </w:tc>
      </w:tr>
      <w:tr>
        <w:tc>
          <w:tcPr>
            <w:tcW w:type="dxa" w:w="72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03</w:t>
            </w:r>
          </w:p>
        </w:tc>
        <w:tc>
          <w:tcPr>
            <w:tcW w:type="dxa" w:w="3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b/>
                <w:bCs/>
                <w:color w:val="0F172A"/>
                <w:sz w:val="22"/>
                <w:szCs w:val="22"/>
              </w:rPr>
              <w:t xml:space="preserve">Test utilisateur</w:t>
            </w:r>
          </w:p>
        </w:tc>
        <w:tc>
          <w:tcPr>
            <w:tcW w:type="dxa" w:w="2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center"/>
            </w:pPr>
            <w:r>
              <w:rPr>
                <w:rFonts w:ascii="Calibri" w:cs="Calibri" w:eastAsia="Calibri" w:hAnsi="Calibri"/>
                <w:color w:val="64748B"/>
                <w:sz w:val="22"/>
                <w:szCs w:val="22"/>
              </w:rPr>
              <w:t xml:space="preserve">3 mois</w:t>
            </w:r>
          </w:p>
        </w:tc>
        <w:tc>
          <w:tcPr>
            <w:tcW w:type="dxa" w:w="3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i/>
                <w:iCs/>
                <w:color w:val="64748B"/>
                <w:sz w:val="20"/>
                <w:szCs w:val="20"/>
              </w:rPr>
              <w:t xml:space="preserve">Phase de tests avec panel de bêta-testeurs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F172A"/>
                <w:sz w:val="22"/>
                <w:szCs w:val="22"/>
              </w:rPr>
              <w:t xml:space="preserve">Développement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64748B"/>
                <w:sz w:val="22"/>
                <w:szCs w:val="22"/>
              </w:rPr>
              <w:t xml:space="preserve">2 mois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64748B"/>
                <w:sz w:val="20"/>
                <w:szCs w:val="20"/>
              </w:rPr>
              <w:t xml:space="preserve">Développement et intégration des fonctionnalités</w:t>
            </w:r>
          </w:p>
        </w:tc>
      </w:tr>
      <w:tr>
        <w:tc>
          <w:tcPr>
            <w:tcW w:type="dxa" w:w="72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center"/>
            </w:pPr>
            <w:r>
              <w:rPr>
                <w:rFonts w:ascii="Calibri" w:cs="Calibri" w:eastAsia="Calibri" w:hAnsi="Calibri"/>
                <w:b/>
                <w:bCs/>
                <w:color w:val="0D9488"/>
                <w:sz w:val="22"/>
                <w:szCs w:val="22"/>
              </w:rPr>
              <w:t xml:space="preserve">05</w:t>
            </w:r>
          </w:p>
        </w:tc>
        <w:tc>
          <w:tcPr>
            <w:tcW w:type="dxa" w:w="36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b/>
                <w:bCs/>
                <w:color w:val="0F172A"/>
                <w:sz w:val="22"/>
                <w:szCs w:val="22"/>
              </w:rPr>
              <w:t xml:space="preserve">Lancement</w:t>
            </w:r>
          </w:p>
        </w:tc>
        <w:tc>
          <w:tcPr>
            <w:tcW w:type="dxa" w:w="204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center"/>
            </w:pPr>
            <w:r>
              <w:rPr>
                <w:rFonts w:ascii="Calibri" w:cs="Calibri" w:eastAsia="Calibri" w:hAnsi="Calibri"/>
                <w:color w:val="64748B"/>
                <w:sz w:val="22"/>
                <w:szCs w:val="22"/>
              </w:rPr>
              <w:t xml:space="preserve">2 mois</w:t>
            </w:r>
          </w:p>
        </w:tc>
        <w:tc>
          <w:tcPr>
            <w:tcW w:type="dxa" w:w="30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i/>
                <w:iCs/>
                <w:color w:val="64748B"/>
                <w:sz w:val="20"/>
                <w:szCs w:val="20"/>
              </w:rPr>
              <w:t xml:space="preserve">Déploiement, marketing et acquisition des premiers utilisateurs</w:t>
            </w:r>
          </w:p>
        </w:tc>
      </w:tr>
    </w:tbl>
    <w:p>
      <w:r>
        <w:rPr>
          <w:sz w:val="22"/>
          <w:szCs w:val="22"/>
        </w:rPr>
        <w:t xml:space="preserve"/>
      </w:r>
    </w:p>
    <w:p>
      <w:pPr>
        <w:pStyle w:val="Heading2"/>
        <w:spacing w:after="120" w:before="240"/>
      </w:pPr>
      <w:r>
        <w:rPr>
          <w:rFonts w:ascii="Calibri" w:cs="Calibri" w:eastAsia="Calibri" w:hAnsi="Calibri"/>
          <w:b/>
          <w:bCs/>
          <w:color w:val="0D9488"/>
          <w:sz w:val="26"/>
          <w:szCs w:val="26"/>
        </w:rPr>
        <w:t xml:space="preserve">Modalités</w:t>
      </w:r>
    </w:p>
    <w:p>
      <w:pPr>
        <w:pStyle w:val="ListParagraph"/>
        <w:numPr>
          <w:ilvl w:val="0"/>
          <w:numId w:val="2"/>
        </w:numPr>
        <w:spacing w:after="60" w:before="60"/>
      </w:pPr>
      <w:r>
        <w:rPr>
          <w:rFonts w:ascii="Calibri" w:cs="Calibri" w:eastAsia="Calibri" w:hAnsi="Calibri"/>
          <w:color w:val="0F172A"/>
          <w:sz w:val="22"/>
          <w:szCs w:val="22"/>
        </w:rPr>
        <w:t xml:space="preserve">Accès à une connexion internet</w:t>
      </w:r>
    </w:p>
    <w:p>
      <w:pPr>
        <w:pStyle w:val="ListParagraph"/>
        <w:numPr>
          <w:ilvl w:val="0"/>
          <w:numId w:val="2"/>
        </w:numPr>
        <w:spacing w:after="60" w:before="60"/>
      </w:pPr>
      <w:r>
        <w:rPr>
          <w:rFonts w:ascii="Calibri" w:cs="Calibri" w:eastAsia="Calibri" w:hAnsi="Calibri"/>
          <w:color w:val="0F172A"/>
          <w:sz w:val="22"/>
          <w:szCs w:val="22"/>
        </w:rPr>
        <w:t xml:space="preserve">Savoir-faire techniques en développement web &amp; mobile</w:t>
      </w:r>
    </w:p>
    <w:p>
      <w:pPr>
        <w:pStyle w:val="ListParagraph"/>
        <w:numPr>
          <w:ilvl w:val="0"/>
          <w:numId w:val="2"/>
        </w:numPr>
        <w:spacing w:after="60" w:before="60"/>
      </w:pPr>
      <w:r>
        <w:rPr>
          <w:rFonts w:ascii="Calibri" w:cs="Calibri" w:eastAsia="Calibri" w:hAnsi="Calibri"/>
          <w:color w:val="0F172A"/>
          <w:sz w:val="22"/>
          <w:szCs w:val="22"/>
        </w:rPr>
        <w:t xml:space="preserve">Budget de démarrage (fonds propres)</w:t>
      </w:r>
    </w:p>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VII. STRATÉGIE MARKETING — Les 4P</w:t>
      </w:r>
    </w:p>
    <w:p>
      <w:pPr>
        <w:pStyle w:val="Heading2"/>
        <w:spacing w:after="120" w:before="240"/>
      </w:pPr>
      <w:r>
        <w:rPr>
          <w:rFonts w:ascii="Calibri" w:cs="Calibri" w:eastAsia="Calibri" w:hAnsi="Calibri"/>
          <w:b/>
          <w:bCs/>
          <w:color w:val="0D9488"/>
          <w:sz w:val="26"/>
          <w:szCs w:val="26"/>
        </w:rPr>
        <w:t xml:space="preserve">Produit</w:t>
      </w:r>
    </w:p>
    <w:p>
      <w:pPr>
        <w:pStyle w:val="ListParagraph"/>
        <w:numPr>
          <w:ilvl w:val="0"/>
          <w:numId w:val="2"/>
        </w:numPr>
        <w:spacing w:after="60" w:before="60"/>
      </w:pPr>
      <w:r>
        <w:rPr>
          <w:rFonts w:ascii="Calibri" w:cs="Calibri" w:eastAsia="Calibri" w:hAnsi="Calibri"/>
          <w:color w:val="0F172A"/>
          <w:sz w:val="22"/>
          <w:szCs w:val="22"/>
        </w:rPr>
        <w:t xml:space="preserve">Interface moderne, intuitive et simple d'utilisation</w:t>
      </w:r>
    </w:p>
    <w:p>
      <w:pPr>
        <w:pStyle w:val="ListParagraph"/>
        <w:numPr>
          <w:ilvl w:val="0"/>
          <w:numId w:val="2"/>
        </w:numPr>
        <w:spacing w:after="60" w:before="60"/>
      </w:pPr>
      <w:r>
        <w:rPr>
          <w:rFonts w:ascii="Calibri" w:cs="Calibri" w:eastAsia="Calibri" w:hAnsi="Calibri"/>
          <w:color w:val="0F172A"/>
          <w:sz w:val="22"/>
          <w:szCs w:val="22"/>
        </w:rPr>
        <w:t xml:space="preserve">Compatible mobile (Android) et web</w:t>
      </w:r>
    </w:p>
    <w:p>
      <w:pPr>
        <w:pStyle w:val="ListParagraph"/>
        <w:numPr>
          <w:ilvl w:val="0"/>
          <w:numId w:val="2"/>
        </w:numPr>
        <w:spacing w:after="60" w:before="60"/>
      </w:pPr>
      <w:r>
        <w:rPr>
          <w:rFonts w:ascii="Calibri" w:cs="Calibri" w:eastAsia="Calibri" w:hAnsi="Calibri"/>
          <w:color w:val="0F172A"/>
          <w:sz w:val="22"/>
          <w:szCs w:val="22"/>
        </w:rPr>
        <w:t xml:space="preserve">Algorithme RIASEC scientifiquement éprouvé</w:t>
      </w:r>
    </w:p>
    <w:p>
      <w:pPr>
        <w:pStyle w:val="ListParagraph"/>
        <w:numPr>
          <w:ilvl w:val="0"/>
          <w:numId w:val="2"/>
        </w:numPr>
        <w:spacing w:after="60" w:before="60"/>
      </w:pPr>
      <w:r>
        <w:rPr>
          <w:rFonts w:ascii="Calibri" w:cs="Calibri" w:eastAsia="Calibri" w:hAnsi="Calibri"/>
          <w:color w:val="0F172A"/>
          <w:sz w:val="22"/>
          <w:szCs w:val="22"/>
        </w:rPr>
        <w:t xml:space="preserve">Données et informations adaptées au contexte sénégalais</w:t>
      </w:r>
    </w:p>
    <w:p>
      <w:pPr>
        <w:pStyle w:val="Heading2"/>
        <w:spacing w:after="120" w:before="240"/>
      </w:pPr>
      <w:r>
        <w:rPr>
          <w:rFonts w:ascii="Calibri" w:cs="Calibri" w:eastAsia="Calibri" w:hAnsi="Calibri"/>
          <w:b/>
          <w:bCs/>
          <w:color w:val="0D9488"/>
          <w:sz w:val="26"/>
          <w:szCs w:val="26"/>
        </w:rPr>
        <w:t xml:space="preserve">Prix — Modèle Freemium</w:t>
      </w:r>
    </w:p>
    <w:p>
      <w:pPr>
        <w:pStyle w:val="ListParagraph"/>
        <w:numPr>
          <w:ilvl w:val="0"/>
          <w:numId w:val="2"/>
        </w:numPr>
        <w:spacing w:after="60" w:before="60"/>
      </w:pPr>
      <w:r>
        <w:rPr>
          <w:rFonts w:ascii="Calibri" w:cs="Calibri" w:eastAsia="Calibri" w:hAnsi="Calibri"/>
          <w:color w:val="0F172A"/>
          <w:sz w:val="22"/>
          <w:szCs w:val="22"/>
        </w:rPr>
        <w:t xml:space="preserve">Test RIASEC basique : GRATUIT</w:t>
      </w:r>
    </w:p>
    <w:p>
      <w:pPr>
        <w:pStyle w:val="ListParagraph"/>
        <w:numPr>
          <w:ilvl w:val="0"/>
          <w:numId w:val="2"/>
        </w:numPr>
        <w:spacing w:after="60" w:before="60"/>
      </w:pPr>
      <w:r>
        <w:rPr>
          <w:rFonts w:ascii="Calibri" w:cs="Calibri" w:eastAsia="Calibri" w:hAnsi="Calibri"/>
          <w:color w:val="0F172A"/>
          <w:sz w:val="22"/>
          <w:szCs w:val="22"/>
        </w:rPr>
        <w:t xml:space="preserve">Abonnement Premium : 2 000 – 5 000 FCFA/mois</w:t>
      </w:r>
    </w:p>
    <w:p>
      <w:pPr>
        <w:pStyle w:val="ListParagraph"/>
        <w:numPr>
          <w:ilvl w:val="0"/>
          <w:numId w:val="2"/>
        </w:numPr>
        <w:spacing w:after="60" w:before="60"/>
      </w:pPr>
      <w:r>
        <w:rPr>
          <w:rFonts w:ascii="Calibri" w:cs="Calibri" w:eastAsia="Calibri" w:hAnsi="Calibri"/>
          <w:color w:val="0F172A"/>
          <w:sz w:val="22"/>
          <w:szCs w:val="22"/>
        </w:rPr>
        <w:t xml:space="preserve">Coaching personnalisé en option</w:t>
      </w:r>
    </w:p>
    <w:p>
      <w:pPr>
        <w:pStyle w:val="ListParagraph"/>
        <w:numPr>
          <w:ilvl w:val="0"/>
          <w:numId w:val="2"/>
        </w:numPr>
        <w:spacing w:after="60" w:before="60"/>
      </w:pPr>
      <w:r>
        <w:rPr>
          <w:rFonts w:ascii="Calibri" w:cs="Calibri" w:eastAsia="Calibri" w:hAnsi="Calibri"/>
          <w:color w:val="0F172A"/>
          <w:sz w:val="22"/>
          <w:szCs w:val="22"/>
        </w:rPr>
        <w:t xml:space="preserve">Accès complet aux fiches métiers et guides</w:t>
      </w:r>
    </w:p>
    <w:p>
      <w:pPr>
        <w:pStyle w:val="Heading2"/>
        <w:spacing w:after="120" w:before="240"/>
      </w:pPr>
      <w:r>
        <w:rPr>
          <w:rFonts w:ascii="Calibri" w:cs="Calibri" w:eastAsia="Calibri" w:hAnsi="Calibri"/>
          <w:b/>
          <w:bCs/>
          <w:color w:val="0D9488"/>
          <w:sz w:val="26"/>
          <w:szCs w:val="26"/>
        </w:rPr>
        <w:t xml:space="preserve">Place</w:t>
      </w:r>
    </w:p>
    <w:p>
      <w:pPr>
        <w:pStyle w:val="ListParagraph"/>
        <w:numPr>
          <w:ilvl w:val="0"/>
          <w:numId w:val="2"/>
        </w:numPr>
        <w:spacing w:after="60" w:before="60"/>
      </w:pPr>
      <w:r>
        <w:rPr>
          <w:rFonts w:ascii="Calibri" w:cs="Calibri" w:eastAsia="Calibri" w:hAnsi="Calibri"/>
          <w:color w:val="0F172A"/>
          <w:sz w:val="22"/>
          <w:szCs w:val="22"/>
        </w:rPr>
        <w:t xml:space="preserve">Application mobile Android (Google Play Store)</w:t>
      </w:r>
    </w:p>
    <w:p>
      <w:pPr>
        <w:pStyle w:val="ListParagraph"/>
        <w:numPr>
          <w:ilvl w:val="0"/>
          <w:numId w:val="2"/>
        </w:numPr>
        <w:spacing w:after="60" w:before="60"/>
      </w:pPr>
      <w:r>
        <w:rPr>
          <w:rFonts w:ascii="Calibri" w:cs="Calibri" w:eastAsia="Calibri" w:hAnsi="Calibri"/>
          <w:color w:val="0F172A"/>
          <w:sz w:val="22"/>
          <w:szCs w:val="22"/>
        </w:rPr>
        <w:t xml:space="preserve">Site web accessible depuis tout navigateur</w:t>
      </w:r>
    </w:p>
    <w:p>
      <w:pPr>
        <w:pStyle w:val="ListParagraph"/>
        <w:numPr>
          <w:ilvl w:val="0"/>
          <w:numId w:val="2"/>
        </w:numPr>
        <w:spacing w:after="60" w:before="60"/>
      </w:pPr>
      <w:r>
        <w:rPr>
          <w:rFonts w:ascii="Calibri" w:cs="Calibri" w:eastAsia="Calibri" w:hAnsi="Calibri"/>
          <w:color w:val="0F172A"/>
          <w:sz w:val="22"/>
          <w:szCs w:val="22"/>
        </w:rPr>
        <w:t xml:space="preserve">Distribution via réseaux sociaux et WhatsApp</w:t>
      </w:r>
    </w:p>
    <w:p>
      <w:pPr>
        <w:pStyle w:val="ListParagraph"/>
        <w:numPr>
          <w:ilvl w:val="0"/>
          <w:numId w:val="2"/>
        </w:numPr>
        <w:spacing w:after="60" w:before="60"/>
      </w:pPr>
      <w:r>
        <w:rPr>
          <w:rFonts w:ascii="Calibri" w:cs="Calibri" w:eastAsia="Calibri" w:hAnsi="Calibri"/>
          <w:color w:val="0F172A"/>
          <w:sz w:val="22"/>
          <w:szCs w:val="22"/>
        </w:rPr>
        <w:t xml:space="preserve">Partenariats avec écoles, lycées et universités</w:t>
      </w:r>
    </w:p>
    <w:p>
      <w:pPr>
        <w:pStyle w:val="Heading2"/>
        <w:spacing w:after="120" w:before="240"/>
      </w:pPr>
      <w:r>
        <w:rPr>
          <w:rFonts w:ascii="Calibri" w:cs="Calibri" w:eastAsia="Calibri" w:hAnsi="Calibri"/>
          <w:b/>
          <w:bCs/>
          <w:color w:val="0D9488"/>
          <w:sz w:val="26"/>
          <w:szCs w:val="26"/>
        </w:rPr>
        <w:t xml:space="preserve">Promotion</w:t>
      </w:r>
    </w:p>
    <w:p>
      <w:pPr>
        <w:pStyle w:val="ListParagraph"/>
        <w:numPr>
          <w:ilvl w:val="0"/>
          <w:numId w:val="2"/>
        </w:numPr>
        <w:spacing w:after="60" w:before="60"/>
      </w:pPr>
      <w:r>
        <w:rPr>
          <w:rFonts w:ascii="Calibri" w:cs="Calibri" w:eastAsia="Calibri" w:hAnsi="Calibri"/>
          <w:color w:val="0F172A"/>
          <w:sz w:val="22"/>
          <w:szCs w:val="22"/>
        </w:rPr>
        <w:t xml:space="preserve">Présence sur TikTok, Instagram et LinkedIn</w:t>
      </w:r>
    </w:p>
    <w:p>
      <w:pPr>
        <w:pStyle w:val="ListParagraph"/>
        <w:numPr>
          <w:ilvl w:val="0"/>
          <w:numId w:val="2"/>
        </w:numPr>
        <w:spacing w:after="60" w:before="60"/>
      </w:pPr>
      <w:r>
        <w:rPr>
          <w:rFonts w:ascii="Calibri" w:cs="Calibri" w:eastAsia="Calibri" w:hAnsi="Calibri"/>
          <w:color w:val="0F172A"/>
          <w:sz w:val="22"/>
          <w:szCs w:val="22"/>
        </w:rPr>
        <w:t xml:space="preserve">Production de vidéos éducatives et conseils d'orientation</w:t>
      </w:r>
    </w:p>
    <w:p>
      <w:pPr>
        <w:pStyle w:val="ListParagraph"/>
        <w:numPr>
          <w:ilvl w:val="0"/>
          <w:numId w:val="2"/>
        </w:numPr>
        <w:spacing w:after="60" w:before="60"/>
      </w:pPr>
      <w:r>
        <w:rPr>
          <w:rFonts w:ascii="Calibri" w:cs="Calibri" w:eastAsia="Calibri" w:hAnsi="Calibri"/>
          <w:color w:val="0F172A"/>
          <w:sz w:val="22"/>
          <w:szCs w:val="22"/>
        </w:rPr>
        <w:t xml:space="preserve">Interventions et présentations dans les établissements scolaires</w:t>
      </w:r>
    </w:p>
    <w:p>
      <w:pPr>
        <w:pStyle w:val="ListParagraph"/>
        <w:numPr>
          <w:ilvl w:val="0"/>
          <w:numId w:val="2"/>
        </w:numPr>
        <w:spacing w:after="60" w:before="60"/>
      </w:pPr>
      <w:r>
        <w:rPr>
          <w:rFonts w:ascii="Calibri" w:cs="Calibri" w:eastAsia="Calibri" w:hAnsi="Calibri"/>
          <w:color w:val="0F172A"/>
          <w:sz w:val="22"/>
          <w:szCs w:val="22"/>
        </w:rPr>
        <w:t xml:space="preserve">Partenariats avec influenceurs éducatifs et communautés étudiantes</w:t>
      </w:r>
    </w:p>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VIII. INVESTISSEMENT &amp; FINANCEMENT</w:t>
      </w:r>
    </w:p>
    <w:p>
      <w:pPr>
        <w:pStyle w:val="Heading2"/>
        <w:spacing w:after="120" w:before="240"/>
      </w:pPr>
      <w:r>
        <w:rPr>
          <w:rFonts w:ascii="Calibri" w:cs="Calibri" w:eastAsia="Calibri" w:hAnsi="Calibri"/>
          <w:b/>
          <w:bCs/>
          <w:color w:val="0D9488"/>
          <w:sz w:val="26"/>
          <w:szCs w:val="26"/>
        </w:rPr>
        <w:t xml:space="preserve">Coût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2880"/>
      </w:tblGrid>
      <w:tr>
        <w:tc>
          <w:tcPr>
            <w:tcW w:type="dxa" w:w="648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r>
              <w:rPr>
                <w:rFonts w:ascii="Calibri" w:cs="Calibri" w:eastAsia="Calibri" w:hAnsi="Calibri"/>
                <w:b/>
                <w:bCs/>
                <w:color w:val="FFFFFF"/>
                <w:sz w:val="22"/>
                <w:szCs w:val="22"/>
              </w:rPr>
              <w:t xml:space="preserve">Poste de dépense</w:t>
            </w:r>
          </w:p>
        </w:tc>
        <w:tc>
          <w:tcPr>
            <w:tcW w:type="dxa" w:w="288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pPr>
              <w:jc w:val="right"/>
            </w:pPr>
            <w:r>
              <w:rPr>
                <w:rFonts w:ascii="Calibri" w:cs="Calibri" w:eastAsia="Calibri" w:hAnsi="Calibri"/>
                <w:b/>
                <w:bCs/>
                <w:color w:val="FFFFFF"/>
                <w:sz w:val="22"/>
                <w:szCs w:val="22"/>
              </w:rPr>
              <w:t xml:space="preserve">Montant</w:t>
            </w:r>
          </w:p>
        </w:tc>
      </w:tr>
      <w:tr>
        <w:tc>
          <w:tcPr>
            <w:tcW w:type="dxa" w:w="5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color w:val="0F172A"/>
                <w:sz w:val="22"/>
                <w:szCs w:val="22"/>
              </w:rPr>
              <w:t xml:space="preserve">Développement + Conseiller d'orientation</w:t>
            </w:r>
          </w:p>
        </w:tc>
        <w:tc>
          <w:tcPr>
            <w:tcW w:type="dxa" w:w="39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right"/>
            </w:pPr>
            <w:r>
              <w:rPr>
                <w:rFonts w:ascii="Calibri" w:cs="Calibri" w:eastAsia="Calibri" w:hAnsi="Calibri"/>
                <w:b/>
                <w:bCs/>
                <w:color w:val="0D9488"/>
                <w:sz w:val="22"/>
                <w:szCs w:val="22"/>
              </w:rPr>
              <w:t xml:space="preserve">400 000 FCFA</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Hébergement serveur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libri" w:cs="Calibri" w:eastAsia="Calibri" w:hAnsi="Calibri"/>
                <w:b/>
                <w:bCs/>
                <w:color w:val="0D9488"/>
                <w:sz w:val="22"/>
                <w:szCs w:val="22"/>
              </w:rPr>
              <w:t xml:space="preserve">20 000 FCFA</w:t>
            </w:r>
          </w:p>
        </w:tc>
      </w:tr>
      <w:tr>
        <w:tc>
          <w:tcPr>
            <w:tcW w:type="dxa" w:w="5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color w:val="0F172A"/>
                <w:sz w:val="22"/>
                <w:szCs w:val="22"/>
              </w:rPr>
              <w:t xml:space="preserve">Marketing &amp; communication</w:t>
            </w:r>
          </w:p>
        </w:tc>
        <w:tc>
          <w:tcPr>
            <w:tcW w:type="dxa" w:w="39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right"/>
            </w:pPr>
            <w:r>
              <w:rPr>
                <w:rFonts w:ascii="Calibri" w:cs="Calibri" w:eastAsia="Calibri" w:hAnsi="Calibri"/>
                <w:b/>
                <w:bCs/>
                <w:color w:val="0D9488"/>
                <w:sz w:val="22"/>
                <w:szCs w:val="22"/>
              </w:rPr>
              <w:t xml:space="preserve">500 000 FCFA</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F172A"/>
                <w:sz w:val="22"/>
                <w:szCs w:val="22"/>
              </w:rPr>
              <w:t xml:space="preserve">Déplacements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Calibri" w:cs="Calibri" w:eastAsia="Calibri" w:hAnsi="Calibri"/>
                <w:b/>
                <w:bCs/>
                <w:color w:val="0D9488"/>
                <w:sz w:val="22"/>
                <w:szCs w:val="22"/>
              </w:rPr>
              <w:t xml:space="preserve">80 000 FCFA</w:t>
            </w:r>
          </w:p>
        </w:tc>
      </w:tr>
      <w:tr>
        <w:tc>
          <w:tcPr>
            <w:tcW w:type="dxa" w:w="5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color w:val="0F172A"/>
                <w:sz w:val="22"/>
                <w:szCs w:val="22"/>
              </w:rPr>
              <w:t xml:space="preserve">Imprévus</w:t>
            </w:r>
          </w:p>
        </w:tc>
        <w:tc>
          <w:tcPr>
            <w:tcW w:type="dxa" w:w="39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pPr>
              <w:jc w:val="right"/>
            </w:pPr>
            <w:r>
              <w:rPr>
                <w:rFonts w:ascii="Calibri" w:cs="Calibri" w:eastAsia="Calibri" w:hAnsi="Calibri"/>
                <w:b/>
                <w:bCs/>
                <w:color w:val="0D9488"/>
                <w:sz w:val="22"/>
                <w:szCs w:val="22"/>
              </w:rPr>
              <w:t xml:space="preserve">50 000 FCFA</w:t>
            </w:r>
          </w:p>
        </w:tc>
      </w:tr>
      <w:tr>
        <w:tc>
          <w:tcPr>
            <w:tcW w:type="dxa" w:w="648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r>
              <w:rPr>
                <w:rFonts w:ascii="Calibri" w:cs="Calibri" w:eastAsia="Calibri" w:hAnsi="Calibri"/>
                <w:b/>
                <w:bCs/>
                <w:color w:val="FFFFFF"/>
                <w:sz w:val="22"/>
                <w:szCs w:val="22"/>
              </w:rPr>
              <w:t xml:space="preserve">TOTAL</w:t>
            </w:r>
          </w:p>
        </w:tc>
        <w:tc>
          <w:tcPr>
            <w:tcW w:type="dxa" w:w="288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pPr>
              <w:jc w:val="right"/>
            </w:pPr>
            <w:r>
              <w:rPr>
                <w:rFonts w:ascii="Calibri" w:cs="Calibri" w:eastAsia="Calibri" w:hAnsi="Calibri"/>
                <w:b/>
                <w:bCs/>
                <w:color w:val="FEF3C7"/>
                <w:sz w:val="22"/>
                <w:szCs w:val="22"/>
              </w:rPr>
              <w:t xml:space="preserve">1 050 000 FCFA</w:t>
            </w:r>
          </w:p>
        </w:tc>
      </w:tr>
    </w:tbl>
    <w:p>
      <w:r>
        <w:rPr>
          <w:sz w:val="22"/>
          <w:szCs w:val="22"/>
        </w:rPr>
        <w:t xml:space="preserve"/>
      </w:r>
    </w:p>
    <w:p>
      <w:pPr>
        <w:pStyle w:val="Heading2"/>
        <w:spacing w:after="120" w:before="240"/>
      </w:pPr>
      <w:r>
        <w:rPr>
          <w:rFonts w:ascii="Calibri" w:cs="Calibri" w:eastAsia="Calibri" w:hAnsi="Calibri"/>
          <w:b/>
          <w:bCs/>
          <w:color w:val="0D9488"/>
          <w:sz w:val="26"/>
          <w:szCs w:val="26"/>
        </w:rPr>
        <w:t xml:space="preserve">Schéma de financement</w:t>
      </w:r>
    </w:p>
    <w:p>
      <w:pPr>
        <w:pStyle w:val="ListParagraph"/>
        <w:numPr>
          <w:ilvl w:val="0"/>
          <w:numId w:val="2"/>
        </w:numPr>
        <w:spacing w:after="60" w:before="60"/>
      </w:pPr>
      <w:r>
        <w:rPr>
          <w:rFonts w:ascii="Calibri" w:cs="Calibri" w:eastAsia="Calibri" w:hAnsi="Calibri"/>
          <w:color w:val="0F172A"/>
          <w:sz w:val="22"/>
          <w:szCs w:val="22"/>
        </w:rPr>
        <w:t xml:space="preserve">Apport personnel : 50 000 FCFA (4,76%)</w:t>
      </w:r>
    </w:p>
    <w:p>
      <w:pPr>
        <w:pStyle w:val="ListParagraph"/>
        <w:numPr>
          <w:ilvl w:val="0"/>
          <w:numId w:val="2"/>
        </w:numPr>
        <w:spacing w:after="60" w:before="60"/>
      </w:pPr>
      <w:r>
        <w:rPr>
          <w:rFonts w:ascii="Calibri" w:cs="Calibri" w:eastAsia="Calibri" w:hAnsi="Calibri"/>
          <w:color w:val="0F172A"/>
          <w:sz w:val="22"/>
          <w:szCs w:val="22"/>
        </w:rPr>
        <w:t xml:space="preserve">Financement demandé : 1 000 000 FCFA (95,24%)</w:t>
      </w:r>
    </w:p>
    <w:p>
      <w:r>
        <w:rPr>
          <w:sz w:val="22"/>
          <w:szCs w:val="22"/>
        </w:rPr>
        <w:t xml:space="preserve"/>
      </w:r>
    </w:p>
    <w:p>
      <w:pPr>
        <w:pStyle w:val="Heading2"/>
        <w:spacing w:after="120" w:before="240"/>
      </w:pPr>
      <w:r>
        <w:rPr>
          <w:rFonts w:ascii="Calibri" w:cs="Calibri" w:eastAsia="Calibri" w:hAnsi="Calibri"/>
          <w:b/>
          <w:bCs/>
          <w:color w:val="0D9488"/>
          <w:sz w:val="26"/>
          <w:szCs w:val="26"/>
        </w:rPr>
        <w:t xml:space="preserve">Plan de remboursement — Prêt 5 ans, taux 10%, amortissement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800"/>
        <w:gridCol w:w="1980"/>
        <w:gridCol w:w="1980"/>
      </w:tblGrid>
      <w:tr>
        <w:tc>
          <w:tcPr>
            <w:tcW w:type="dxa" w:w="1440"/>
            <w:tcBorders>
              <w:top w:val="single" w:color="CCCCCC" w:sz="1"/>
              <w:left w:val="single" w:color="CCCCCC" w:sz="1"/>
              <w:bottom w:val="single" w:color="CCCCCC" w:sz="1"/>
              <w:right w:val="single" w:color="CCCCCC" w:sz="1"/>
            </w:tcBorders>
            <w:shd w:fill="1B2B5E"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Année</w:t>
            </w:r>
          </w:p>
        </w:tc>
        <w:tc>
          <w:tcPr>
            <w:tcW w:type="dxa" w:w="2160"/>
            <w:tcBorders>
              <w:top w:val="single" w:color="CCCCCC" w:sz="1"/>
              <w:left w:val="single" w:color="CCCCCC" w:sz="1"/>
              <w:bottom w:val="single" w:color="CCCCCC" w:sz="1"/>
              <w:right w:val="single" w:color="CCCCCC" w:sz="1"/>
            </w:tcBorders>
            <w:shd w:fill="1B2B5E"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Capital</w:t>
            </w:r>
          </w:p>
        </w:tc>
        <w:tc>
          <w:tcPr>
            <w:tcW w:type="dxa" w:w="1800"/>
            <w:tcBorders>
              <w:top w:val="single" w:color="CCCCCC" w:sz="1"/>
              <w:left w:val="single" w:color="CCCCCC" w:sz="1"/>
              <w:bottom w:val="single" w:color="CCCCCC" w:sz="1"/>
              <w:right w:val="single" w:color="CCCCCC" w:sz="1"/>
            </w:tcBorders>
            <w:shd w:fill="1B2B5E"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Intérêts</w:t>
            </w:r>
          </w:p>
        </w:tc>
        <w:tc>
          <w:tcPr>
            <w:tcW w:type="dxa" w:w="1980"/>
            <w:tcBorders>
              <w:top w:val="single" w:color="CCCCCC" w:sz="1"/>
              <w:left w:val="single" w:color="CCCCCC" w:sz="1"/>
              <w:bottom w:val="single" w:color="CCCCCC" w:sz="1"/>
              <w:right w:val="single" w:color="CCCCCC" w:sz="1"/>
            </w:tcBorders>
            <w:shd w:fill="1B2B5E"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Amortissement</w:t>
            </w:r>
          </w:p>
        </w:tc>
        <w:tc>
          <w:tcPr>
            <w:tcW w:type="dxa" w:w="1980"/>
            <w:tcBorders>
              <w:top w:val="single" w:color="CCCCCC" w:sz="1"/>
              <w:left w:val="single" w:color="CCCCCC" w:sz="1"/>
              <w:bottom w:val="single" w:color="CCCCCC" w:sz="1"/>
              <w:right w:val="single" w:color="CCCCCC" w:sz="1"/>
            </w:tcBorders>
            <w:shd w:fill="1B2B5E" w:val="clear"/>
            <w:tcMar>
              <w:top w:type="dxa" w:w="80"/>
              <w:left w:type="dxa" w:w="80"/>
              <w:bottom w:type="dxa" w:w="80"/>
              <w:right w:type="dxa" w:w="80"/>
            </w:tcMar>
          </w:tcPr>
          <w:p>
            <w:pPr>
              <w:jc w:val="center"/>
            </w:pPr>
            <w:r>
              <w:rPr>
                <w:rFonts w:ascii="Calibri" w:cs="Calibri" w:eastAsia="Calibri" w:hAnsi="Calibri"/>
                <w:b/>
                <w:bCs/>
                <w:color w:val="FFFFFF"/>
                <w:sz w:val="20"/>
                <w:szCs w:val="20"/>
              </w:rPr>
              <w:t xml:space="preserve">Annuité</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2026</w:t>
            </w:r>
          </w:p>
        </w:tc>
        <w:tc>
          <w:tcPr>
            <w:tcW w:type="dxa" w:w="216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1 000 000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100 000</w:t>
            </w:r>
          </w:p>
        </w:tc>
        <w:tc>
          <w:tcPr>
            <w:tcW w:type="dxa" w:w="198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200 000</w:t>
            </w:r>
          </w:p>
        </w:tc>
        <w:tc>
          <w:tcPr>
            <w:tcW w:type="dxa" w:w="198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bCs/>
                <w:color w:val="0D9488"/>
                <w:sz w:val="20"/>
                <w:szCs w:val="20"/>
              </w:rPr>
              <w:t xml:space="preserve">300 000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2027</w:t>
            </w:r>
          </w:p>
        </w:tc>
        <w:tc>
          <w:tcPr>
            <w:tcW w:type="dxa" w:w="2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800 000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80 000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200 000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bCs/>
                <w:color w:val="0D9488"/>
                <w:sz w:val="20"/>
                <w:szCs w:val="20"/>
              </w:rPr>
              <w:t xml:space="preserve">280 000</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2028</w:t>
            </w:r>
          </w:p>
        </w:tc>
        <w:tc>
          <w:tcPr>
            <w:tcW w:type="dxa" w:w="216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600 000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60 000</w:t>
            </w:r>
          </w:p>
        </w:tc>
        <w:tc>
          <w:tcPr>
            <w:tcW w:type="dxa" w:w="198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200 000</w:t>
            </w:r>
          </w:p>
        </w:tc>
        <w:tc>
          <w:tcPr>
            <w:tcW w:type="dxa" w:w="198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bCs/>
                <w:color w:val="0D9488"/>
                <w:sz w:val="20"/>
                <w:szCs w:val="20"/>
              </w:rPr>
              <w:t xml:space="preserve">260 000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2029</w:t>
            </w:r>
          </w:p>
        </w:tc>
        <w:tc>
          <w:tcPr>
            <w:tcW w:type="dxa" w:w="2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400 000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40 000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200 000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Calibri" w:cs="Calibri" w:eastAsia="Calibri" w:hAnsi="Calibri"/>
                <w:b/>
                <w:bCs/>
                <w:color w:val="0D9488"/>
                <w:sz w:val="20"/>
                <w:szCs w:val="20"/>
              </w:rPr>
              <w:t xml:space="preserve">240 000</w:t>
            </w:r>
          </w:p>
        </w:tc>
      </w:tr>
      <w:tr>
        <w:tc>
          <w:tcPr>
            <w:tcW w:type="dxa" w:w="144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2030</w:t>
            </w:r>
          </w:p>
        </w:tc>
        <w:tc>
          <w:tcPr>
            <w:tcW w:type="dxa" w:w="216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200 000</w:t>
            </w:r>
          </w:p>
        </w:tc>
        <w:tc>
          <w:tcPr>
            <w:tcW w:type="dxa" w:w="180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20 000</w:t>
            </w:r>
          </w:p>
        </w:tc>
        <w:tc>
          <w:tcPr>
            <w:tcW w:type="dxa" w:w="198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val="false"/>
                <w:bCs w:val="false"/>
                <w:color w:val="0F172A"/>
                <w:sz w:val="20"/>
                <w:szCs w:val="20"/>
              </w:rPr>
              <w:t xml:space="preserve">200 000</w:t>
            </w:r>
          </w:p>
        </w:tc>
        <w:tc>
          <w:tcPr>
            <w:tcW w:type="dxa" w:w="198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Calibri" w:cs="Calibri" w:eastAsia="Calibri" w:hAnsi="Calibri"/>
                <w:b/>
                <w:bCs/>
                <w:color w:val="0D9488"/>
                <w:sz w:val="20"/>
                <w:szCs w:val="20"/>
              </w:rPr>
              <w:t xml:space="preserve">220 000</w:t>
            </w:r>
          </w:p>
        </w:tc>
      </w:tr>
    </w:tbl>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IX. 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r>
              <w:rPr>
                <w:rFonts w:ascii="Calibri" w:cs="Calibri" w:eastAsia="Calibri" w:hAnsi="Calibri"/>
                <w:b/>
                <w:bCs/>
                <w:color w:val="FFFFFF"/>
                <w:sz w:val="22"/>
                <w:szCs w:val="22"/>
              </w:rPr>
              <w:t xml:space="preserve">Membre</w:t>
            </w:r>
          </w:p>
        </w:tc>
        <w:tc>
          <w:tcPr>
            <w:tcW w:type="dxa" w:w="5400"/>
            <w:tcBorders>
              <w:top w:val="single" w:color="CCCCCC" w:sz="1"/>
              <w:left w:val="single" w:color="CCCCCC" w:sz="1"/>
              <w:bottom w:val="single" w:color="CCCCCC" w:sz="1"/>
              <w:right w:val="single" w:color="CCCCCC" w:sz="1"/>
            </w:tcBorders>
            <w:shd w:fill="1B2B5E" w:val="clear"/>
            <w:tcMar>
              <w:top w:type="dxa" w:w="80"/>
              <w:left w:type="dxa" w:w="120"/>
              <w:bottom w:type="dxa" w:w="80"/>
              <w:right w:type="dxa" w:w="120"/>
            </w:tcMar>
          </w:tcPr>
          <w:p>
            <w:r>
              <w:rPr>
                <w:rFonts w:ascii="Calibri" w:cs="Calibri" w:eastAsia="Calibri" w:hAnsi="Calibri"/>
                <w:b/>
                <w:bCs/>
                <w:color w:val="FFFFFF"/>
                <w:sz w:val="22"/>
                <w:szCs w:val="22"/>
              </w:rPr>
              <w:t xml:space="preserve">Rôle</w:t>
            </w:r>
          </w:p>
        </w:tc>
      </w:tr>
      <w:tr>
        <w:tc>
          <w:tcPr>
            <w:tcW w:type="dxa" w:w="39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b/>
                <w:bCs/>
                <w:color w:val="0F172A"/>
                <w:sz w:val="22"/>
                <w:szCs w:val="22"/>
              </w:rPr>
              <w:t xml:space="preserve">Laurent MASSOYA</w:t>
            </w:r>
          </w:p>
        </w:tc>
        <w:tc>
          <w:tcPr>
            <w:tcW w:type="dxa" w:w="5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i/>
                <w:iCs/>
                <w:color w:val="64748B"/>
                <w:sz w:val="22"/>
                <w:szCs w:val="22"/>
              </w:rPr>
              <w:t xml:space="preserve">Co-fondateur, L2 SID</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F172A"/>
                <w:sz w:val="22"/>
                <w:szCs w:val="22"/>
              </w:rPr>
              <w:t xml:space="preserve">Ndeye Awa NIANE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64748B"/>
                <w:sz w:val="22"/>
                <w:szCs w:val="22"/>
              </w:rPr>
              <w:t xml:space="preserve">Co-fondatrice, L2 SID</w:t>
            </w:r>
          </w:p>
        </w:tc>
      </w:tr>
      <w:tr>
        <w:tc>
          <w:tcPr>
            <w:tcW w:type="dxa" w:w="39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b/>
                <w:bCs/>
                <w:color w:val="0F172A"/>
                <w:sz w:val="22"/>
                <w:szCs w:val="22"/>
              </w:rPr>
              <w:t xml:space="preserve">1 Développeur</w:t>
            </w:r>
          </w:p>
        </w:tc>
        <w:tc>
          <w:tcPr>
            <w:tcW w:type="dxa" w:w="5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i/>
                <w:iCs/>
                <w:color w:val="64748B"/>
                <w:sz w:val="22"/>
                <w:szCs w:val="22"/>
              </w:rPr>
              <w:t xml:space="preserve">Développement de la plateforme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F172A"/>
                <w:sz w:val="22"/>
                <w:szCs w:val="22"/>
              </w:rPr>
              <w:t xml:space="preserve">1 Responsable Marketing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64748B"/>
                <w:sz w:val="22"/>
                <w:szCs w:val="22"/>
              </w:rPr>
              <w:t xml:space="preserve">Communication &amp; publicité</w:t>
            </w:r>
          </w:p>
        </w:tc>
      </w:tr>
      <w:tr>
        <w:tc>
          <w:tcPr>
            <w:tcW w:type="dxa" w:w="396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b/>
                <w:bCs/>
                <w:color w:val="0F172A"/>
                <w:sz w:val="22"/>
                <w:szCs w:val="22"/>
              </w:rPr>
              <w:t xml:space="preserve">1 Conseiller d'orientation</w:t>
            </w:r>
          </w:p>
        </w:tc>
        <w:tc>
          <w:tcPr>
            <w:tcW w:type="dxa" w:w="5400"/>
            <w:tcBorders>
              <w:top w:val="single" w:color="CCCCCC" w:sz="1"/>
              <w:left w:val="single" w:color="CCCCCC" w:sz="1"/>
              <w:bottom w:val="single" w:color="CCCCCC" w:sz="1"/>
              <w:right w:val="single" w:color="CCCCCC" w:sz="1"/>
            </w:tcBorders>
            <w:shd w:fill="CCFBF1" w:val="clear"/>
            <w:tcMar>
              <w:top w:type="dxa" w:w="80"/>
              <w:left w:type="dxa" w:w="120"/>
              <w:bottom w:type="dxa" w:w="80"/>
              <w:right w:type="dxa" w:w="120"/>
            </w:tcMar>
          </w:tcPr>
          <w:p>
            <w:r>
              <w:rPr>
                <w:rFonts w:ascii="Calibri" w:cs="Calibri" w:eastAsia="Calibri" w:hAnsi="Calibri"/>
                <w:i/>
                <w:iCs/>
                <w:color w:val="64748B"/>
                <w:sz w:val="22"/>
                <w:szCs w:val="22"/>
              </w:rPr>
              <w:t xml:space="preserve">Algorithme &amp; tests RIASEC</w:t>
            </w:r>
          </w:p>
        </w:tc>
      </w:tr>
    </w:tbl>
    <w:p>
      <w:r>
        <w:rPr>
          <w:sz w:val="22"/>
          <w:szCs w:val="22"/>
        </w:rPr>
        <w:t xml:space="preserve"/>
      </w:r>
    </w:p>
    <w:p>
      <w:pPr>
        <w:pStyle w:val="Heading2"/>
        <w:spacing w:after="120" w:before="240"/>
      </w:pPr>
      <w:r>
        <w:rPr>
          <w:rFonts w:ascii="Calibri" w:cs="Calibri" w:eastAsia="Calibri" w:hAnsi="Calibri"/>
          <w:b/>
          <w:bCs/>
          <w:color w:val="0D9488"/>
          <w:sz w:val="26"/>
          <w:szCs w:val="26"/>
        </w:rPr>
        <w:t xml:space="preserve">Sources de revenus</w:t>
      </w:r>
    </w:p>
    <w:p>
      <w:pPr>
        <w:pStyle w:val="ListParagraph"/>
        <w:numPr>
          <w:ilvl w:val="0"/>
          <w:numId w:val="2"/>
        </w:numPr>
        <w:spacing w:after="60" w:before="60"/>
      </w:pPr>
      <w:r>
        <w:rPr>
          <w:rFonts w:ascii="Calibri" w:cs="Calibri" w:eastAsia="Calibri" w:hAnsi="Calibri"/>
          <w:color w:val="0F172A"/>
          <w:sz w:val="22"/>
          <w:szCs w:val="22"/>
        </w:rPr>
        <w:t xml:space="preserve">Offre Premium : 10 000 – 150 000 FCFA/an</w:t>
      </w:r>
    </w:p>
    <w:p>
      <w:pPr>
        <w:pStyle w:val="ListParagraph"/>
        <w:numPr>
          <w:ilvl w:val="0"/>
          <w:numId w:val="2"/>
        </w:numPr>
        <w:spacing w:after="60" w:before="60"/>
      </w:pPr>
      <w:r>
        <w:rPr>
          <w:rFonts w:ascii="Calibri" w:cs="Calibri" w:eastAsia="Calibri" w:hAnsi="Calibri"/>
          <w:color w:val="0F172A"/>
          <w:sz w:val="22"/>
          <w:szCs w:val="22"/>
        </w:rPr>
        <w:t xml:space="preserve">Partenariats avec écoles &amp; universités</w:t>
      </w:r>
    </w:p>
    <w:p>
      <w:pPr>
        <w:pStyle w:val="ListParagraph"/>
        <w:numPr>
          <w:ilvl w:val="0"/>
          <w:numId w:val="2"/>
        </w:numPr>
        <w:spacing w:after="60" w:before="60"/>
      </w:pPr>
      <w:r>
        <w:rPr>
          <w:rFonts w:ascii="Calibri" w:cs="Calibri" w:eastAsia="Calibri" w:hAnsi="Calibri"/>
          <w:color w:val="0F172A"/>
          <w:sz w:val="22"/>
          <w:szCs w:val="22"/>
        </w:rPr>
        <w:t xml:space="preserve">Publicités éducatives ciblées</w:t>
      </w:r>
    </w:p>
    <w:p>
      <w:pPr>
        <w:pStyle w:val="ListParagraph"/>
        <w:numPr>
          <w:ilvl w:val="0"/>
          <w:numId w:val="2"/>
        </w:numPr>
        <w:spacing w:after="60" w:before="60"/>
      </w:pPr>
      <w:r>
        <w:rPr>
          <w:rFonts w:ascii="Calibri" w:cs="Calibri" w:eastAsia="Calibri" w:hAnsi="Calibri"/>
          <w:color w:val="0F172A"/>
          <w:sz w:val="22"/>
          <w:szCs w:val="22"/>
        </w:rPr>
        <w:t xml:space="preserve">Commission sur les séances de coaching (environ 10% par session)</w:t>
      </w:r>
    </w:p>
    <w:p>
      <w:pPr>
        <w:pBdr>
          <w:bottom w:val="single" w:color="0D9488" w:sz="8" w:space="1"/>
        </w:pBdr>
        <w:spacing w:after="200" w:before="200"/>
      </w:pPr>
    </w:p>
    <w:p>
      <w:pPr>
        <w:pStyle w:val="Heading1"/>
        <w:spacing w:after="160" w:before="360"/>
      </w:pPr>
      <w:r>
        <w:rPr>
          <w:rFonts w:ascii="Calibri" w:cs="Calibri" w:eastAsia="Calibri" w:hAnsi="Calibri"/>
          <w:b/>
          <w:bCs/>
          <w:color w:val="1B2B5E"/>
          <w:sz w:val="32"/>
          <w:szCs w:val="32"/>
        </w:rPr>
        <w:t xml:space="preserve">CONCLUSION</w:t>
      </w:r>
    </w:p>
    <w:p>
      <w:pPr>
        <w:pBdr>
          <w:left w:val="single" w:color="0D9488" w:sz="20" w:space="8"/>
        </w:pBdr>
        <w:shd w:fill="CCFBF1" w:val="clear"/>
        <w:spacing w:after="160" w:before="160"/>
      </w:pPr>
      <w:r>
        <w:rPr>
          <w:rFonts w:ascii="Calibri" w:cs="Calibri" w:eastAsia="Calibri" w:hAnsi="Calibri"/>
          <w:b/>
          <w:bCs/>
          <w:i/>
          <w:iCs/>
          <w:color w:val="0D9488"/>
          <w:sz w:val="22"/>
          <w:szCs w:val="22"/>
        </w:rPr>
        <w:t xml:space="preserve">NextStep — Une solution stratégique pour réduire les erreurs d'orientation et développer le capital humain en Afrique. En proposant un outil digital accessible, scientifiquement fondé et adapté au contexte sénégalais, NextStep ambitionne de devenir la référence de l'orientation pour les jeunes africains.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6" w:space="1"/>
      </w:pBdr>
      <w:spacing w:before="80"/>
      <w:jc w:val="center"/>
    </w:pPr>
    <w:r>
      <w:rPr>
        <w:rFonts w:ascii="Calibri" w:cs="Calibri" w:eastAsia="Calibri" w:hAnsi="Calibri"/>
        <w:color w:val="64748B"/>
        <w:sz w:val="18"/>
        <w:szCs w:val="18"/>
      </w:rPr>
      <w:t xml:space="preserve">Laurent MASSOYA &amp; Ndeye Awa NIANE  |  L2 SID  |  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1"/>
      </w:pBdr>
      <w:spacing w:after="100"/>
    </w:pPr>
    <w:r>
      <w:rPr>
        <w:rFonts w:ascii="Calibri" w:cs="Calibri" w:eastAsia="Calibri" w:hAnsi="Calibri"/>
        <w:b/>
        <w:bCs/>
        <w:color w:val="1B2B5E"/>
        <w:sz w:val="20"/>
        <w:szCs w:val="20"/>
      </w:rPr>
      <w:t xml:space="preserve">NEXTSTEP</w:t>
    </w:r>
    <w:r>
      <w:rPr>
        <w:rFonts w:ascii="Calibri" w:cs="Calibri" w:eastAsia="Calibri" w:hAnsi="Calibri"/>
        <w:color w:val="64748B"/>
        <w:sz w:val="18"/>
        <w:szCs w:val="18"/>
      </w:rPr>
      <w:t xml:space="preserve">  |  Cahier de Charge — Orientation Scolaire &amp; Professionnelle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2B5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2026-05-21T11:46:03.228Z</dcterms:created>
  <dcterms:modified xsi:type="dcterms:W3CDTF">2026-05-21T11:46:03.229Z</dcterms:modified>
</cp:coreProperties>
</file>

<file path=docProps/custom.xml><?xml version="1.0" encoding="utf-8"?>
<Properties xmlns="http://schemas.openxmlformats.org/officeDocument/2006/custom-properties" xmlns:vt="http://schemas.openxmlformats.org/officeDocument/2006/docPropsVTypes"/>
</file>