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widowControl/>
        <w:jc w:val="left"/>
      </w:pPr>
      <w:r>
        <w:rPr>
          <w:color w:val="000000"/>
        </w:rPr>
        <w:t>Global Aviation Disruption Assessment 2026</w:t>
      </w:r>
    </w:p>
    <w:p>
      <w:pPr>
        <w:pStyle w:val="Subtitle"/>
        <w:keepNext/>
        <w:widowControl/>
        <w:jc w:val="left"/>
      </w:pPr>
      <w:r>
        <w:rPr>
          <w:color w:val="000000"/>
        </w:rPr>
        <w:t>Business requirements and analytical framework</w:t>
      </w:r>
    </w:p>
    <w:p>
      <w:pPr>
        <w:widowControl/>
        <w:spacing w:before="0" w:after="60"/>
        <w:jc w:val="left"/>
      </w:pPr>
    </w:p>
    <w:p>
      <w:pPr>
        <w:widowControl/>
        <w:jc w:val="left"/>
      </w:pPr>
      <w:r>
        <w:rPr>
          <w:rFonts w:ascii="Aptos" w:hAnsi="Aptos"/>
          <w:color w:val="000000"/>
          <w:sz w:val="22"/>
        </w:rPr>
        <w:t>Static simulated portfolio case study using Python, PostgreSQL, SQL, and Power BI</w:t>
      </w:r>
    </w:p>
    <w:p>
      <w:pPr>
        <w:widowControl/>
        <w:spacing w:before="0" w:after="60"/>
        <w:jc w:val="left"/>
      </w:pP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cantSplit/>
        </w:trPr>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Field</w:t>
            </w:r>
          </w:p>
        </w:tc>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Value</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Project</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Global Aviation Disruption Assessment 2026</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Document status</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Final documentation baseline; report acceptance recorded separately</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Version</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center"/>
            </w:pPr>
            <w:r>
              <w:rPr>
                <w:rFonts w:ascii="Aptos" w:hAnsi="Aptos"/>
                <w:b w:val="0"/>
                <w:color w:val="000000"/>
                <w:sz w:val="20"/>
              </w:rPr>
              <w:t>1.3</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Document date</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2 October 2026</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Authors</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Dhaerya Nauni and Honey Aggarwal</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Data classification</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Static simulated and modeled portfolio data</w:t>
            </w:r>
          </w:p>
        </w:tc>
      </w:tr>
    </w:tbl>
    <w:p>
      <w:pPr>
        <w:widowControl/>
        <w:spacing w:after="60" w:before="0"/>
        <w:jc w:val="left"/>
      </w:pPr>
    </w:p>
    <w:p>
      <w:pPr>
        <w:widowControl/>
        <w:spacing w:before="0" w:after="60"/>
        <w:jc w:val="left"/>
      </w:pPr>
    </w:p>
    <w:p>
      <w:pPr>
        <w:widowControl/>
        <w:jc w:val="left"/>
      </w:pPr>
      <w:r>
        <w:rPr>
          <w:rFonts w:ascii="Aptos" w:hAnsi="Aptos"/>
          <w:i/>
          <w:color w:val="595959"/>
          <w:sz w:val="19"/>
        </w:rPr>
        <w:t>This project is not affiliated with, commissioned by, endorsed by, or conducted on behalf of ICAO, an airline, an airport, a government, a civil aviation authority, or a data provider.</w:t>
      </w:r>
    </w:p>
    <w:p>
      <w:pPr>
        <w:widowControl/>
        <w:jc w:val="left"/>
      </w:pPr>
      <w:r>
        <w:br w:type="page"/>
      </w:r>
    </w:p>
    <w:p>
      <w:pPr>
        <w:pStyle w:val="Heading1"/>
        <w:keepNext/>
        <w:widowControl/>
        <w:jc w:val="left"/>
      </w:pPr>
      <w:r>
        <w:rPr>
          <w:color w:val="000000"/>
        </w:rPr>
        <w:t>Document control</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cantSplit/>
        </w:trPr>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Item</w:t>
            </w:r>
          </w:p>
        </w:tc>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Definition</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Purpose</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Define the problem, scope, business questions, metric populations, requirements and measurable acceptance criteria.</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Primary audience</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BI and analytics hiring reviewers, project contributors, and technical reviewers who need the approved analytical intent.</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Authority</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This document governs business and analytical requirements. The technical document governs implementation.</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Standard basis</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Structure adapted from ISO/IEC/IEEE 29148:2018 concepts. No certification or formal conformance is claimed.</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Source snapshot</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Seven Kaggle files downloaded in the first week of August 2026.</w:t>
            </w:r>
          </w:p>
        </w:tc>
      </w:tr>
    </w:tbl>
    <w:p>
      <w:pPr>
        <w:widowControl/>
        <w:spacing w:after="60" w:before="0"/>
        <w:jc w:val="left"/>
      </w:pPr>
    </w:p>
    <w:p>
      <w:pPr>
        <w:widowControl/>
        <w:spacing w:before="80" w:after="60"/>
        <w:jc w:val="left"/>
      </w:pPr>
      <w:r>
        <w:rPr>
          <w:rFonts w:ascii="Aptos" w:hAnsi="Aptos"/>
          <w:b/>
          <w:color w:val="000000"/>
          <w:sz w:val="18"/>
        </w:rPr>
        <w:t>Revision history</w:t>
      </w:r>
    </w:p>
    <w:tbl>
      <w:tblPr>
        <w:tblStyle w:val="TableGrid"/>
        <w:jc w:val="center"/>
        <w:tblLayout w:type="fixed"/>
        <w:tblLook w:firstColumn="1" w:firstRow="1" w:lastColumn="0" w:lastRow="0" w:noHBand="0" w:noVBand="1" w:val="04A0"/>
        <w:tblW w:type="dxa" w:w="9500"/>
        <w:tblBorders>
          <w:top w:val="single" w:sz="4" w:color="D9D9D9"/>
          <w:left w:val="single" w:sz="4" w:color="D9D9D9"/>
          <w:bottom w:val="single" w:sz="4" w:color="D9D9D9"/>
          <w:right w:val="single" w:sz="4" w:color="D9D9D9"/>
          <w:insideH w:val="single" w:sz="4" w:color="D9D9D9"/>
          <w:insideV w:val="single" w:sz="4" w:color="D9D9D9"/>
        </w:tblBorders>
      </w:tblPr>
      <w:tblGrid>
        <w:gridCol w:w="803"/>
        <w:gridCol w:w="1721"/>
        <w:gridCol w:w="1550"/>
        <w:gridCol w:w="5450"/>
      </w:tblGrid>
      <w:tr>
        <w:trPr>
          <w:tblHeader w:val="true"/>
          <w:cantSplit/>
          <w:tblHeader/>
        </w:trPr>
        <w:tc>
          <w:tcPr>
            <w:tcW w:type="dxa" w:w="803"/>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tcPr>
          <w:p>
            <w:pPr>
              <w:keepNext/>
              <w:spacing w:after="60" w:before="0" w:line="252" w:lineRule="auto"/>
              <w:jc w:val="left"/>
            </w:pPr>
            <w:r>
              <w:rPr>
                <w:rFonts w:ascii="Aptos" w:hAnsi="Aptos"/>
                <w:b/>
                <w:color w:val="000000"/>
                <w:sz w:val="20"/>
              </w:rPr>
              <w:t>Version</w:t>
            </w:r>
          </w:p>
        </w:tc>
        <w:tc>
          <w:tcPr>
            <w:tcW w:type="dxa" w:w="172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tcPr>
          <w:p>
            <w:pPr>
              <w:keepNext/>
              <w:spacing w:after="60" w:before="0" w:line="252" w:lineRule="auto"/>
              <w:jc w:val="left"/>
            </w:pPr>
            <w:r>
              <w:rPr>
                <w:rFonts w:ascii="Aptos" w:hAnsi="Aptos"/>
                <w:b/>
                <w:color w:val="000000"/>
                <w:sz w:val="20"/>
              </w:rPr>
              <w:t>Date</w:t>
            </w:r>
          </w:p>
        </w:tc>
        <w:tc>
          <w:tcPr>
            <w:tcW w:type="dxa" w:w="1550"/>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tcPr>
          <w:p>
            <w:pPr>
              <w:keepNext/>
              <w:spacing w:after="60" w:before="0" w:line="252" w:lineRule="auto"/>
              <w:jc w:val="left"/>
            </w:pPr>
            <w:r>
              <w:rPr>
                <w:rFonts w:ascii="Aptos" w:hAnsi="Aptos"/>
                <w:b/>
                <w:color w:val="000000"/>
                <w:sz w:val="20"/>
              </w:rPr>
              <w:t>Status</w:t>
            </w:r>
          </w:p>
        </w:tc>
        <w:tc>
          <w:tcPr>
            <w:tcW w:type="dxa" w:w="5450"/>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tcPr>
          <w:p>
            <w:pPr>
              <w:keepNext/>
              <w:spacing w:after="60" w:before="0" w:line="252" w:lineRule="auto"/>
              <w:jc w:val="left"/>
            </w:pPr>
            <w:r>
              <w:rPr>
                <w:rFonts w:ascii="Aptos" w:hAnsi="Aptos"/>
                <w:b/>
                <w:color w:val="000000"/>
                <w:sz w:val="20"/>
              </w:rPr>
              <w:t>Change</w:t>
            </w:r>
          </w:p>
        </w:tc>
      </w:tr>
      <w:tr>
        <w:trPr>
          <w:cantSplit/>
        </w:trPr>
        <w:tc>
          <w:tcPr>
            <w:tcW w:type="dxa" w:w="803"/>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shd w:fill="FFFFFF"/>
          </w:tcPr>
          <w:p>
            <w:pPr>
              <w:keepNext w:val="0"/>
              <w:spacing w:after="60" w:line="252" w:lineRule="auto" w:before="0"/>
              <w:jc w:val="left"/>
            </w:pPr>
            <w:r>
              <w:rPr>
                <w:rFonts w:ascii="Aptos" w:hAnsi="Aptos"/>
                <w:b w:val="0"/>
                <w:color w:val="000000"/>
                <w:sz w:val="20"/>
              </w:rPr>
              <w:t>1.0</w:t>
            </w:r>
          </w:p>
        </w:tc>
        <w:tc>
          <w:tcPr>
            <w:tcW w:type="dxa" w:w="172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shd w:fill="FFFFFF"/>
          </w:tcPr>
          <w:p>
            <w:pPr>
              <w:keepNext w:val="0"/>
              <w:spacing w:after="60" w:line="252" w:lineRule="auto" w:before="0"/>
              <w:jc w:val="left"/>
            </w:pPr>
            <w:r>
              <w:rPr>
                <w:rFonts w:ascii="Aptos" w:hAnsi="Aptos"/>
                <w:b w:val="0"/>
                <w:color w:val="000000"/>
                <w:sz w:val="20"/>
              </w:rPr>
              <w:t>28 September 2026</w:t>
            </w:r>
          </w:p>
        </w:tc>
        <w:tc>
          <w:tcPr>
            <w:tcW w:type="dxa" w:w="1550"/>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shd w:fill="FFFFFF"/>
          </w:tcPr>
          <w:p>
            <w:pPr>
              <w:keepNext w:val="0"/>
              <w:spacing w:after="60" w:line="252" w:lineRule="auto" w:before="0"/>
              <w:jc w:val="center"/>
            </w:pPr>
            <w:r>
              <w:rPr>
                <w:rFonts w:ascii="Aptos" w:hAnsi="Aptos"/>
                <w:b w:val="0"/>
                <w:color w:val="000000"/>
                <w:sz w:val="20"/>
              </w:rPr>
              <w:t>Superseded</w:t>
            </w:r>
          </w:p>
        </w:tc>
        <w:tc>
          <w:tcPr>
            <w:tcW w:type="dxa" w:w="5450"/>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Borders>
              <w:top w:val="single" w:sz="4" w:color="D9D9D9"/>
              <w:left w:val="single" w:sz="4" w:color="D9D9D9"/>
              <w:bottom w:val="single" w:sz="4" w:color="D9D9D9"/>
              <w:right w:val="single" w:sz="4" w:color="D9D9D9"/>
            </w:tcBorders>
            <w:shd w:fill="FFFFFF"/>
          </w:tcPr>
          <w:p>
            <w:pPr>
              <w:keepNext w:val="0"/>
              <w:spacing w:after="60" w:line="252" w:lineRule="auto" w:before="0"/>
              <w:jc w:val="left"/>
            </w:pPr>
            <w:r>
              <w:rPr>
                <w:rFonts w:ascii="Aptos" w:hAnsi="Aptos"/>
                <w:b w:val="0"/>
                <w:color w:val="000000"/>
                <w:sz w:val="20"/>
              </w:rPr>
              <w:t>Separated business requirements from technical implementation and reconciled the source populations.</w:t>
            </w:r>
          </w:p>
        </w:tc>
      </w:tr>
      <w:tr>
        <w:trPr>
          <w:cantSplit/>
        </w:trPr>
        <w:tc>
          <w:tcPr>
            <w:tcW w:type="dxa" w:w="803"/>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1.1</w:t>
            </w:r>
          </w:p>
        </w:tc>
        <w:tc>
          <w:tcPr>
            <w:tcW w:type="dxa" w:w="1721"/>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1 October 2026</w:t>
            </w:r>
          </w:p>
        </w:tc>
        <w:tc>
          <w:tcPr>
            <w:tcW w:type="dxa" w:w="1550"/>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Superseded</w:t>
            </w:r>
          </w:p>
        </w:tc>
        <w:tc>
          <w:tcPr>
            <w:tcW w:type="dxa" w:w="5450"/>
            <w:tcBorders>
              <w:top w:val="single" w:sz="4" w:color="D9D9D9"/>
              <w:left w:val="single" w:sz="4" w:color="D9D9D9"/>
              <w:bottom w:val="single" w:sz="4" w:color="D9D9D9"/>
              <w:right w:val="single" w:sz="4" w:color="D9D9D9"/>
            </w:tcBorders>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Aligned current model, shared snapshot coverage, live reconciliation, metric meaning and final acceptance checks.</w:t>
            </w:r>
          </w:p>
        </w:tc>
      </w:tr>
      <w:tr>
        <w:trPr>
          <w:cantSplit/>
        </w:trPr>
        <w:tc>
          <w:tcPr>
            <w:tcW w:type="dxa" w:w="803"/>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1.2</w:t>
            </w:r>
          </w:p>
        </w:tc>
        <w:tc>
          <w:tcPr>
            <w:tcW w:type="dxa" w:w="1721"/>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1 October 2026</w:t>
            </w:r>
          </w:p>
        </w:tc>
        <w:tc>
          <w:tcPr>
            <w:tcW w:type="dxa" w:w="1550"/>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Superseded</w:t>
            </w:r>
          </w:p>
        </w:tc>
        <w:tc>
          <w:tcPr>
            <w:tcW w:type="dxa" w:w="5450"/>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Aligned final report images, descriptive findings, pinned-runtime reproduction, release review and remaining human acceptance.</w:t>
            </w:r>
          </w:p>
        </w:tc>
      </w:tr>
      <w:tr>
        <w:trPr>
          <w:cantSplit/>
        </w:trPr>
        <w:tc>
          <w:tcPr>
            <w:tcW w:type="dxa" w:w="803"/>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1.3</w:t>
            </w:r>
          </w:p>
        </w:tc>
        <w:tc>
          <w:tcPr>
            <w:tcW w:type="dxa" w:w="1721"/>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2 October 2026</w:t>
            </w:r>
          </w:p>
        </w:tc>
        <w:tc>
          <w:tcPr>
            <w:tcW w:type="dxa" w:w="1550"/>
            <w:vAlign w:val="center"/>
            <w:tcMar>
              <w:top w:w="75" w:type="dxa"/>
              <w:bottom w:w="75" w:type="dxa"/>
              <w:left w:w="95" w:type="dxa"/>
              <w:right w:w="95" w:type="dxa"/>
            </w:tcMar>
            <w:shd w:fill="FFFFFF"/>
          </w:tcPr>
          <w:p>
            <w:pPr>
              <w:keepNext w:val="0"/>
              <w:spacing w:before="0" w:after="60" w:line="252" w:lineRule="auto"/>
              <w:jc w:val="center"/>
            </w:pPr>
            <w:r>
              <w:rPr>
                <w:rFonts w:ascii="Aptos" w:hAnsi="Aptos"/>
                <w:b w:val="0"/>
                <w:color w:val="000000"/>
                <w:sz w:val="20"/>
              </w:rPr>
              <w:t>Current</w:t>
            </w:r>
          </w:p>
        </w:tc>
        <w:tc>
          <w:tcPr>
            <w:tcW w:type="dxa" w:w="5450"/>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Finalized content, date-coverage guidance, current status and consistent Word formatting.</w:t>
            </w:r>
          </w:p>
        </w:tc>
      </w:tr>
    </w:tbl>
    <w:p>
      <w:pPr>
        <w:widowControl/>
        <w:spacing w:after="60" w:before="0"/>
        <w:jc w:val="left"/>
      </w:pPr>
    </w:p>
    <w:p>
      <w:pPr>
        <w:pStyle w:val="Heading1"/>
        <w:keepNext/>
        <w:widowControl/>
        <w:jc w:val="left"/>
      </w:pPr>
      <w:r>
        <w:rPr>
          <w:color w:val="000000"/>
        </w:rPr>
        <w:t>Contents</w:t>
      </w:r>
    </w:p>
    <w:p>
      <w:pPr>
        <w:widowControl/>
        <w:jc w:val="left"/>
      </w:pPr>
      <w:r>
        <w:fldChar w:fldCharType="begin"/>
      </w:r>
      <w:r>
        <w:instrText xml:space="preserve"> TOC \o "1-2" \h \z \u </w:instrText>
      </w:r>
      <w:r>
        <w:fldChar w:fldCharType="separate"/>
      </w:r>
      <w:r>
        <w:t>1 Project context</w:t>
        <w:br/>
        <w:t>2 Audience and stakeholder needs</w:t>
        <w:br/>
        <w:t>3 Objectives</w:t>
        <w:br/>
        <w:t>4 Business questions</w:t>
        <w:br/>
        <w:t>5 Scope</w:t>
        <w:br/>
        <w:t>6 Data source and population model</w:t>
        <w:br/>
        <w:t>7 Requirements</w:t>
        <w:br/>
        <w:t>8 KPI definitions and controls</w:t>
        <w:br/>
        <w:t>9 Assumptions constraints and dependencies</w:t>
        <w:br/>
        <w:t>10 Business risks</w:t>
        <w:br/>
        <w:t>11 Deliverables</w:t>
        <w:br/>
        <w:t>12 Acceptance criteria</w:t>
        <w:br/>
        <w:t>13 Requirements traceability</w:t>
        <w:br/>
        <w:t>14 Current status and phase boundary</w:t>
        <w:br/>
        <w:t>15 References</w:t>
      </w:r>
      <w:r>
        <w:fldChar w:fldCharType="end"/>
      </w:r>
    </w:p>
    <w:p>
      <w:pPr>
        <w:pStyle w:val="Heading1"/>
        <w:keepNext/>
        <w:widowControl/>
        <w:jc w:val="left"/>
      </w:pPr>
      <w:r>
        <w:rPr>
          <w:color w:val="000000"/>
        </w:rPr>
        <w:t>1 Project context</w:t>
      </w:r>
    </w:p>
    <w:p>
      <w:pPr>
        <w:pStyle w:val="Heading2"/>
        <w:keepNext/>
        <w:widowControl/>
        <w:jc w:val="left"/>
      </w:pPr>
      <w:r>
        <w:rPr>
          <w:color w:val="000000"/>
        </w:rPr>
        <w:t>1.1 Project purpose</w:t>
      </w:r>
    </w:p>
    <w:p>
      <w:pPr>
        <w:widowControl/>
        <w:jc w:val="left"/>
      </w:pPr>
      <w:r>
        <w:t>Global Aviation Disruption Assessment 2026 is a static simulated portfolio case study. It demonstrates data reconciliation, Python cleaning, PostgreSQL analysis, and Power BI reporting across aviation datasets that represent different grains and analytical populations.</w:t>
      </w:r>
    </w:p>
    <w:p>
      <w:pPr>
        <w:widowControl/>
        <w:jc w:val="left"/>
      </w:pPr>
      <w:r>
        <w:t>The project is designed for portfolio review by business intelligence, analytics, and data-engineering employers. It demonstrates that the analyst can explain where each metric comes from, preserve legitimate differences between source populations, and avoid unsupported business conclusions.</w:t>
      </w:r>
    </w:p>
    <w:p>
      <w:pPr>
        <w:pStyle w:val="Heading2"/>
        <w:keepNext/>
        <w:widowControl/>
        <w:jc w:val="left"/>
      </w:pPr>
      <w:r>
        <w:rPr>
          <w:color w:val="000000"/>
        </w:rPr>
        <w:t>1.2 Problem statement</w:t>
      </w:r>
    </w:p>
    <w:p>
      <w:pPr>
        <w:widowControl/>
        <w:jc w:val="left"/>
      </w:pPr>
      <w:r>
        <w:t>Seven simulated aviation datasets describe operational disruption, financial exposure, airport impact, airspace restrictions, and geopolitical context at different grains and scopes. Similar business terms appear in several datasets, but the totals do not describe one shared population. The analytical problem is to clean and reconcile the data, preserve legitimate population differences, and produce a defensible static BI assessment without combining incompatible metrics or implying causal relationships that the data cannot support.</w:t>
      </w:r>
    </w:p>
    <w:p>
      <w:pPr>
        <w:pStyle w:val="Heading2"/>
        <w:keepNext/>
        <w:widowControl/>
        <w:jc w:val="left"/>
      </w:pPr>
      <w:r>
        <w:rPr>
          <w:color w:val="000000"/>
        </w:rPr>
        <w:t>1.3 Project position</w:t>
      </w:r>
    </w:p>
    <w:p>
      <w:pPr>
        <w:pStyle w:val="ListBullet"/>
        <w:widowControl/>
        <w:spacing w:after="40"/>
        <w:jc w:val="left"/>
      </w:pPr>
      <w:r>
        <w:t>The source data is static, simulated, and partly modeled.</w:t>
      </w:r>
    </w:p>
    <w:p>
      <w:pPr>
        <w:pStyle w:val="ListBullet"/>
        <w:widowControl/>
        <w:spacing w:after="40"/>
        <w:jc w:val="left"/>
      </w:pPr>
      <w:r>
        <w:t>The project is descriptive and does not provide live operational monitoring.</w:t>
      </w:r>
    </w:p>
    <w:p>
      <w:pPr>
        <w:pStyle w:val="ListBullet"/>
        <w:widowControl/>
        <w:spacing w:after="40"/>
        <w:jc w:val="left"/>
      </w:pPr>
      <w:r>
        <w:t>The analysis does not verify source records against official NOTAM, ADS-B, airline, airport, government, or ICAO systems.</w:t>
      </w:r>
    </w:p>
    <w:p>
      <w:pPr>
        <w:pStyle w:val="ListBullet"/>
        <w:widowControl/>
        <w:spacing w:after="40"/>
        <w:jc w:val="left"/>
      </w:pPr>
      <w:r>
        <w:t>The project does not claim that conflict events caused a measured disruption or that rerouting prevented cancellations.</w:t>
      </w:r>
    </w:p>
    <w:p>
      <w:pPr>
        <w:pStyle w:val="ListBullet"/>
        <w:widowControl/>
        <w:spacing w:after="40"/>
        <w:jc w:val="left"/>
      </w:pPr>
      <w:r>
        <w:t>ICAO is scenario context only and is not a client, source, owner, endorser, or reviewer of the project.</w:t>
      </w:r>
    </w:p>
    <w:p>
      <w:pPr>
        <w:pStyle w:val="Heading1"/>
        <w:keepNext/>
        <w:widowControl/>
        <w:jc w:val="left"/>
      </w:pPr>
      <w:r>
        <w:rPr>
          <w:color w:val="000000"/>
        </w:rPr>
        <w:t>2 Audience and stakeholder needs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cantSplit/>
        </w:trPr>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Audience</w:t>
            </w:r>
          </w:p>
        </w:tc>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Need</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Hiring managers</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 concise explanation of the business problem, metric credibility, scope, and portfolio value.</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BI and analytics reviewers</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Traceable KPIs, clear population labels, valid comparisons, and defensible report behavior.</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Data and analytics engineers</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Reproducible transformations, database controls, lineage, and documented implementation boundaries.</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Project contributors</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 stable requirements baseline that prevents business rules from changing silently during Power BI remediation.</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Report users</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Clear labels, filters, units, date scope, and limitations for every important metric.</w:t>
            </w:r>
          </w:p>
        </w:tc>
      </w:tr>
    </w:tbl>
    <w:p>
      <w:pPr>
        <w:widowControl/>
        <w:spacing w:after="60" w:before="0"/>
        <w:jc w:val="left"/>
      </w:pPr>
    </w:p>
    <w:p>
      <w:pPr>
        <w:pStyle w:val="Heading1"/>
        <w:keepNext/>
        <w:widowControl/>
        <w:jc w:val="left"/>
      </w:pPr>
      <w:r>
        <w:rPr>
          <w:color w:val="000000"/>
        </w:rPr>
        <w:t>3 Objectives</w:t>
      </w:r>
    </w:p>
    <w:p>
      <w:pPr>
        <w:pStyle w:val="Heading2"/>
        <w:keepNext/>
        <w:widowControl/>
        <w:jc w:val="left"/>
      </w:pPr>
      <w:r>
        <w:rPr>
          <w:color w:val="000000"/>
        </w:rPr>
        <w:t>3.1 Business objectives</w:t>
      </w:r>
    </w:p>
    <w:p>
      <w:pPr>
        <w:widowControl/>
        <w:spacing w:after="60"/>
        <w:ind w:left="283" w:hanging="283"/>
        <w:jc w:val="left"/>
      </w:pPr>
      <w:r>
        <w:rPr>
          <w:b/>
        </w:rPr>
        <w:t xml:space="preserve">1. </w:t>
      </w:r>
      <w:r>
        <w:t>Describe the scale and concentration of the supplied aviation disruption records.</w:t>
      </w:r>
    </w:p>
    <w:p>
      <w:pPr>
        <w:widowControl/>
        <w:spacing w:after="60"/>
        <w:ind w:left="283" w:hanging="283"/>
        <w:jc w:val="left"/>
      </w:pPr>
      <w:r>
        <w:rPr>
          <w:b/>
        </w:rPr>
        <w:t xml:space="preserve">2. </w:t>
      </w:r>
      <w:r>
        <w:t>Separate operational detail, modeled summary, modeled estimate, airport, airspace, and contextual-event populations.</w:t>
      </w:r>
    </w:p>
    <w:p>
      <w:pPr>
        <w:widowControl/>
        <w:spacing w:after="60"/>
        <w:ind w:left="283" w:hanging="283"/>
        <w:jc w:val="left"/>
      </w:pPr>
      <w:r>
        <w:rPr>
          <w:b/>
        </w:rPr>
        <w:t xml:space="preserve">3. </w:t>
      </w:r>
      <w:r>
        <w:t>Present financial exposure as modeled scenario data rather than audited financial performance.</w:t>
      </w:r>
    </w:p>
    <w:p>
      <w:pPr>
        <w:widowControl/>
        <w:spacing w:after="60"/>
        <w:ind w:left="283" w:hanging="283"/>
        <w:jc w:val="left"/>
      </w:pPr>
      <w:r>
        <w:rPr>
          <w:b/>
        </w:rPr>
        <w:t xml:space="preserve">4. </w:t>
      </w:r>
      <w:r>
        <w:t>Provide a report that a reviewer can understand and challenge without relying on undocumented assumptions.</w:t>
      </w:r>
    </w:p>
    <w:p>
      <w:pPr>
        <w:widowControl/>
        <w:spacing w:after="60"/>
        <w:ind w:left="283" w:hanging="283"/>
        <w:jc w:val="left"/>
      </w:pPr>
      <w:r>
        <w:rPr>
          <w:b/>
        </w:rPr>
        <w:t xml:space="preserve">5. </w:t>
      </w:r>
      <w:r>
        <w:t>Demonstrate professional data reconciliation and BI governance in a portfolio project suitable for strong MNC applications.</w:t>
      </w:r>
    </w:p>
    <w:p>
      <w:pPr>
        <w:pStyle w:val="Heading2"/>
        <w:keepNext/>
        <w:widowControl/>
        <w:jc w:val="left"/>
      </w:pPr>
      <w:r>
        <w:rPr>
          <w:color w:val="000000"/>
        </w:rPr>
        <w:t>3.2 Analytical objectives</w:t>
      </w:r>
    </w:p>
    <w:p>
      <w:pPr>
        <w:widowControl/>
        <w:spacing w:after="60"/>
        <w:ind w:left="283" w:hanging="283"/>
        <w:jc w:val="left"/>
      </w:pPr>
      <w:r>
        <w:rPr>
          <w:b/>
        </w:rPr>
        <w:t xml:space="preserve">1. </w:t>
      </w:r>
      <w:r>
        <w:t>Measure detailed cancellations, affected passengers, reroutes, additional distance, fuel cost, and delay within their own source populations.</w:t>
      </w:r>
    </w:p>
    <w:p>
      <w:pPr>
        <w:widowControl/>
        <w:spacing w:after="60"/>
        <w:ind w:left="283" w:hanging="283"/>
        <w:jc w:val="left"/>
      </w:pPr>
      <w:r>
        <w:rPr>
          <w:b/>
        </w:rPr>
        <w:t xml:space="preserve">2. </w:t>
      </w:r>
      <w:r>
        <w:t>Measure airport and airspace exposure independently because a common flight identifier is not available.</w:t>
      </w:r>
    </w:p>
    <w:p>
      <w:pPr>
        <w:widowControl/>
        <w:spacing w:after="60"/>
        <w:ind w:left="283" w:hanging="283"/>
        <w:jc w:val="left"/>
      </w:pPr>
      <w:r>
        <w:rPr>
          <w:b/>
        </w:rPr>
        <w:t xml:space="preserve">3. </w:t>
      </w:r>
      <w:r>
        <w:t>Assess modeled airline loss and modeled daily estimates as separate undated scenarios.</w:t>
      </w:r>
    </w:p>
    <w:p>
      <w:pPr>
        <w:widowControl/>
        <w:spacing w:after="60"/>
        <w:ind w:left="283" w:hanging="283"/>
        <w:jc w:val="left"/>
      </w:pPr>
      <w:r>
        <w:rPr>
          <w:b/>
        </w:rPr>
        <w:t xml:space="preserve">4. </w:t>
      </w:r>
      <w:r>
        <w:t>Compare dated aviation metrics across event and non-event dates without making a causal claim.</w:t>
      </w:r>
    </w:p>
    <w:p>
      <w:pPr>
        <w:widowControl/>
        <w:spacing w:after="60"/>
        <w:ind w:left="283" w:hanging="283"/>
        <w:jc w:val="left"/>
      </w:pPr>
      <w:r>
        <w:rPr>
          <w:b/>
        </w:rPr>
        <w:t xml:space="preserve">5. </w:t>
      </w:r>
      <w:r>
        <w:t>Identify geographic and route concentrations while keeping origin and destination roles explicit.</w:t>
      </w:r>
    </w:p>
    <w:p>
      <w:pPr>
        <w:pStyle w:val="Heading1"/>
        <w:keepNext/>
        <w:widowControl/>
        <w:jc w:val="left"/>
      </w:pPr>
      <w:r>
        <w:rPr>
          <w:color w:val="000000"/>
        </w:rPr>
        <w:t>4 Business questions</w:t>
      </w:r>
    </w:p>
    <w:p>
      <w:pPr>
        <w:widowControl/>
        <w:spacing w:after="60"/>
        <w:ind w:left="283" w:hanging="283"/>
        <w:jc w:val="left"/>
      </w:pPr>
      <w:r>
        <w:rPr>
          <w:b/>
        </w:rPr>
        <w:t xml:space="preserve">1. </w:t>
      </w:r>
      <w:r>
        <w:t>Where and when are detailed cancellation and reroute records concentrated?</w:t>
      </w:r>
    </w:p>
    <w:p>
      <w:pPr>
        <w:widowControl/>
        <w:spacing w:after="60"/>
        <w:ind w:left="283" w:hanging="283"/>
        <w:jc w:val="left"/>
      </w:pPr>
      <w:r>
        <w:rPr>
          <w:b/>
        </w:rPr>
        <w:t xml:space="preserve">2. </w:t>
      </w:r>
      <w:r>
        <w:t>How many passengers, delay hours, additional kilometres, and additional fuel costs appear in the detailed operational datasets?</w:t>
      </w:r>
    </w:p>
    <w:p>
      <w:pPr>
        <w:widowControl/>
        <w:spacing w:after="60"/>
        <w:ind w:left="283" w:hanging="283"/>
        <w:jc w:val="left"/>
      </w:pPr>
      <w:r>
        <w:rPr>
          <w:b/>
        </w:rPr>
        <w:t xml:space="preserve">3. </w:t>
      </w:r>
      <w:r>
        <w:t>Which airports, countries, and regions have the highest reported airport disruption?</w:t>
      </w:r>
    </w:p>
    <w:p>
      <w:pPr>
        <w:widowControl/>
        <w:spacing w:after="60"/>
        <w:ind w:left="283" w:hanging="283"/>
        <w:jc w:val="left"/>
      </w:pPr>
      <w:r>
        <w:rPr>
          <w:b/>
        </w:rPr>
        <w:t xml:space="preserve">4. </w:t>
      </w:r>
      <w:r>
        <w:t>Which airspace closures have the greatest duration and reported flight exposure?</w:t>
      </w:r>
    </w:p>
    <w:p>
      <w:pPr>
        <w:widowControl/>
        <w:spacing w:after="60"/>
        <w:ind w:left="283" w:hanging="283"/>
        <w:jc w:val="left"/>
      </w:pPr>
      <w:r>
        <w:rPr>
          <w:b/>
        </w:rPr>
        <w:t xml:space="preserve">5. </w:t>
      </w:r>
      <w:r>
        <w:t>Which airlines and regions have the highest modeled financial exposure?</w:t>
      </w:r>
    </w:p>
    <w:p>
      <w:pPr>
        <w:widowControl/>
        <w:spacing w:after="60"/>
        <w:ind w:left="283" w:hanging="283"/>
        <w:jc w:val="left"/>
      </w:pPr>
      <w:r>
        <w:rPr>
          <w:b/>
        </w:rPr>
        <w:t xml:space="preserve">6. </w:t>
      </w:r>
      <w:r>
        <w:t>How do the modeled summary and modeled estimate populations differ?</w:t>
      </w:r>
    </w:p>
    <w:p>
      <w:pPr>
        <w:widowControl/>
        <w:spacing w:after="60"/>
        <w:ind w:left="283" w:hanging="283"/>
        <w:jc w:val="left"/>
      </w:pPr>
      <w:r>
        <w:rPr>
          <w:b/>
        </w:rPr>
        <w:t xml:space="preserve">7. </w:t>
      </w:r>
      <w:r>
        <w:t>Which route corridors show the highest detailed cancellation and reroute activity?</w:t>
      </w:r>
    </w:p>
    <w:p>
      <w:pPr>
        <w:widowControl/>
        <w:spacing w:after="60"/>
        <w:ind w:left="283" w:hanging="283"/>
        <w:jc w:val="left"/>
      </w:pPr>
      <w:r>
        <w:rPr>
          <w:b/>
        </w:rPr>
        <w:t xml:space="preserve">8. </w:t>
      </w:r>
      <w:r>
        <w:t>How do dated aviation metrics vary across military-event and non-event dates?</w:t>
      </w:r>
    </w:p>
    <w:p>
      <w:pPr>
        <w:widowControl/>
        <w:spacing w:after="60"/>
        <w:ind w:left="283" w:hanging="283"/>
        <w:jc w:val="left"/>
      </w:pPr>
      <w:r>
        <w:rPr>
          <w:b/>
        </w:rPr>
        <w:t xml:space="preserve">9. </w:t>
      </w:r>
      <w:r>
        <w:t>Which results are descriptive, and which comparisons cannot support causal or mitigation claims?</w:t>
      </w:r>
    </w:p>
    <w:p>
      <w:pPr>
        <w:pStyle w:val="Heading1"/>
        <w:keepNext/>
        <w:widowControl/>
        <w:jc w:val="left"/>
      </w:pPr>
      <w:r>
        <w:rPr>
          <w:color w:val="000000"/>
        </w:rPr>
        <w:t>5 Scope</w:t>
      </w:r>
    </w:p>
    <w:p>
      <w:pPr>
        <w:pStyle w:val="Heading2"/>
        <w:keepNext/>
        <w:widowControl/>
        <w:jc w:val="left"/>
      </w:pPr>
      <w:r>
        <w:rPr>
          <w:color w:val="000000"/>
        </w:rPr>
        <w:t>5.1 Included scope</w:t>
      </w:r>
    </w:p>
    <w:p>
      <w:pPr>
        <w:pStyle w:val="ListBullet"/>
        <w:widowControl/>
        <w:spacing w:after="40"/>
        <w:jc w:val="left"/>
      </w:pPr>
      <w:r>
        <w:t>Static Kaggle source data and source licensing.</w:t>
      </w:r>
    </w:p>
    <w:p>
      <w:pPr>
        <w:pStyle w:val="ListBullet"/>
        <w:widowControl/>
        <w:spacing w:after="40"/>
        <w:jc w:val="left"/>
      </w:pPr>
      <w:r>
        <w:t>Raw-to-clean transformation and validation.</w:t>
      </w:r>
    </w:p>
    <w:p>
      <w:pPr>
        <w:pStyle w:val="ListBullet"/>
        <w:widowControl/>
        <w:spacing w:after="40"/>
        <w:jc w:val="left"/>
      </w:pPr>
      <w:r>
        <w:t>Data-population reconciliation.</w:t>
      </w:r>
    </w:p>
    <w:p>
      <w:pPr>
        <w:pStyle w:val="ListBullet"/>
        <w:widowControl/>
        <w:spacing w:after="40"/>
        <w:jc w:val="left"/>
      </w:pPr>
      <w:r>
        <w:t>PostgreSQL loading, validation, analysis, and reporting views.</w:t>
      </w:r>
    </w:p>
    <w:p>
      <w:pPr>
        <w:pStyle w:val="ListBullet"/>
        <w:widowControl/>
        <w:spacing w:after="40"/>
        <w:jc w:val="left"/>
      </w:pPr>
      <w:r>
        <w:t>Descriptive operational, geographic, contextual, and modeled financial analysis.</w:t>
      </w:r>
    </w:p>
    <w:p>
      <w:pPr>
        <w:pStyle w:val="ListBullet"/>
        <w:widowControl/>
        <w:spacing w:after="40"/>
        <w:jc w:val="left"/>
      </w:pPr>
      <w:r>
        <w:t>A four-page Power BI report in Import mode.</w:t>
      </w:r>
    </w:p>
    <w:p>
      <w:pPr>
        <w:pStyle w:val="ListBullet"/>
        <w:widowControl/>
        <w:spacing w:after="40"/>
        <w:jc w:val="left"/>
      </w:pPr>
      <w:r>
        <w:t>Portfolio documentation, architecture, ERD, screenshots, and verified final findings.</w:t>
      </w:r>
    </w:p>
    <w:p>
      <w:pPr>
        <w:pStyle w:val="Heading2"/>
        <w:keepNext/>
        <w:widowControl/>
        <w:jc w:val="left"/>
      </w:pPr>
      <w:r>
        <w:rPr>
          <w:color w:val="000000"/>
        </w:rPr>
        <w:t>5.2 Excluded scope</w:t>
      </w:r>
    </w:p>
    <w:p>
      <w:pPr>
        <w:pStyle w:val="ListBullet"/>
        <w:widowControl/>
        <w:spacing w:after="40"/>
        <w:jc w:val="left"/>
      </w:pPr>
      <w:r>
        <w:t>Live aviation monitoring or automated operational decisions.</w:t>
      </w:r>
    </w:p>
    <w:p>
      <w:pPr>
        <w:pStyle w:val="ListBullet"/>
        <w:widowControl/>
        <w:spacing w:after="40"/>
        <w:jc w:val="left"/>
      </w:pPr>
      <w:r>
        <w:t>Official NOTAM, ADS-B, airline, airport, government, or ICAO verification.</w:t>
      </w:r>
    </w:p>
    <w:p>
      <w:pPr>
        <w:pStyle w:val="ListBullet"/>
        <w:widowControl/>
        <w:spacing w:after="40"/>
        <w:jc w:val="left"/>
      </w:pPr>
      <w:r>
        <w:t>Causal attribution, forecasting, optimization, and predictive modeling.</w:t>
      </w:r>
    </w:p>
    <w:p>
      <w:pPr>
        <w:pStyle w:val="ListBullet"/>
        <w:widowControl/>
        <w:spacing w:after="40"/>
        <w:jc w:val="left"/>
      </w:pPr>
      <w:r>
        <w:t>A deduplicated system-wide affected-flight total without a shared flight identifier.</w:t>
      </w:r>
    </w:p>
    <w:p>
      <w:pPr>
        <w:pStyle w:val="ListBullet"/>
        <w:widowControl/>
        <w:spacing w:after="40"/>
        <w:jc w:val="left"/>
      </w:pPr>
      <w:r>
        <w:t>Claims that rerouting mitigated impact or that an airline was resilient.</w:t>
      </w:r>
    </w:p>
    <w:p>
      <w:pPr>
        <w:pStyle w:val="ListBullet"/>
        <w:widowControl/>
        <w:spacing w:after="40"/>
        <w:jc w:val="left"/>
      </w:pPr>
      <w:r>
        <w:t>Production deployment, enterprise orchestration, and official recommendations.</w:t>
      </w:r>
    </w:p>
    <w:p>
      <w:pPr>
        <w:pStyle w:val="Heading1"/>
        <w:keepNext/>
        <w:widowControl/>
        <w:jc w:val="left"/>
      </w:pPr>
      <w:r>
        <w:rPr>
          <w:color w:val="000000"/>
        </w:rPr>
        <w:t>6 Data source and population model</w:t>
      </w:r>
    </w:p>
    <w:p>
      <w:pPr>
        <w:widowControl/>
        <w:jc w:val="left"/>
      </w:pPr>
      <w:r>
        <w:t>The source is the Kaggle dataset Global Civil Aviation Disruption 2026 Iran-US War. All seven files were downloaded in the first week of August 2026 from the same latest snapshot available at that time. The dataset license is CC BY-SA 4.0. Repository code is licensed under MIT.</w:t>
      </w:r>
    </w:p>
    <w:p>
      <w:pPr>
        <w:widowControl/>
        <w:spacing w:before="80" w:after="60"/>
        <w:jc w:val="left"/>
      </w:pPr>
      <w:r>
        <w:rPr>
          <w:rFonts w:ascii="Aptos" w:hAnsi="Aptos"/>
          <w:b/>
          <w:color w:val="000000"/>
          <w:sz w:val="18"/>
        </w:rPr>
        <w:t>Dataset inventory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1587"/>
        <w:gridCol w:w="1587"/>
        <w:gridCol w:w="1587"/>
        <w:gridCol w:w="1587"/>
        <w:gridCol w:w="1587"/>
      </w:tblGrid>
      <w:tr>
        <w:trPr>
          <w:tblHeader w:val="true"/>
          <w:cantSplit/>
        </w:trPr>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Dataset</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Rows</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Grain</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Classification</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Date scope</w:t>
            </w:r>
          </w:p>
        </w:tc>
        <w:tc>
          <w:tcPr>
            <w:tcW w:type="dxa" w:w="1587"/>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Business use</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70</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row per airline</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 modeled summary</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 date supplied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loss, revenue-loss percentage, and summary disruption counts</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airline_losses_estimate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35</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row per airline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 modeled estimate</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 date supplied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Estimated daily loss, passengers, cancellations, reroutes, and fuel cost</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airport_disruptions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227</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airport disruption record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Simulated detail</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27 February to 7 June 2026</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exposure</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airspace_closures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84</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airspace closure record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Simulated detail</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28 February to 17 June 2026</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Closure duration and reported flight exposure</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conflict_events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82</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contextual event</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Simulated context</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15 December 2025 to 8 June 2026</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Event-date context only</w:t>
            </w:r>
          </w:p>
        </w:tc>
      </w:tr>
      <w:tr>
        <w:trPr>
          <w:cantSplit/>
        </w:trPr>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flight_cancellations</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2,200</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One cancellation record</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Simulated operational detail</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27 February to 7 June 2026</w:t>
            </w:r>
          </w:p>
        </w:tc>
        <w:tc>
          <w:tcPr>
            <w:tcW w:type="dxa" w:w="1587"/>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cancellation and passenger metrics</w:t>
            </w:r>
          </w:p>
        </w:tc>
      </w:tr>
      <w:tr>
        <w:trPr>
          <w:cantSplit/>
        </w:trPr>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1,500</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One reroute record</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Simulated operational detail</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28 February to 7 June 2026</w:t>
            </w:r>
          </w:p>
        </w:tc>
        <w:tc>
          <w:tcPr>
            <w:tcW w:type="dxa" w:w="1587"/>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reroute, distance, fuel, and delay metrics</w:t>
            </w:r>
          </w:p>
        </w:tc>
      </w:tr>
    </w:tbl>
    <w:p>
      <w:pPr>
        <w:widowControl/>
        <w:spacing w:after="60" w:before="0"/>
        <w:jc w:val="left"/>
      </w:pPr>
    </w:p>
    <w:p>
      <w:pPr>
        <w:widowControl/>
        <w:jc w:val="left"/>
      </w:pPr>
      <w:r>
        <w:t>Date coverage is source-specific. The report calendar starts on 15 December 2025 because conflict context begins then. Cancellation and airport records start on 27 February 2026, and reroutes and closures start on 28 February. Earlier operational selections mean records are unavailable in this snapshot, not that real disruption was zero. Undated financial values remain independent of date selection.</w:t>
      </w:r>
    </w:p>
    <w:p>
      <w:pPr>
        <w:pStyle w:val="Heading2"/>
        <w:keepNext/>
        <w:widowControl/>
        <w:jc w:val="left"/>
      </w:pPr>
      <w:r>
        <w:rPr>
          <w:color w:val="000000"/>
        </w:rPr>
        <w:t>6.1 Reconciliation conclusions</w:t>
      </w:r>
    </w:p>
    <w:p>
      <w:pPr>
        <w:pStyle w:val="ListBullet"/>
        <w:widowControl/>
        <w:spacing w:after="40"/>
        <w:jc w:val="left"/>
      </w:pPr>
      <w:r>
        <w:t>The 6,030 modeled-summary cancellations are not the same population as the 2,200 detailed cancellation records.</w:t>
      </w:r>
    </w:p>
    <w:p>
      <w:pPr>
        <w:pStyle w:val="ListBullet"/>
        <w:widowControl/>
        <w:spacing w:after="40"/>
        <w:jc w:val="left"/>
      </w:pPr>
      <w:r>
        <w:t>The 4,539 modeled-summary reroutes are not the same population as the 1,500 detailed reroute records.</w:t>
      </w:r>
    </w:p>
    <w:p>
      <w:pPr>
        <w:pStyle w:val="ListBullet"/>
        <w:widowControl/>
        <w:spacing w:after="40"/>
        <w:jc w:val="left"/>
      </w:pPr>
      <w:r>
        <w:t>The 35-airline estimate table is not an aggregation of the 70-airline modeled-summary table.</w:t>
      </w:r>
    </w:p>
    <w:p>
      <w:pPr>
        <w:pStyle w:val="ListBullet"/>
        <w:widowControl/>
        <w:spacing w:after="40"/>
        <w:jc w:val="left"/>
      </w:pPr>
      <w:r>
        <w:t>The differences are intrinsic to the supplied snapshot and are not evidence of mixed download versions.</w:t>
      </w:r>
    </w:p>
    <w:p>
      <w:pPr>
        <w:pStyle w:val="ListBullet"/>
        <w:widowControl/>
        <w:spacing w:after="40"/>
        <w:jc w:val="left"/>
      </w:pPr>
      <w:r>
        <w:t>Airport and airspace affected-flight totals cannot be deduplicated or added into a unique-flight total.</w:t>
      </w:r>
    </w:p>
    <w:p>
      <w:pPr>
        <w:pStyle w:val="ListBullet"/>
        <w:widowControl/>
        <w:spacing w:after="40"/>
        <w:jc w:val="left"/>
      </w:pPr>
      <w:r>
        <w:t>Forty-two conflict records do not provide a defensible country. Those values remain unresolved rather than being invented.</w:t>
      </w:r>
    </w:p>
    <w:p>
      <w:pPr>
        <w:widowControl/>
        <w:spacing w:before="80" w:after="60"/>
        <w:jc w:val="left"/>
      </w:pPr>
      <w:r>
        <w:rPr>
          <w:rFonts w:ascii="Aptos" w:hAnsi="Aptos"/>
          <w:b/>
          <w:color w:val="000000"/>
          <w:sz w:val="18"/>
        </w:rPr>
        <w:t>Source of truth and KPI population matrix</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5"/>
        <w:gridCol w:w="1905"/>
        <w:gridCol w:w="1905"/>
        <w:gridCol w:w="1905"/>
        <w:gridCol w:w="1905"/>
      </w:tblGrid>
      <w:tr>
        <w:trPr>
          <w:tblHeader w:val="true"/>
          <w:cantSplit/>
        </w:trPr>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Business metric</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Authority</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Population</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Calculation</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Date behavior</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cancellation records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flight_cancellations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Count of records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passengers affected</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flight_cancellations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of passengers_affected</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reroute records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Count of records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additional distance</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flight_reroutes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of additional_distance_km</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extra fuel cost</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 of extra_fuel_cost_usd</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reroute delay</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flight_reroutes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of delay_hours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airline loss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 of estimated_loss_usd</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summary cancellations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summary</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 of cancellations_count</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 reroutes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Sum of reroutes_count</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Estimated daily loss and exposure</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airline_losses_estimate</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estimate</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Source-provided estimate fields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impact</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airport_disruptions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records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Separate event and exposure measures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 impact</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airspace_closures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Closure records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Separate closure and exposure measures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 timestamps</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Conflict context</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conflict_events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Contextual events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Record count and date comparison</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w:t>
            </w:r>
          </w:p>
        </w:tc>
      </w:tr>
    </w:tbl>
    <w:p>
      <w:pPr>
        <w:widowControl/>
        <w:spacing w:after="60" w:before="0"/>
        <w:jc w:val="left"/>
      </w:pPr>
    </w:p>
    <w:p>
      <w:pPr>
        <w:widowControl/>
        <w:jc w:val="left"/>
      </w:pPr>
      <w:r>
        <w:br w:type="page"/>
      </w:r>
    </w:p>
    <w:p>
      <w:pPr>
        <w:pStyle w:val="Heading1"/>
        <w:keepNext/>
        <w:widowControl/>
        <w:jc w:val="left"/>
      </w:pPr>
      <w:r>
        <w:rPr>
          <w:color w:val="000000"/>
        </w:rPr>
        <w:t>7 Requirements</w:t>
      </w:r>
    </w:p>
    <w:p>
      <w:pPr>
        <w:widowControl/>
        <w:spacing w:before="80" w:after="60"/>
        <w:jc w:val="left"/>
      </w:pPr>
      <w:r>
        <w:rPr>
          <w:rFonts w:ascii="Aptos" w:hAnsi="Aptos"/>
          <w:b/>
          <w:color w:val="000000"/>
          <w:sz w:val="18"/>
        </w:rPr>
        <w:t>Business requirements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cantSplit/>
        </w:trPr>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ID</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Requirement</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Acceptance evidence</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BR-001</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The project shall identify itself as a static simulated portfolio case study.</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README, business documentation, technical documentation, and report scope note use the same description.</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BR-002</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The project shall preserve detailed, modeled-summary, and modeled-estimate populations as separate analytical populations.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 measure or ratio combines incompatible populations without an explicitly proven common scope.</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BR-003</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The project shall answer the approved business questions using traceable metrics.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Each question maps to at least one source, KPI, and report or SQL output.</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BR-004</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The project shall distinguish descriptive association from causality.</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Findings use descriptive language and do not claim that conflict caused disruption.</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BR-005</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The project shall remain recognizable as the original four-page portfolio report.</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The final report retains four pages and its general visual identity while correcting logic and labels.</w:t>
            </w:r>
          </w:p>
        </w:tc>
      </w:tr>
    </w:tbl>
    <w:p>
      <w:pPr>
        <w:widowControl/>
        <w:spacing w:after="60" w:before="0"/>
        <w:jc w:val="left"/>
      </w:pPr>
    </w:p>
    <w:p>
      <w:pPr>
        <w:widowControl/>
        <w:spacing w:before="80" w:after="60"/>
        <w:jc w:val="left"/>
      </w:pPr>
      <w:r>
        <w:rPr>
          <w:rFonts w:ascii="Aptos" w:hAnsi="Aptos"/>
          <w:b/>
          <w:color w:val="000000"/>
          <w:sz w:val="18"/>
        </w:rPr>
        <w:t>Analytical requirements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cantSplit/>
        </w:trPr>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ID</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Requirement</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Acceptance evidence</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AR-001</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cancellation and passenger KPIs shall use flight_cancellations.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Totals reconcile to 2,200 records and 575,710 passengers with all slicers cleared.</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AR-002</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reroute, distance, fuel, and delay KPIs shall use flight_reroutes.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Totals reconcile to 1,500 records, 2,201,390 km, USD 11,658,572.59, and 4,706.30 hours.</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AR-003</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 financial KPIs shall use airline_losses.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Loss and summary disruption metrics remain labeled as modeled summary and undated.</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AR-004</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daily-estimate KPIs shall use airline_losses_estimate.</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Estimate ratios use numerators and denominators from the same 35-airline population.</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AR-005</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and airspace exposure shall be reported separately.</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 deduplicated or additive total is shown unless overlap can be measured.</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AR-006</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Conflict-event analysis shall retain non-country-specific records, keep a complete context calendar and restrict operational comparisons to shared snapshot coverage.</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All 82 events remain available; 42 country values remain null; non-event dates are included.</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AR-007</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Route analysis shall distinguish origin and destination geography.</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Slicer titles and relationships state the geographic role.</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AR-008</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 financial estimates shall not appear to respond to date filters.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Financial visuals exclude the date slicer or explain that the source is undated.</w:t>
            </w:r>
          </w:p>
        </w:tc>
      </w:tr>
    </w:tbl>
    <w:p>
      <w:pPr>
        <w:widowControl/>
        <w:spacing w:after="60" w:before="0"/>
        <w:jc w:val="left"/>
      </w:pPr>
    </w:p>
    <w:p>
      <w:pPr>
        <w:widowControl/>
        <w:spacing w:before="80" w:after="60"/>
        <w:jc w:val="left"/>
      </w:pPr>
      <w:r>
        <w:rPr>
          <w:rFonts w:ascii="Aptos" w:hAnsi="Aptos"/>
          <w:b/>
          <w:color w:val="000000"/>
          <w:sz w:val="18"/>
        </w:rPr>
        <w:t>Reporting requirements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cantSplit/>
        </w:trPr>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ID</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Requirement</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Acceptance evidence</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RR-001</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Every important KPI shall state its population in the measure name, title, subtitle, tooltip, or accompanying scope note.</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 report reviewer can identify detailed, modeled summary, modeled estimate, airport, airspace, or context without opening the model.</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RR-002</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Every slicer shall filter only the visuals represented by its label.</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 country, region, airline, and severity interactions pass visual testing.</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RR-003</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The report shall use explicit measures for governed KPIs.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Cards and analytical visuals do not depend on unintended implicit sums.</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RR-004</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The report shall use accessible, standard visuals where practical.</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No visual displays a license or capacity error; alt text, tab order, and color contrast are reviewed.</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RR-005</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The final report shall contain exactly four pages.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Executive, financial, geopolitical and operational, and regional corridor pages remain available.</w:t>
            </w:r>
          </w:p>
        </w:tc>
      </w:tr>
      <w:tr>
        <w:trPr>
          <w:cantSplit/>
        </w:trPr>
        <w:tc>
          <w:tcPr>
            <w:tcW w:type="dxa" w:w="3175"/>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RR-006</w:t>
            </w:r>
          </w:p>
        </w:tc>
        <w:tc>
          <w:tcPr>
            <w:tcW w:type="dxa" w:w="3175"/>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The report shall explain unavailable date coverage without presenting it as confirmed zero disruption.</w:t>
            </w:r>
          </w:p>
        </w:tc>
        <w:tc>
          <w:tcPr>
            <w:tcW w:type="dxa" w:w="3175"/>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Selections before source coverage display an availability message. On 27 February, cancellation and airport records remain visible when other filters are cleared.</w:t>
            </w:r>
          </w:p>
        </w:tc>
      </w:tr>
    </w:tbl>
    <w:p>
      <w:pPr>
        <w:widowControl/>
        <w:spacing w:after="60" w:before="0"/>
        <w:jc w:val="left"/>
      </w:pPr>
    </w:p>
    <w:p>
      <w:pPr>
        <w:widowControl/>
        <w:spacing w:before="80" w:after="60"/>
        <w:jc w:val="left"/>
      </w:pPr>
      <w:r>
        <w:rPr>
          <w:rFonts w:ascii="Aptos" w:hAnsi="Aptos"/>
          <w:b/>
          <w:color w:val="000000"/>
          <w:sz w:val="18"/>
        </w:rPr>
        <w:t>Data governance requirements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cantSplit/>
        </w:trPr>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ID</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Requirement</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Acceptance evidence</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DG-001</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Raw source files shall remain unchanged.</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Git diff and file-level checks show no raw-data modification.</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DG-002</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Every clean transformation shall be documented and reproducible.</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Seven ETL scripts regenerate seven clean files with expected row counts.</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DG-003</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The project shall preserve valid UTF-8 text.</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Clean CSV and PostgreSQL text match without replacement artifacts.</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DG-004</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The project shall not invent countries, keys, or cross-table relationships unsupported by the source.</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Conflict country remains nullable and the database contains no fabricated PK/FK structure.</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DG-005</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Database validation shall confirm load and view reconciliation without duplicating the full ETL profiling suite.</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Post-load controls cover counts, control totals, coverage, view preservation, and date baseline.</w:t>
            </w:r>
          </w:p>
        </w:tc>
      </w:tr>
    </w:tbl>
    <w:p>
      <w:pPr>
        <w:widowControl/>
        <w:spacing w:after="60" w:before="0"/>
        <w:jc w:val="left"/>
      </w:pPr>
    </w:p>
    <w:p>
      <w:pPr>
        <w:widowControl/>
        <w:spacing w:before="80" w:after="60"/>
        <w:jc w:val="left"/>
      </w:pPr>
      <w:r>
        <w:rPr>
          <w:rFonts w:ascii="Aptos" w:hAnsi="Aptos"/>
          <w:b/>
          <w:color w:val="000000"/>
          <w:sz w:val="18"/>
        </w:rPr>
        <w:t>Reproducibility and release requirements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cantSplit/>
        </w:trPr>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ID</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Requirement</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Acceptance evidence</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RP-001</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 new contributor shall be able to reproduce the clean data from the repository root.</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Documented Python setup and seven scripts complete successfully.</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RP-002</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 new contributor shall be able to rebuild the PostgreSQL layer in the documented order.</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Database, schema, tables, load, views, validation, and analysis run in sequence.</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RP-003</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Power BI credentials shall remain local and outside source control.</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 password or token exists in tracked files; local Power BI cache and credential files are ignored.</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RP-004</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The PBIP text project shall be the source-controlled Power BI artifact.</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Report and semantic-model definitions are tracked while PBIX and .pbi local state are excluded.</w:t>
            </w:r>
          </w:p>
        </w:tc>
      </w:tr>
    </w:tbl>
    <w:p>
      <w:pPr>
        <w:widowControl/>
        <w:spacing w:after="60" w:before="0"/>
        <w:jc w:val="left"/>
      </w:pPr>
    </w:p>
    <w:p>
      <w:pPr>
        <w:pStyle w:val="Heading1"/>
        <w:keepNext/>
        <w:widowControl/>
        <w:jc w:val="left"/>
      </w:pPr>
      <w:r>
        <w:rPr>
          <w:color w:val="000000"/>
        </w:rPr>
        <w:t>8 KPI definitions and controls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tblHeader w:val="true"/>
          <w:cantSplit/>
        </w:trPr>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KPI</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Control total</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Source</w:t>
            </w:r>
          </w:p>
        </w:tc>
        <w:tc>
          <w:tcPr>
            <w:tcW w:type="dxa" w:w="2381"/>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Population</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cancellation records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2,200</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flight_cancellations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 simulated detail</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passengers affected</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575,710</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flight_cancellations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 simulated detail</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reroute records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1,500</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 simulated detail</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additional distance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2,201,390 km</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flight_reroutes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 simulated detail</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extra fuel cost</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USD 11,658,572.59</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flight_reroutes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Dated simulated detail</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reroute delay</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4,706.30 hours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flight_reroutes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Dated simulated detail</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 cancellations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6,030</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 modeled summary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summary reroutes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4,539</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 modeled summary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summary airline loss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USD 21,414,330,000</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 modeled summary</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Modeled average revenue loss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18.81%</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 modeled summary</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Estimated daily loss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USD 48,840,000</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airline_losses_estimate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 modeled estimate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Estimated cancellations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195</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airline_losses_estimate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 modeled estimate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Estimated reroutes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754</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airline_losses_estimate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 modeled estimate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Estimated fuel cost</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USD 27,606,000</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airline_losses_estimate</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Undated modeled estimate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Estimated passengers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119,570</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airline_losses_estimate</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Undated modeled estimate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Airport flights affected</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35,844</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airport_disruptions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Airport exposure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disruption duration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8,218.8 hours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airport_disruptions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exposure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 flights affected</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35,502</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airspace_closures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Closure exposure</w:t>
            </w:r>
          </w:p>
        </w:tc>
      </w:tr>
      <w:tr>
        <w:trPr>
          <w:cantSplit/>
        </w:trPr>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Airspace closure duration</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7,014 hours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airspace_closures</w:t>
            </w:r>
          </w:p>
        </w:tc>
        <w:tc>
          <w:tcPr>
            <w:tcW w:type="dxa" w:w="2381"/>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Closure exposure</w:t>
            </w:r>
          </w:p>
        </w:tc>
      </w:tr>
      <w:tr>
        <w:trPr>
          <w:cantSplit/>
        </w:trPr>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Conflict event records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82</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conflict_events</w:t>
            </w:r>
          </w:p>
        </w:tc>
        <w:tc>
          <w:tcPr>
            <w:tcW w:type="dxa" w:w="2381"/>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Contextual events</w:t>
            </w:r>
          </w:p>
        </w:tc>
      </w:tr>
    </w:tbl>
    <w:p>
      <w:pPr>
        <w:widowControl/>
        <w:spacing w:after="60" w:before="0"/>
        <w:jc w:val="left"/>
      </w:pPr>
    </w:p>
    <w:p>
      <w:pPr>
        <w:widowControl/>
        <w:jc w:val="left"/>
      </w:pPr>
      <w:r>
        <w:t>Control totals are validation anchors for an unfiltered report. They are not targets and must not be changed to match a visual that uses an incorrect filter or population.</w:t>
      </w:r>
    </w:p>
    <w:p>
      <w:pPr>
        <w:pStyle w:val="Heading1"/>
        <w:keepNext/>
        <w:widowControl/>
        <w:jc w:val="left"/>
      </w:pPr>
      <w:r>
        <w:rPr>
          <w:color w:val="000000"/>
        </w:rPr>
        <w:t>9 Assumptions constraints and dependencies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cantSplit/>
        </w:trPr>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Type</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Statement</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Effect</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Assumption</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All seven files belong to the same August 2026 Kaggle snapshot.</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Population differences are treated as source design differences rather than version drift.</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Constraint</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The financial tables contain no date field.</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Financial scenarios cannot be trended or honestly filtered by date.</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Constraint</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No shared flight identifier connects airport, airspace, cancellation, and reroute records.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Cross-table unique-flight totals and overlap rates cannot be calculated.</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Constraint</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Conflict geography is incomplete.</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Forty-two records cannot participate in country analysis without an invented value.</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Dependency</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Power BI uses the PostgreSQL aviation_bi database in Import mode.</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 local refresh requires valid PostgreSQL credentials; service refresh would require a gateway.</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Dependency</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Final findings use checked source populations and report definitions.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The separate Executive Findings document contains verified descriptive values, not causal or mitigation claims.</w:t>
            </w:r>
          </w:p>
        </w:tc>
      </w:tr>
    </w:tbl>
    <w:p>
      <w:pPr>
        <w:widowControl/>
        <w:spacing w:after="60" w:before="0"/>
        <w:jc w:val="left"/>
      </w:pPr>
    </w:p>
    <w:p>
      <w:pPr>
        <w:pStyle w:val="Heading1"/>
        <w:keepNext/>
        <w:widowControl/>
        <w:jc w:val="left"/>
      </w:pPr>
      <w:r>
        <w:rPr>
          <w:color w:val="000000"/>
        </w:rPr>
        <w:t>10 Business risks</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cantSplit/>
        </w:trPr>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Risk</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Consequence</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Required control</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Mixed populations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 ratio or comparison appears valid but has no common denominator.</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Population-specific measures and labels.</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Misleading date filtering</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Users assume an undated estimate changes with the date slicer.</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Remove the slicer from financial pages or state the limitation.</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Double counting</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and airspace exposure is presented as unique affected flights.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Keep both measures separate.</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Unsupported causality</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Contextual event timing is reported as a cause.</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Use association and comparison language only.</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Outdated documentation</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Reviewers see conflicting definitions.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Maintain two authoritative core documents and one separate descriptive findings document.</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Credential exposure</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 local database credential is published.</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Keep credentials outside Git and rotate any credential shared through an insecure channel.</w:t>
            </w:r>
          </w:p>
        </w:tc>
      </w:tr>
    </w:tbl>
    <w:p>
      <w:pPr>
        <w:widowControl/>
        <w:spacing w:after="60" w:before="0"/>
        <w:jc w:val="left"/>
      </w:pPr>
    </w:p>
    <w:p>
      <w:pPr>
        <w:pStyle w:val="Heading1"/>
        <w:keepNext/>
        <w:widowControl/>
        <w:jc w:val="left"/>
      </w:pPr>
      <w:r>
        <w:rPr>
          <w:color w:val="000000"/>
        </w:rPr>
        <w:t>11 Deliverables</w:t>
      </w:r>
    </w:p>
    <w:p>
      <w:pPr>
        <w:pStyle w:val="ListBullet"/>
        <w:widowControl/>
        <w:spacing w:after="40"/>
        <w:jc w:val="left"/>
      </w:pPr>
      <w:r>
        <w:t>Seven immutable raw CSV files and seven reproducible clean CSV files.</w:t>
      </w:r>
    </w:p>
    <w:p>
      <w:pPr>
        <w:pStyle w:val="ListBullet"/>
        <w:widowControl/>
        <w:spacing w:after="40"/>
        <w:jc w:val="left"/>
      </w:pPr>
      <w:r>
        <w:t>Seven Python ETL scripts and shared validation helpers.</w:t>
      </w:r>
    </w:p>
    <w:p>
      <w:pPr>
        <w:pStyle w:val="ListBullet"/>
        <w:widowControl/>
        <w:spacing w:after="40"/>
        <w:jc w:val="left"/>
      </w:pPr>
      <w:r>
        <w:t>Seven PostgreSQL source-aligned tables, a transactional loader, post-load validation, six analysis files, and reporting views.</w:t>
      </w:r>
    </w:p>
    <w:p>
      <w:pPr>
        <w:pStyle w:val="ListBullet"/>
        <w:widowControl/>
        <w:spacing w:after="40"/>
        <w:jc w:val="left"/>
      </w:pPr>
      <w:r>
        <w:t>One four-page PBIP report and semantic model.</w:t>
      </w:r>
    </w:p>
    <w:p>
      <w:pPr>
        <w:pStyle w:val="ListBullet"/>
        <w:widowControl/>
        <w:spacing w:after="40"/>
        <w:jc w:val="left"/>
      </w:pPr>
      <w:r>
        <w:t>One business requirements document and one technical documentation document.</w:t>
      </w:r>
    </w:p>
    <w:p>
      <w:pPr>
        <w:pStyle w:val="ListBullet"/>
        <w:widowControl/>
        <w:spacing w:after="40"/>
        <w:jc w:val="left"/>
      </w:pPr>
      <w:r>
        <w:t>A remediation change log, architecture diagram, final ERD, final report screenshots, and verified executive findings.</w:t>
      </w:r>
    </w:p>
    <w:p>
      <w:pPr>
        <w:pStyle w:val="Heading1"/>
        <w:keepNext/>
        <w:widowControl/>
        <w:jc w:val="left"/>
      </w:pPr>
      <w:r>
        <w:rPr>
          <w:color w:val="000000"/>
        </w:rPr>
        <w:t>12 Acceptance criteria</w:t>
      </w:r>
    </w:p>
    <w:p>
      <w:pPr>
        <w:widowControl/>
        <w:spacing w:after="60"/>
        <w:ind w:left="283" w:hanging="283"/>
        <w:jc w:val="left"/>
      </w:pPr>
      <w:r>
        <w:rPr>
          <w:b/>
        </w:rPr>
        <w:t xml:space="preserve">1. </w:t>
      </w:r>
      <w:r>
        <w:t>All seven raw files remain unchanged and all seven clean files reproduce with expected schemas and row counts.</w:t>
      </w:r>
    </w:p>
    <w:p>
      <w:pPr>
        <w:widowControl/>
        <w:spacing w:after="60"/>
        <w:ind w:left="283" w:hanging="283"/>
        <w:jc w:val="left"/>
      </w:pPr>
      <w:r>
        <w:rPr>
          <w:b/>
        </w:rPr>
        <w:t xml:space="preserve">2. </w:t>
      </w:r>
      <w:r>
        <w:t>PostgreSQL data matches the clean files and all post-load reconciliation checks pass.</w:t>
      </w:r>
    </w:p>
    <w:p>
      <w:pPr>
        <w:widowControl/>
        <w:spacing w:after="60"/>
        <w:ind w:left="283" w:hanging="283"/>
        <w:jc w:val="left"/>
      </w:pPr>
      <w:r>
        <w:rPr>
          <w:b/>
        </w:rPr>
        <w:t xml:space="preserve">3. </w:t>
      </w:r>
      <w:r>
        <w:t>Every important KPI has a documented source, grain, population, date scope, formula, filters, and classification.</w:t>
      </w:r>
    </w:p>
    <w:p>
      <w:pPr>
        <w:widowControl/>
        <w:spacing w:after="60"/>
        <w:ind w:left="283" w:hanging="283"/>
        <w:jc w:val="left"/>
      </w:pPr>
      <w:r>
        <w:rPr>
          <w:b/>
        </w:rPr>
        <w:t xml:space="preserve">4. </w:t>
      </w:r>
      <w:r>
        <w:t>No Power BI calculation silently mixes detailed, summary, or estimate populations.</w:t>
      </w:r>
    </w:p>
    <w:p>
      <w:pPr>
        <w:widowControl/>
        <w:spacing w:after="60"/>
        <w:ind w:left="283" w:hanging="283"/>
        <w:jc w:val="left"/>
      </w:pPr>
      <w:r>
        <w:rPr>
          <w:b/>
        </w:rPr>
        <w:t xml:space="preserve">5. </w:t>
      </w:r>
      <w:r>
        <w:t>Every relationship and slicer behaves according to its displayed meaning.</w:t>
      </w:r>
    </w:p>
    <w:p>
      <w:pPr>
        <w:widowControl/>
        <w:spacing w:after="60"/>
        <w:ind w:left="283" w:hanging="283"/>
        <w:jc w:val="left"/>
      </w:pPr>
      <w:r>
        <w:rPr>
          <w:b/>
        </w:rPr>
        <w:t xml:space="preserve">6. </w:t>
      </w:r>
      <w:r>
        <w:t>The four report pages open without a visual error and match the documented control totals.</w:t>
      </w:r>
    </w:p>
    <w:p>
      <w:pPr>
        <w:widowControl/>
        <w:spacing w:after="60"/>
        <w:ind w:left="283" w:hanging="283"/>
        <w:jc w:val="left"/>
      </w:pPr>
      <w:r>
        <w:rPr>
          <w:b/>
        </w:rPr>
        <w:t xml:space="preserve">7. </w:t>
      </w:r>
      <w:r>
        <w:t>The ERD, README, documentation, model, screenshots, and findings agree.</w:t>
      </w:r>
    </w:p>
    <w:p>
      <w:pPr>
        <w:widowControl/>
        <w:spacing w:after="60"/>
        <w:ind w:left="283" w:hanging="283"/>
        <w:jc w:val="left"/>
      </w:pPr>
      <w:r>
        <w:rPr>
          <w:b/>
        </w:rPr>
        <w:t xml:space="preserve">8. </w:t>
      </w:r>
      <w:r>
        <w:t>A new contributor can reproduce the static project by following the documented procedure.</w:t>
      </w:r>
    </w:p>
    <w:p>
      <w:pPr>
        <w:widowControl/>
        <w:spacing w:after="60"/>
        <w:ind w:left="283" w:hanging="283"/>
        <w:jc w:val="left"/>
      </w:pPr>
      <w:r>
        <w:rPr>
          <w:b/>
        </w:rPr>
        <w:t xml:space="preserve">9. </w:t>
      </w:r>
      <w:r>
        <w:t>No credential, cache, PBIX binary, virtual environment, or temporary file is included in the GitHub release.</w:t>
      </w:r>
    </w:p>
    <w:p>
      <w:pPr>
        <w:pStyle w:val="Heading1"/>
        <w:keepNext/>
        <w:widowControl/>
        <w:jc w:val="left"/>
      </w:pPr>
      <w:r>
        <w:rPr>
          <w:color w:val="000000"/>
        </w:rPr>
        <w:t>13 Requirements traceability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5"/>
        <w:gridCol w:w="1905"/>
        <w:gridCol w:w="1905"/>
        <w:gridCol w:w="1905"/>
        <w:gridCol w:w="1905"/>
      </w:tblGrid>
      <w:tr>
        <w:trPr>
          <w:tblHeader w:val="true"/>
          <w:cantSplit/>
        </w:trPr>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Question</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Subject</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Requirements</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Source</w:t>
            </w:r>
          </w:p>
        </w:tc>
        <w:tc>
          <w:tcPr>
            <w:tcW w:type="dxa" w:w="190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Evidence output</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BQ-01</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Cancellation and reroute concentration</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AR-001, AR-002, AR-007</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flight tables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SQL route analysis and Power BI time/corridor visuals</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BQ-02</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Passenger, distance, fuel, and delay burden</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AR-001, AR-002</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Detailed flight tables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Executive and regional KPI cards</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BQ-03</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concentration</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AR-005</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airport_disruptions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Airport analysis and airport visuals</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BQ-04</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 duration and exposure</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AR-005</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airspace_closures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Airspace analysis and closure visuals</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BQ-05</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Modeled financial exposure</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AR-003</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airline_losses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Financial scenario analysis and summary visuals</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BQ-06</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Summary and estimate differences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BR-002, AR-003, AR-004</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Both financial tables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Coverage reconciliation and population labels</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BQ-07</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Route corridor activity</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AR-002, AR-007</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Detailed flight tables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Route view and corridor visuals</w:t>
            </w:r>
          </w:p>
        </w:tc>
      </w:tr>
      <w:tr>
        <w:trPr>
          <w:cantSplit/>
        </w:trPr>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BQ-08</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Event and non-event dates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AR-006</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Daily baseline and conflict events</w:t>
            </w:r>
          </w:p>
        </w:tc>
        <w:tc>
          <w:tcPr>
            <w:tcW w:type="dxa" w:w="190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Temporal SQL analysis and contextual visuals</w:t>
            </w:r>
          </w:p>
        </w:tc>
      </w:tr>
      <w:tr>
        <w:trPr>
          <w:cantSplit/>
        </w:trPr>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BQ-09</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Limits on interpretation</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BR-004</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All sources</w:t>
            </w:r>
          </w:p>
        </w:tc>
        <w:tc>
          <w:tcPr>
            <w:tcW w:type="dxa" w:w="190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Scope notes, documentation, and final findings</w:t>
            </w:r>
          </w:p>
        </w:tc>
      </w:tr>
    </w:tbl>
    <w:p>
      <w:pPr>
        <w:widowControl/>
        <w:spacing w:after="60" w:before="0"/>
        <w:jc w:val="left"/>
      </w:pPr>
    </w:p>
    <w:p>
      <w:pPr>
        <w:widowControl/>
        <w:spacing w:before="80" w:after="60"/>
        <w:jc w:val="left"/>
      </w:pPr>
      <w:r>
        <w:rPr>
          <w:rFonts w:ascii="Aptos" w:hAnsi="Aptos"/>
          <w:b/>
          <w:color w:val="000000"/>
          <w:sz w:val="18"/>
        </w:rPr>
        <w:t>Mandatory requirement implementation traceability</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62"/>
        <w:gridCol w:w="4762"/>
      </w:tblGrid>
      <w:tr>
        <w:trPr>
          <w:tblHeader w:val="true"/>
          <w:cantSplit/>
        </w:trPr>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Requirement</w:t>
            </w:r>
          </w:p>
        </w:tc>
        <w:tc>
          <w:tcPr>
            <w:tcW w:type="dxa" w:w="4762"/>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Technical traceability</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BR-001</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sections 1, 13, and 14; README project identity and limitations.</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BR-002</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Technical Documentation sections 4, 7, 9, and Appendix C.</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BR-003</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sections 8 and 9; report-output mapping is implemented; final interaction acceptance remains open.</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BR-004</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Technical Documentation sections 4, 8, 10.3, and 14.</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BR-005</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 10.4 and the reproduction procedure in Technical Documentation section 11.</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AR-001</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Technical Documentation sections 4, 5.3, 7, and Appendix C.</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AR-002</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sections 4, 5.3, 7, and Appendix C.</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AR-003</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Technical Documentation sections 4, 8, 9, and Appendix C.</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AR-004</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sections 4, 8, 9, and Appendix C.</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AR-005</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Technical Documentation sections 4, 7, 9, and Appendix C.</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AR-006</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sections 4.1, 7.1, 8, and 9.</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AR-007</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Technical Documentation sections 9, 10.3, 10.4, and Appendix C.</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AR-008</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sections 10.3, 10.4, and Appendix C.</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RR-001</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Technical Documentation sections 10.3 and 10.4; current labels and final tooltip acceptance.</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RR-002</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sections 10.3 and 10.4; final manual interaction tests.</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RR-003</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t>Technical Documentation sections 7 and 10.3; checked visual source bindings.</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RR-004</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t>Technical Documentation sections 10.3 and 10.4; manual accessibility acceptance.</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RR-005</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Technical Documentation section 10.1 and the reproduction procedure in Technical Documentation section 11.</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DG-001</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sections 2, 3, and 5; raw-source hash and Git checks.</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DG-002</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Technical Documentation sections 5.1 through 5.3 and 11.2.</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DG-003</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sections 3, 5.1, 6.2, and 7.1.</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DG-004</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Technical Documentation sections 4.1, 5.3, 6.1, and 14.</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DG-005</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sections 6, 7, and 9.</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RP-001</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Technical Documentation section 11 and the README reproduction sequence.</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RP-002</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sections 6.2, 8, 9, and 11.3.</w:t>
            </w:r>
          </w:p>
        </w:tc>
      </w:tr>
      <w:tr>
        <w:trPr>
          <w:cantSplit/>
        </w:trPr>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RP-003</w:t>
            </w:r>
          </w:p>
        </w:tc>
        <w:tc>
          <w:tcPr>
            <w:tcW w:type="dxa" w:w="4762"/>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Technical Documentation sections 10.1, 11.4, and 13.</w:t>
            </w:r>
          </w:p>
        </w:tc>
      </w:tr>
      <w:tr>
        <w:trPr>
          <w:cantSplit/>
        </w:trPr>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RP-004</w:t>
            </w:r>
          </w:p>
        </w:tc>
        <w:tc>
          <w:tcPr>
            <w:tcW w:type="dxa" w:w="4762"/>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Technical Documentation sections 10.1 and 13; Git ignore and release checks.</w:t>
            </w:r>
          </w:p>
        </w:tc>
      </w:tr>
      <w:tr>
        <w:trPr>
          <w:cantSplit/>
        </w:trPr>
        <w:tc>
          <w:tcPr>
            <w:tcW w:type="dxa" w:w="4762"/>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RR-006</w:t>
            </w:r>
          </w:p>
        </w:tc>
        <w:tc>
          <w:tcPr>
            <w:tcW w:type="dxa" w:w="4762"/>
            <w:vAlign w:val="center"/>
            <w:tcMar>
              <w:top w:w="75" w:type="dxa"/>
              <w:bottom w:w="75" w:type="dxa"/>
              <w:left w:w="95" w:type="dxa"/>
              <w:right w:w="95" w:type="dxa"/>
            </w:tcMar>
            <w:shd w:fill="FFFFFF"/>
          </w:tcPr>
          <w:p>
            <w:pPr>
              <w:keepNext w:val="0"/>
              <w:spacing w:before="0" w:after="60" w:line="252" w:lineRule="auto"/>
              <w:jc w:val="left"/>
            </w:pPr>
            <w:r>
              <w:rPr>
                <w:rFonts w:ascii="Aptos" w:hAnsi="Aptos"/>
                <w:b w:val="0"/>
                <w:color w:val="000000"/>
                <w:sz w:val="20"/>
              </w:rPr>
              <w:t>Technical Documentation sections 10.4 and 12; date boundaries and empty-selection acceptance.</w:t>
            </w:r>
          </w:p>
        </w:tc>
      </w:tr>
    </w:tbl>
    <w:p>
      <w:pPr>
        <w:widowControl/>
        <w:spacing w:after="60" w:before="0"/>
        <w:jc w:val="left"/>
      </w:pPr>
    </w:p>
    <w:p>
      <w:pPr>
        <w:pStyle w:val="Heading1"/>
        <w:keepNext/>
        <w:widowControl/>
        <w:jc w:val="left"/>
      </w:pPr>
      <w:r>
        <w:t>14 Project status and acceptance scope</w:t>
      </w:r>
    </w:p>
    <w:tbl>
      <w:tblPr>
        <w:tblStyle w:val="TableGrid"/>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75"/>
        <w:gridCol w:w="3175"/>
        <w:gridCol w:w="3175"/>
      </w:tblGrid>
      <w:tr>
        <w:trPr>
          <w:tblHeader w:val="true"/>
          <w:cantSplit/>
        </w:trPr>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Stage</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Status</w:t>
            </w:r>
          </w:p>
        </w:tc>
        <w:tc>
          <w:tcPr>
            <w:tcW w:type="dxa" w:w="3175"/>
            <w:shd w:fill="E7EDF4"/>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spacing w:after="60" w:before="0" w:line="252" w:lineRule="auto"/>
              <w:jc w:val="left"/>
            </w:pPr>
            <w:r>
              <w:rPr>
                <w:rFonts w:ascii="Aptos" w:hAnsi="Aptos"/>
                <w:b/>
                <w:color w:val="000000"/>
                <w:sz w:val="20"/>
              </w:rPr>
              <w:t>Meaning</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Data reconciliation</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Complete</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Seven populations, grains, date scopes, and authorities are documented.</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Python and clean data</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center"/>
            </w:pPr>
            <w:r>
              <w:rPr>
                <w:rFonts w:ascii="Aptos" w:hAnsi="Aptos"/>
                <w:b w:val="0"/>
                <w:color w:val="000000"/>
                <w:sz w:val="20"/>
              </w:rPr>
              <w:t>Complete</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ETL and clean outputs have passed the recorded validation.</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PostgreSQL and SQL</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center"/>
            </w:pPr>
            <w:r>
              <w:rPr>
                <w:rFonts w:ascii="Aptos" w:hAnsi="Aptos"/>
                <w:b w:val="0"/>
                <w:color w:val="000000"/>
                <w:sz w:val="20"/>
              </w:rPr>
              <w:t>Complete</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Tables, load, validation, analysis, and views have been executed and reconciled.</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Power BI remediation</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Open acceptance check; see the current audit report</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Principal model corrections are implemented. Final manual interaction and accessibility checks remain open.</w:t>
            </w:r>
          </w:p>
        </w:tc>
      </w:tr>
      <w:tr>
        <w:trPr>
          <w:cantSplit/>
        </w:trPr>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after="60" w:line="252" w:lineRule="auto" w:before="0"/>
              <w:jc w:val="left"/>
            </w:pPr>
            <w:r>
              <w:rPr>
                <w:rFonts w:ascii="Aptos" w:hAnsi="Aptos"/>
                <w:b w:val="0"/>
                <w:color w:val="000000"/>
                <w:sz w:val="20"/>
              </w:rPr>
              <w:t>ERD and report screenshots</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Diagram complete; final capture owned by report author</w:t>
            </w:r>
          </w:p>
        </w:tc>
        <w:tc>
          <w:tcPr>
            <w:tcW w:type="dxa" w:w="3175"/>
            <w:vAlign w:val="center"/>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shd w:fill="FFFFFF"/>
          </w:tcPr>
          <w:p>
            <w:pPr>
              <w:keepNext w:val="0"/>
              <w:spacing w:before="0" w:after="60" w:line="252" w:lineRule="auto"/>
              <w:jc w:val="left"/>
            </w:pPr>
            <w:r>
              <w:rPr>
                <w:rFonts w:ascii="Aptos" w:hAnsi="Aptos"/>
                <w:b w:val="0"/>
                <w:color w:val="000000"/>
                <w:sz w:val="20"/>
              </w:rPr>
              <w:t>Existing images are checked snapshots. The author refreshes screenshots after final Power BI edits.</w:t>
            </w:r>
          </w:p>
        </w:tc>
      </w:tr>
      <w:tr>
        <w:trPr>
          <w:cantSplit/>
        </w:trPr>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Executive findings</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before="0" w:after="60" w:line="252" w:lineRule="auto"/>
              <w:jc w:val="left"/>
            </w:pPr>
            <w:r>
              <w:rPr>
                <w:rFonts w:ascii="Aptos" w:hAnsi="Aptos"/>
                <w:b w:val="0"/>
                <w:color w:val="000000"/>
                <w:sz w:val="20"/>
              </w:rPr>
              <w:t>Descriptive findings documented</w:t>
            </w:r>
          </w:p>
        </w:tc>
        <w:tc>
          <w:tcPr>
            <w:tcW w:type="dxa" w:w="3175"/>
            <w:vAlign w:val="center"/>
            <w:shd w:fill="FFFFFF"/>
            <w:tcMar>
              <w:top w:w="75" w:type="dxa"/>
              <w:start w:w="100" w:type="dxa"/>
              <w:bottom w:w="75" w:type="dxa"/>
              <w:end w:w="100" w:type="dxa"/>
              <w:left w:w="95" w:type="dxa"/>
              <w:right w:w="95" w:type="dxa"/>
            </w:tcMar>
            <w:tcBorders>
              <w:top w:val="single" w:sz="4" w:color="D9D9D9"/>
              <w:left w:val="single" w:sz="4" w:color="D9D9D9"/>
              <w:bottom w:val="single" w:sz="4" w:color="D9D9D9"/>
              <w:right w:val="single" w:sz="4" w:color="D9D9D9"/>
              <w:insideH w:val="single" w:sz="4" w:color="D9D9D9"/>
              <w:insideV w:val="single" w:sz="4" w:color="D9D9D9"/>
            </w:tcBorders>
          </w:tcPr>
          <w:p>
            <w:pPr>
              <w:keepNext w:val="0"/>
              <w:spacing w:after="60" w:line="252" w:lineRule="auto" w:before="0"/>
              <w:jc w:val="left"/>
            </w:pPr>
            <w:r>
              <w:rPr>
                <w:rFonts w:ascii="Aptos" w:hAnsi="Aptos"/>
                <w:b w:val="0"/>
                <w:color w:val="000000"/>
                <w:sz w:val="20"/>
              </w:rPr>
              <w:t>Published separately as Global Aviation Disruption Assessment Executive Findings.docx; numerical findings are verified and source populations remain separate.</w:t>
            </w:r>
          </w:p>
        </w:tc>
      </w:tr>
    </w:tbl>
    <w:p>
      <w:pPr>
        <w:widowControl/>
        <w:spacing w:after="60" w:before="0"/>
        <w:jc w:val="left"/>
      </w:pPr>
    </w:p>
    <w:p>
      <w:pPr>
        <w:widowControl/>
        <w:jc w:val="left"/>
      </w:pPr>
      <w:r>
        <w:t>The source-to-model checks pass within their tested scope. Manual report interaction and accessibility acceptance remain separate. Fresh-laptop clone testing is outside the agreed final check scope and is not reported as passed. The report author owns final Power BI screenshots and exports.</w:t>
      </w:r>
    </w:p>
    <w:p>
      <w:pPr>
        <w:pStyle w:val="Heading1"/>
        <w:keepNext/>
        <w:widowControl/>
        <w:jc w:val="left"/>
      </w:pPr>
      <w:r>
        <w:rPr>
          <w:color w:val="000000"/>
        </w:rPr>
        <w:t>15 References</w:t>
      </w:r>
    </w:p>
    <w:p>
      <w:pPr>
        <w:pStyle w:val="ListBullet"/>
        <w:widowControl/>
        <w:spacing w:after="40"/>
        <w:jc w:val="left"/>
      </w:pPr>
      <w:r>
        <w:t>Kaggle. Global Civil Aviation Disruption 2026 Iran-US War. https://www.kaggle.com/datasets/zkskhurram/global-civil-aviation-disruption2026-iranus-war</w:t>
      </w:r>
    </w:p>
    <w:p>
      <w:pPr>
        <w:pStyle w:val="ListBullet"/>
        <w:widowControl/>
        <w:spacing w:after="40"/>
        <w:jc w:val="left"/>
      </w:pPr>
      <w:r>
        <w:t>ISO. ISO/IEC/IEEE 29148:2018 Systems and software engineering - Life cycle processes - Requirements engineering. https://www.iso.org/standard/72089.html</w:t>
      </w:r>
    </w:p>
    <w:p>
      <w:pPr>
        <w:pStyle w:val="ListBullet"/>
        <w:widowControl/>
        <w:spacing w:after="40"/>
        <w:jc w:val="left"/>
      </w:pPr>
      <w:r>
        <w:t>Microsoft. Microsoft Writing Style Guide. https://learn.microsoft.com/style-guide/welcome/</w:t>
      </w:r>
    </w:p>
    <w:p>
      <w:pPr>
        <w:pStyle w:val="ListBullet"/>
        <w:widowControl/>
        <w:spacing w:after="40"/>
        <w:jc w:val="left"/>
      </w:pPr>
      <w:r>
        <w:t>Microsoft. Understand star schema and the importance for Power BI. https://learn.microsoft.com/power-bi/guidance/star-schema</w:t>
      </w:r>
    </w:p>
    <w:sectPr w:rsidR="00FC693F" w:rsidRPr="0006063C" w:rsidSect="00034616">
      <w:headerReference w:type="default" r:id="rId9"/>
      <w:footerReference w:type="default" r:id="rId10"/>
      <w:pgSz w:w="11906" w:h="16838"/>
      <w:pgMar w:top="1134" w:right="1134" w:bottom="1134"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95959"/>
        <w:sz w:val="16"/>
      </w:rPr>
      <w:t>Business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59" w:lineRule="auto"/>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line="259" w:lineRule="auto"/>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259" w:lineRule="auto"/>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Aptos" w:hAnsi="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59" w:lineRule="auto" w:after="12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9" w:lineRule="auto" w:after="120"/>
      <w:contextualSpacing/>
    </w:pPr>
    <w:rPr>
      <w:rFonts w:ascii="Aptos" w:hAnsi="Apto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Aviation Disruption Assessment 2026 Business Requirements</dc:title>
  <dc:subject>Static simulated aviation portfolio case study</dc:subject>
  <dc:creator>Dhaerya Nauni and Honey Aggarwal</dc:creator>
  <cp:keywords>business requirements, aviation, BI, analytics, portfolio</cp:keywords>
  <dc:description>generated by python-docx</dc:description>
  <cp:lastModifiedBy>Dhaerya Nauni and Honey Aggarwal</cp:lastModifiedBy>
  <cp:revision>1</cp:revision>
  <dcterms:created xsi:type="dcterms:W3CDTF">2013-12-23T23:15:00Z</dcterms:created>
  <dcterms:modified xsi:type="dcterms:W3CDTF">2026-10-01T00:00:00Z</dcterms:modified>
  <cp:category/>
</cp:coreProperties>
</file>