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left"/>
      </w:pPr>
      <w:r>
        <w:rPr>
          <w:color w:val="000000"/>
        </w:rPr>
        <w:t>Global Aviation Disruption Assessment Executive Findings</w:t>
      </w:r>
    </w:p>
    <w:p>
      <w:pPr>
        <w:widowControl/>
        <w:jc w:val="left"/>
      </w:pPr>
      <w:r>
        <w:t>Dhaerya Nauni and Honey Aggarwal | 2 October 2026 | Version 1.1</w:t>
      </w:r>
    </w:p>
    <w:p>
      <w:pPr>
        <w:pStyle w:val="Heading1"/>
        <w:keepNext/>
        <w:widowControl/>
        <w:jc w:val="left"/>
      </w:pPr>
      <w:r>
        <w:rPr>
          <w:color w:val="000000"/>
        </w:rPr>
        <w:t>Executive summary</w:t>
      </w:r>
    </w:p>
    <w:p>
      <w:pPr>
        <w:widowControl/>
        <w:jc w:val="left"/>
      </w:pPr>
      <w:r>
        <w:t>The simulated case study shows concentrated airport and financial exposure in the Middle East, while detailed cancellation and reroute records show different operational populations. These results describe the supplied Kaggle snapshot. They are not verified real-world losses or evidence that conflict caused the reported disruption.</w:t>
      </w:r>
    </w:p>
    <w:p>
      <w:pPr>
        <w:pStyle w:val="ListBullet"/>
        <w:widowControl/>
        <w:jc w:val="left"/>
      </w:pPr>
      <w:r>
        <w:t>The detailed sources contain 2,200 cancellation records affecting 575.7k passengers and 1,500 reroute records. Reroutes add 2.20M km, USD 11.66M in fuel cost and 4.71k delay hours.</w:t>
      </w:r>
    </w:p>
    <w:p>
      <w:pPr>
        <w:pStyle w:val="ListBullet"/>
        <w:widowControl/>
        <w:jc w:val="left"/>
      </w:pPr>
      <w:r>
        <w:t>The Middle East accounts for 56.12% of reported airport-affected flights and 77.85% of modeled summary loss. Each percentage uses its own dataset and denominator.</w:t>
      </w:r>
    </w:p>
    <w:p>
      <w:pPr>
        <w:pStyle w:val="ListBullet"/>
        <w:widowControl/>
        <w:jc w:val="left"/>
      </w:pPr>
      <w:r>
        <w:t>The 70-airline modeled summary reports USD 21.41bn in loss. A separate 35-airline estimate reports USD 48.84M in daily loss. These values have no supplied date and cannot be joined into a daily loss trend.</w:t>
      </w:r>
    </w:p>
    <w:p>
      <w:pPr>
        <w:pStyle w:val="ListBullet"/>
        <w:widowControl/>
        <w:jc w:val="left"/>
      </w:pPr>
      <w:r>
        <w:t>Within the shared 100-day operational window, military-event dates do not consistently show higher disruption counts. The comparison is descriptive and does not measure causality.</w:t>
      </w:r>
    </w:p>
    <w:p>
      <w:pPr>
        <w:pStyle w:val="Heading1"/>
        <w:keepNext/>
        <w:widowControl/>
        <w:jc w:val="left"/>
      </w:pPr>
      <w:r>
        <w:rPr>
          <w:color w:val="000000"/>
        </w:rPr>
        <w:t>How to read the findings</w:t>
      </w:r>
    </w:p>
    <w:p>
      <w:pPr>
        <w:widowControl/>
        <w:jc w:val="left"/>
      </w:pPr>
      <w:r>
        <w:t>Detailed records, modeled summaries, modeled estimates, airport exposure, airspace exposure and conflict context remain separate. A source record count is not a globally verified unique-flight count. No shared identifier proves overlap across these sources.</w:t>
      </w:r>
    </w:p>
    <w:p>
      <w:pPr>
        <w:widowControl/>
        <w:jc w:val="left"/>
      </w:pPr>
      <w:r>
        <w:t>The analysis uses seven files downloaded from the same Kaggle snapshot in the first week of August 2026. Operational date ranges differ by source. Financial tables are undated. Unfiltered report images show the full supplied population for each metric.</w:t>
      </w:r>
    </w:p>
    <w:p>
      <w:pPr>
        <w:widowControl/>
        <w:jc w:val="left"/>
      </w:pPr>
      <w:r>
        <w:br w:type="page"/>
      </w:r>
    </w:p>
    <w:p>
      <w:pPr>
        <w:widowControl/>
        <w:jc w:val="left"/>
      </w:pPr>
      <w:r>
        <w:t>The calendar includes earlier conflict context, but operational records start in late February. A blank operational selection before coverage does not mean confirmed zero disruption. Cancellation and airport records begin on 27 February; reroutes begin on 28 February. Undated financial scenarios do not change with date selections.</w:t>
      </w:r>
    </w:p>
    <w:p>
      <w:pPr>
        <w:pStyle w:val="Heading1"/>
        <w:keepNext/>
        <w:widowControl/>
        <w:jc w:val="left"/>
      </w:pPr>
      <w:r>
        <w:rPr>
          <w:color w:val="000000"/>
        </w:rPr>
        <w:t>Detailed operational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1"/>
        <w:gridCol w:w="2295"/>
        <w:gridCol w:w="4188"/>
      </w:tblGrid>
      <w:tr>
        <w:trPr>
          <w:tblHeade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Metric</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Value</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Source population</w:t>
            </w:r>
          </w:p>
        </w:tc>
      </w:tr>
      <w:tr>
        <w:trP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Cancellation records</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2,200</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Detailed cancellations</w:t>
            </w:r>
          </w:p>
        </w:tc>
      </w:tr>
      <w:tr>
        <w:trP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Cancellation passengers</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575,710</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Detailed cancellations</w:t>
            </w:r>
          </w:p>
        </w:tc>
      </w:tr>
      <w:tr>
        <w:trP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Reroute records</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1,500</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Detailed reroutes</w:t>
            </w:r>
          </w:p>
        </w:tc>
      </w:tr>
      <w:tr>
        <w:trP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Additional distance km</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2,201,390</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Detailed reroutes</w:t>
            </w:r>
          </w:p>
        </w:tc>
      </w:tr>
      <w:tr>
        <w:trP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Additional fuel cost USD</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11,658,572.59</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Detailed reroutes</w:t>
            </w:r>
          </w:p>
        </w:tc>
      </w:tr>
      <w:tr>
        <w:trPr>
          <w:cantSplit/>
        </w:trPr>
        <w:tc>
          <w:tcPr>
            <w:tcW w:type="dxa" w:w="304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Delay hours</w:t>
            </w:r>
          </w:p>
        </w:tc>
        <w:tc>
          <w:tcPr>
            <w:tcW w:type="dxa" w:w="2295"/>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4,706.30</w:t>
            </w:r>
          </w:p>
        </w:tc>
        <w:tc>
          <w:tcPr>
            <w:tcW w:type="dxa" w:w="41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Detailed reroutes</w:t>
            </w:r>
          </w:p>
        </w:tc>
      </w:tr>
    </w:tbl>
    <w:p>
      <w:pPr>
        <w:widowControl/>
        <w:jc w:val="left"/>
      </w:pPr>
      <w:r>
        <w:t>Cancellation records cover 27 February to 7 June 2026. Reroute records cover 28 February to 7 June 2026. The passenger total belongs to cancellations; the reroute dataset has no reroute-passenger field.</w:t>
      </w:r>
    </w:p>
    <w:p>
      <w:pPr>
        <w:pStyle w:val="Heading2"/>
        <w:keepNext/>
        <w:widowControl/>
        <w:jc w:val="left"/>
      </w:pPr>
      <w:r>
        <w:rPr>
          <w:color w:val="000000"/>
        </w:rPr>
        <w:t>Europe to Middle East is the leading reroute corridor</w:t>
      </w:r>
    </w:p>
    <w:p>
      <w:pPr>
        <w:widowControl/>
        <w:jc w:val="left"/>
      </w:pPr>
      <w:r>
        <w:t>The Europe to Middle East corridor has 196 reroute records, or 13.07% of all detailed reroutes. Middle East to Europe has 168. Direction matters, so these are separate corridors. The ranking describes record concentration, not a reroute rate, because scheduled-flight denominators are absent.</w:t>
      </w:r>
    </w:p>
    <w:p>
      <w:pPr>
        <w:pStyle w:val="Heading2"/>
        <w:keepNext/>
        <w:widowControl/>
        <w:jc w:val="left"/>
      </w:pPr>
      <w:r>
        <w:rPr>
          <w:color w:val="000000"/>
        </w:rPr>
        <w:t>Cancellation reasons are supplied labels</w:t>
      </w:r>
    </w:p>
    <w:p>
      <w:pPr>
        <w:widowControl/>
        <w:jc w:val="left"/>
      </w:pPr>
      <w:r>
        <w:t>Security risk related to a conflict zone is the most frequent cancellation label with 222 records, followed by air traffic control congestion with 215 and temporary corridor suspension with 213. These labels describe simulated source records. They do not independently establish the cause of real flights being cancelled.</w:t>
      </w:r>
    </w:p>
    <w:p>
      <w:pPr>
        <w:pStyle w:val="Heading2"/>
        <w:keepNext/>
        <w:widowControl/>
        <w:jc w:val="left"/>
      </w:pPr>
      <w:r>
        <w:rPr>
          <w:color w:val="000000"/>
        </w:rPr>
        <w:t>Implication for the case study</w:t>
      </w:r>
    </w:p>
    <w:p>
      <w:pPr>
        <w:widowControl/>
        <w:jc w:val="left"/>
      </w:pPr>
      <w:r>
        <w:t>The report supports comparison of supplied record counts, distance, fuel and delay by date and corridor. It cannot measure airline cancellation rates, mitigation effectiveness or passenger occupancy without suitable denominators and additional source data.</w:t>
      </w:r>
    </w:p>
    <w:p>
      <w:pPr>
        <w:widowControl/>
        <w:jc w:val="left"/>
      </w:pPr>
      <w:r>
        <w:br w:type="page"/>
      </w:r>
    </w:p>
    <w:p>
      <w:pPr>
        <w:pStyle w:val="Heading1"/>
        <w:keepNext/>
        <w:widowControl/>
        <w:jc w:val="left"/>
      </w:pPr>
      <w:r>
        <w:rPr>
          <w:color w:val="000000"/>
        </w:rPr>
        <w:t>Airport and airspace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7"/>
        <w:gridCol w:w="1721"/>
        <w:gridCol w:w="2296"/>
        <w:gridCol w:w="2180"/>
      </w:tblGrid>
      <w:tr>
        <w:trPr>
          <w:tblHeader/>
          <w:cantSplit/>
        </w:trPr>
        <w:tc>
          <w:tcPr>
            <w:tcW w:type="dxa" w:w="3327"/>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Source</w:t>
            </w:r>
          </w:p>
        </w:tc>
        <w:tc>
          <w:tcPr>
            <w:tcW w:type="dxa" w:w="172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Record count</w:t>
            </w:r>
          </w:p>
        </w:tc>
        <w:tc>
          <w:tcPr>
            <w:tcW w:type="dxa" w:w="22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Reported flights</w:t>
            </w:r>
          </w:p>
        </w:tc>
        <w:tc>
          <w:tcPr>
            <w:tcW w:type="dxa" w:w="21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Hours</w:t>
            </w:r>
          </w:p>
        </w:tc>
      </w:tr>
      <w:tr>
        <w:trPr>
          <w:cantSplit/>
        </w:trPr>
        <w:tc>
          <w:tcPr>
            <w:tcW w:type="dxa" w:w="3327"/>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Airport disruption</w:t>
            </w:r>
          </w:p>
        </w:tc>
        <w:tc>
          <w:tcPr>
            <w:tcW w:type="dxa" w:w="172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227</w:t>
            </w:r>
          </w:p>
        </w:tc>
        <w:tc>
          <w:tcPr>
            <w:tcW w:type="dxa" w:w="22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35,844</w:t>
            </w:r>
          </w:p>
        </w:tc>
        <w:tc>
          <w:tcPr>
            <w:tcW w:type="dxa" w:w="21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8,218.8</w:t>
            </w:r>
          </w:p>
        </w:tc>
      </w:tr>
      <w:tr>
        <w:trPr>
          <w:cantSplit/>
        </w:trPr>
        <w:tc>
          <w:tcPr>
            <w:tcW w:type="dxa" w:w="3327"/>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Airspace closure</w:t>
            </w:r>
          </w:p>
        </w:tc>
        <w:tc>
          <w:tcPr>
            <w:tcW w:type="dxa" w:w="172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84</w:t>
            </w:r>
          </w:p>
        </w:tc>
        <w:tc>
          <w:tcPr>
            <w:tcW w:type="dxa" w:w="22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35,502</w:t>
            </w:r>
          </w:p>
        </w:tc>
        <w:tc>
          <w:tcPr>
            <w:tcW w:type="dxa" w:w="21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7,014.0</w:t>
            </w:r>
          </w:p>
        </w:tc>
      </w:tr>
    </w:tbl>
    <w:p>
      <w:pPr>
        <w:widowControl/>
        <w:jc w:val="left"/>
      </w:pPr>
      <w:r>
        <w:t>Airport and airspace flight totals are separate exposures. Adding them would imply a deduplicated total that the source cannot support. Their duration totals also describe different records and are not one system-wide disruption duration.</w:t>
      </w:r>
    </w:p>
    <w:p>
      <w:pPr>
        <w:pStyle w:val="Heading2"/>
        <w:keepNext/>
        <w:widowControl/>
        <w:jc w:val="left"/>
      </w:pPr>
      <w:r>
        <w:rPr>
          <w:color w:val="000000"/>
        </w:rPr>
        <w:t>Airport exposure is concentrated in the Middle East</w:t>
      </w:r>
    </w:p>
    <w:p>
      <w:pPr>
        <w:widowControl/>
        <w:jc w:val="left"/>
      </w:pPr>
      <w:r>
        <w:t>The Middle East has 20,116 airport-affected flights, or 56.12% of the airport total. Asia Pacific follows with 4,354 and Europe with 3,323. These shares use flights_affected from airport_disruptions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01"/>
        <w:gridCol w:w="2524"/>
      </w:tblGrid>
      <w:tr>
        <w:trPr>
          <w:tblHeader/>
          <w:cantSplit/>
        </w:trPr>
        <w:tc>
          <w:tcPr>
            <w:tcW w:type="dxa" w:w="700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Leading airport</w:t>
            </w:r>
          </w:p>
        </w:tc>
        <w:tc>
          <w:tcPr>
            <w:tcW w:type="dxa" w:w="252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Reported flights</w:t>
            </w:r>
          </w:p>
        </w:tc>
      </w:tr>
      <w:tr>
        <w:trPr>
          <w:cantSplit/>
        </w:trPr>
        <w:tc>
          <w:tcPr>
            <w:tcW w:type="dxa" w:w="700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Imam Khomeini International Airport</w:t>
            </w:r>
          </w:p>
        </w:tc>
        <w:tc>
          <w:tcPr>
            <w:tcW w:type="dxa" w:w="252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before="0" w:after="60" w:line="252" w:lineRule="auto"/>
              <w:jc w:val="center"/>
            </w:pPr>
            <w:r>
              <w:rPr>
                <w:rFonts w:ascii="Aptos" w:hAnsi="Aptos"/>
                <w:b w:val="0"/>
                <w:color w:val="000000"/>
                <w:sz w:val="20"/>
              </w:rPr>
              <w:t>1,651</w:t>
            </w:r>
          </w:p>
        </w:tc>
      </w:tr>
      <w:tr>
        <w:trPr>
          <w:cantSplit/>
        </w:trPr>
        <w:tc>
          <w:tcPr>
            <w:tcW w:type="dxa" w:w="700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Basra International Airport</w:t>
            </w:r>
          </w:p>
        </w:tc>
        <w:tc>
          <w:tcPr>
            <w:tcW w:type="dxa" w:w="252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before="0" w:after="60" w:line="252" w:lineRule="auto"/>
              <w:jc w:val="center"/>
            </w:pPr>
            <w:r>
              <w:rPr>
                <w:rFonts w:ascii="Aptos" w:hAnsi="Aptos"/>
                <w:b w:val="0"/>
                <w:color w:val="000000"/>
                <w:sz w:val="20"/>
              </w:rPr>
              <w:t>1,547</w:t>
            </w:r>
          </w:p>
        </w:tc>
      </w:tr>
      <w:tr>
        <w:trPr>
          <w:cantSplit/>
        </w:trPr>
        <w:tc>
          <w:tcPr>
            <w:tcW w:type="dxa" w:w="700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Queen Alia International Airport</w:t>
            </w:r>
          </w:p>
        </w:tc>
        <w:tc>
          <w:tcPr>
            <w:tcW w:type="dxa" w:w="252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before="0" w:after="60" w:line="252" w:lineRule="auto"/>
              <w:jc w:val="center"/>
            </w:pPr>
            <w:r>
              <w:rPr>
                <w:rFonts w:ascii="Aptos" w:hAnsi="Aptos"/>
                <w:b w:val="0"/>
                <w:color w:val="000000"/>
                <w:sz w:val="20"/>
              </w:rPr>
              <w:t>1,510</w:t>
            </w:r>
          </w:p>
        </w:tc>
      </w:tr>
      <w:tr>
        <w:trPr>
          <w:cantSplit/>
        </w:trPr>
        <w:tc>
          <w:tcPr>
            <w:tcW w:type="dxa" w:w="700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Bahrain International Airport</w:t>
            </w:r>
          </w:p>
        </w:tc>
        <w:tc>
          <w:tcPr>
            <w:tcW w:type="dxa" w:w="252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before="0" w:after="60" w:line="252" w:lineRule="auto"/>
              <w:jc w:val="center"/>
            </w:pPr>
            <w:r>
              <w:rPr>
                <w:rFonts w:ascii="Aptos" w:hAnsi="Aptos"/>
                <w:b w:val="0"/>
                <w:color w:val="000000"/>
                <w:sz w:val="20"/>
              </w:rPr>
              <w:t>1,509</w:t>
            </w:r>
          </w:p>
        </w:tc>
      </w:tr>
      <w:tr>
        <w:trPr>
          <w:cantSplit/>
        </w:trPr>
        <w:tc>
          <w:tcPr>
            <w:tcW w:type="dxa" w:w="7001"/>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Damascus International Airport</w:t>
            </w:r>
          </w:p>
        </w:tc>
        <w:tc>
          <w:tcPr>
            <w:tcW w:type="dxa" w:w="252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before="0" w:after="60" w:line="252" w:lineRule="auto"/>
              <w:jc w:val="center"/>
            </w:pPr>
            <w:r>
              <w:rPr>
                <w:rFonts w:ascii="Aptos" w:hAnsi="Aptos"/>
                <w:b w:val="0"/>
                <w:color w:val="000000"/>
                <w:sz w:val="20"/>
              </w:rPr>
              <w:t>1,491</w:t>
            </w:r>
          </w:p>
        </w:tc>
      </w:tr>
    </w:tbl>
    <w:p>
      <w:pPr>
        <w:pStyle w:val="Heading2"/>
        <w:keepNext/>
        <w:widowControl/>
        <w:jc w:val="left"/>
      </w:pPr>
      <w:r>
        <w:rPr>
          <w:color w:val="000000"/>
        </w:rPr>
        <w:t>Iraq has the largest reported closure duration</w:t>
      </w:r>
    </w:p>
    <w:p>
      <w:pPr>
        <w:widowControl/>
        <w:jc w:val="left"/>
      </w:pPr>
      <w:r>
        <w:t>Iraq has 1,140 closure hours, followed by Lebanon with 744 and Iran with 702. Date selections use closure start dates and sum each selected record in full. They do not calculate hours falling within the selected date interval.</w:t>
      </w:r>
    </w:p>
    <w:p>
      <w:pPr>
        <w:pStyle w:val="Heading2"/>
        <w:keepNext/>
        <w:widowControl/>
        <w:jc w:val="left"/>
      </w:pPr>
      <w:r>
        <w:rPr>
          <w:color w:val="000000"/>
        </w:rPr>
        <w:t>Implication for the case study</w:t>
      </w:r>
    </w:p>
    <w:p>
      <w:pPr>
        <w:widowControl/>
        <w:jc w:val="left"/>
      </w:pPr>
      <w:r>
        <w:t>Keep airport and closure rankings separate when reviewing geographic exposure. To turn these into real operational priorities, verify traffic volumes, overlapping flight identifiers, closure intervals and source coverage first.</w:t>
      </w:r>
    </w:p>
    <w:p>
      <w:pPr>
        <w:widowControl/>
        <w:jc w:val="left"/>
      </w:pPr>
      <w:r>
        <w:br w:type="page"/>
      </w:r>
    </w:p>
    <w:p>
      <w:pPr>
        <w:pStyle w:val="Heading1"/>
        <w:keepNext/>
        <w:widowControl/>
        <w:jc w:val="left"/>
      </w:pPr>
      <w:r>
        <w:rPr>
          <w:color w:val="000000"/>
        </w:rPr>
        <w:t>Modeled financial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3"/>
        <w:gridCol w:w="2468"/>
        <w:gridCol w:w="4073"/>
      </w:tblGrid>
      <w:tr>
        <w:trPr>
          <w:tblHeade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Metric</w:t>
            </w:r>
          </w:p>
        </w:tc>
        <w:tc>
          <w:tcPr>
            <w:tcW w:type="dxa" w:w="24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Value</w:t>
            </w:r>
          </w:p>
        </w:tc>
        <w:tc>
          <w:tcPr>
            <w:tcW w:type="dxa" w:w="407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Population and date scope</w:t>
            </w:r>
          </w:p>
        </w:tc>
      </w:tr>
      <w:tr>
        <w:trP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Modeled summary loss USD</w:t>
            </w:r>
          </w:p>
        </w:tc>
        <w:tc>
          <w:tcPr>
            <w:tcW w:type="dxa" w:w="24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21,414,330,000</w:t>
            </w:r>
          </w:p>
        </w:tc>
        <w:tc>
          <w:tcPr>
            <w:tcW w:type="dxa" w:w="407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70 summary airlines; undated</w:t>
            </w:r>
          </w:p>
        </w:tc>
      </w:tr>
      <w:tr>
        <w:trP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Mean revenue loss</w:t>
            </w:r>
          </w:p>
        </w:tc>
        <w:tc>
          <w:tcPr>
            <w:tcW w:type="dxa" w:w="24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18.81%</w:t>
            </w:r>
          </w:p>
        </w:tc>
        <w:tc>
          <w:tcPr>
            <w:tcW w:type="dxa" w:w="407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Unweighted mean of summary airlines</w:t>
            </w:r>
          </w:p>
        </w:tc>
      </w:tr>
      <w:tr>
        <w:trP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Estimated daily loss USD</w:t>
            </w:r>
          </w:p>
        </w:tc>
        <w:tc>
          <w:tcPr>
            <w:tcW w:type="dxa" w:w="24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48,840,000</w:t>
            </w:r>
          </w:p>
        </w:tc>
        <w:tc>
          <w:tcPr>
            <w:tcW w:type="dxa" w:w="407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35 estimate airlines; undated</w:t>
            </w:r>
          </w:p>
        </w:tc>
      </w:tr>
      <w:tr>
        <w:trP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Estimated fuel cost USD</w:t>
            </w:r>
          </w:p>
        </w:tc>
        <w:tc>
          <w:tcPr>
            <w:tcW w:type="dxa" w:w="24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27,606,000</w:t>
            </w:r>
          </w:p>
        </w:tc>
        <w:tc>
          <w:tcPr>
            <w:tcW w:type="dxa" w:w="407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35 estimate airlines; undated</w:t>
            </w:r>
          </w:p>
        </w:tc>
      </w:tr>
    </w:tbl>
    <w:p>
      <w:pPr>
        <w:widowControl/>
        <w:jc w:val="left"/>
      </w:pPr>
      <w:r>
        <w:t>The Middle East reports USD 16.67bn in modeled summary loss, or 77.85% of that source total. Gulf Air has the largest modeled summary loss at USD 1.76bn, followed by Oman Air at USD 1.63bn and Kuwait Airways at USD 1.55bn. This is scenario exposure, not audited airline financial performance.</w:t>
      </w:r>
    </w:p>
    <w:p>
      <w:pPr>
        <w:pStyle w:val="Heading2"/>
        <w:keepNext/>
        <w:widowControl/>
        <w:jc w:val="left"/>
      </w:pPr>
      <w:r>
        <w:rPr>
          <w:color w:val="000000"/>
        </w:rPr>
        <w:t>The financial populations do not reconcile to operational detail</w:t>
      </w:r>
    </w:p>
    <w:p>
      <w:pPr>
        <w:widowControl/>
        <w:jc w:val="left"/>
      </w:pPr>
      <w:r>
        <w:t>The summary contains 6,030 cancellations and 4,539 reroutes, compared with 2,200 and 1,500 detailed records. The financial sources share 32 airline names; three estimate-only airlines remain available. All sources came from one snapshot, but a common event population or time scope is not provided.</w:t>
      </w:r>
    </w:p>
    <w:p>
      <w:pPr>
        <w:widowControl/>
        <w:jc w:val="left"/>
      </w:pPr>
      <w:r>
        <w:t>Do not multiply estimated daily loss by the operational date count, add it to summary loss, or divide it by detailed reroutes. The undated daily estimate has no supported exposure period. The 18.81% revenue-loss measure is an unweighted airline average, not an industry revenue-weighted loss rate.</w:t>
      </w:r>
    </w:p>
    <w:p>
      <w:pPr>
        <w:pStyle w:val="Heading2"/>
        <w:keepNext/>
        <w:widowControl/>
        <w:jc w:val="left"/>
      </w:pPr>
      <w:r>
        <w:rPr>
          <w:color w:val="000000"/>
        </w:rPr>
        <w:t>Passenger and fuel ratios need careful labels</w:t>
      </w:r>
    </w:p>
    <w:p>
      <w:pPr>
        <w:widowControl/>
        <w:jc w:val="left"/>
      </w:pPr>
      <w:r>
        <w:t>The estimate passenger-to-reroute ratio is 158.58. It is an exposure ratio within the estimate table, not passengers carried on rerouted flights. El Al has estimated passengers but no estimated reroutes, which demonstrates the distinction. Ratios return blank where the denominator is zero.</w:t>
      </w:r>
    </w:p>
    <w:p>
      <w:pPr>
        <w:pStyle w:val="Heading2"/>
        <w:keepNext/>
        <w:widowControl/>
        <w:jc w:val="left"/>
      </w:pPr>
      <w:r>
        <w:rPr>
          <w:color w:val="000000"/>
        </w:rPr>
        <w:t>Implication for the case study</w:t>
      </w:r>
    </w:p>
    <w:p>
      <w:pPr>
        <w:widowControl/>
        <w:jc w:val="left"/>
      </w:pPr>
      <w:r>
        <w:t>Use summary loss to compare the supplied financial scenario and daily estimates to review a separate exposure scenario. Real financial conclusions would require reporting periods, estimate methods and revenue denominators.</w:t>
      </w:r>
    </w:p>
    <w:p>
      <w:pPr>
        <w:widowControl/>
        <w:jc w:val="left"/>
      </w:pPr>
      <w:r>
        <w:br w:type="page"/>
      </w:r>
    </w:p>
    <w:p>
      <w:pPr>
        <w:pStyle w:val="Heading1"/>
        <w:keepNext/>
        <w:widowControl/>
        <w:jc w:val="left"/>
      </w:pPr>
      <w:r>
        <w:rPr>
          <w:color w:val="000000"/>
        </w:rPr>
        <w:t>Event context and interpretation</w:t>
      </w:r>
    </w:p>
    <w:p>
      <w:pPr>
        <w:widowControl/>
        <w:jc w:val="left"/>
      </w:pPr>
      <w:r>
        <w:t>The conflict source has 82 records, including 18 military records. Forty-two records have no defensible country value and remain unresolved. Country filtering therefore describes only records assigned to that country, not all global event context.</w:t>
      </w:r>
    </w:p>
    <w:p>
      <w:pPr>
        <w:widowControl/>
        <w:jc w:val="left"/>
      </w:pPr>
      <w:r>
        <w:t>Operational comparisons use 28 February to 7 June 2026, the intersection of airport, cancellation and reroute date bounds. The wider calendar is retained for context, but dates outside an operational source range are not verified zero-disruption 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3"/>
        <w:gridCol w:w="1033"/>
        <w:gridCol w:w="2754"/>
        <w:gridCol w:w="2754"/>
      </w:tblGrid>
      <w:tr>
        <w:trPr>
          <w:tblHeade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Date group</w:t>
            </w:r>
          </w:p>
        </w:tc>
        <w:tc>
          <w:tcPr>
            <w:tcW w:type="dxa" w:w="103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Days</w:t>
            </w:r>
          </w:p>
        </w:tc>
        <w:tc>
          <w:tcPr>
            <w:tcW w:type="dxa" w:w="275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Cancellation records per day</w:t>
            </w:r>
          </w:p>
        </w:tc>
        <w:tc>
          <w:tcPr>
            <w:tcW w:type="dxa" w:w="275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E7EDF4"/>
          </w:tcPr>
          <w:p>
            <w:pPr>
              <w:keepNext/>
              <w:spacing w:after="60" w:before="0" w:line="252" w:lineRule="auto"/>
              <w:jc w:val="left"/>
            </w:pPr>
            <w:r>
              <w:rPr>
                <w:rFonts w:ascii="Aptos" w:hAnsi="Aptos"/>
                <w:b/>
                <w:color w:val="000000"/>
                <w:sz w:val="20"/>
              </w:rPr>
              <w:t>Reroute records per day</w:t>
            </w:r>
          </w:p>
        </w:tc>
      </w:tr>
      <w:tr>
        <w:trP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Military-event dates</w:t>
            </w:r>
          </w:p>
        </w:tc>
        <w:tc>
          <w:tcPr>
            <w:tcW w:type="dxa" w:w="103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12</w:t>
            </w:r>
          </w:p>
        </w:tc>
        <w:tc>
          <w:tcPr>
            <w:tcW w:type="dxa" w:w="275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21.08</w:t>
            </w:r>
          </w:p>
        </w:tc>
        <w:tc>
          <w:tcPr>
            <w:tcW w:type="dxa" w:w="275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15.08</w:t>
            </w:r>
          </w:p>
        </w:tc>
      </w:tr>
      <w:tr>
        <w:trPr>
          <w:cantSplit/>
        </w:trPr>
        <w:tc>
          <w:tcPr>
            <w:tcW w:type="dxa" w:w="298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left"/>
            </w:pPr>
            <w:r>
              <w:rPr>
                <w:rFonts w:ascii="Aptos" w:hAnsi="Aptos"/>
                <w:b w:val="0"/>
                <w:color w:val="000000"/>
                <w:sz w:val="20"/>
              </w:rPr>
              <w:t>Other dates</w:t>
            </w:r>
          </w:p>
        </w:tc>
        <w:tc>
          <w:tcPr>
            <w:tcW w:type="dxa" w:w="1033"/>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88</w:t>
            </w:r>
          </w:p>
        </w:tc>
        <w:tc>
          <w:tcPr>
            <w:tcW w:type="dxa" w:w="275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22.07</w:t>
            </w:r>
          </w:p>
        </w:tc>
        <w:tc>
          <w:tcPr>
            <w:tcW w:type="dxa" w:w="275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keepNext w:val="0"/>
              <w:spacing w:after="60" w:before="0" w:line="252" w:lineRule="auto"/>
              <w:jc w:val="center"/>
            </w:pPr>
            <w:r>
              <w:rPr>
                <w:rFonts w:ascii="Aptos" w:hAnsi="Aptos"/>
                <w:b w:val="0"/>
                <w:color w:val="000000"/>
                <w:sz w:val="20"/>
              </w:rPr>
              <w:t>14.99</w:t>
            </w:r>
          </w:p>
        </w:tc>
      </w:tr>
    </w:tbl>
    <w:p>
      <w:pPr>
        <w:widowControl/>
        <w:jc w:val="left"/>
      </w:pPr>
      <w:r>
        <w:t>These means describe the supplied records. Cancellation counts are lower on military-event dates, while reroute counts are slightly higher. Neither pattern establishes a conflict effect: source completeness, other causes, timing and a valid counterfactual are unknown.</w:t>
      </w:r>
    </w:p>
    <w:p>
      <w:pPr>
        <w:pStyle w:val="Heading2"/>
        <w:keepNext/>
        <w:widowControl/>
        <w:jc w:val="left"/>
      </w:pPr>
      <w:r>
        <w:rPr>
          <w:color w:val="000000"/>
        </w:rPr>
        <w:t>Supported conclusions and limits</w:t>
      </w:r>
    </w:p>
    <w:p>
      <w:pPr>
        <w:widowControl/>
        <w:jc w:val="left"/>
      </w:pPr>
      <w:r>
        <w:t>The project can identify source-defined concentrations and explain each metric population. It cannot prove that conflict caused disruption, that rerouting prevented cancellations, or that a particular airline was more resilient. The simulated source is not an official ICAO, airline, airport or airspace feed.</w:t>
      </w:r>
    </w:p>
    <w:p>
      <w:pPr>
        <w:pStyle w:val="Heading2"/>
        <w:keepNext/>
        <w:widowControl/>
        <w:jc w:val="left"/>
      </w:pPr>
      <w:r>
        <w:rPr>
          <w:color w:val="000000"/>
        </w:rPr>
        <w:t>Evidence and publication scope</w:t>
      </w:r>
    </w:p>
    <w:p>
      <w:pPr>
        <w:widowControl/>
        <w:jc w:val="left"/>
      </w:pPr>
      <w:r>
        <w:t>Values were recomputed from the clean UTF-8 files and checked against the PostgreSQL and imported model controls. SQL analysis 04 supplies the shared-window comparison. Report captures show the unfiltered default state; filters can change the figures. The complete technical audit records remaining mouse, keyboard, accessibility and manual report acceptance separately; fresh-laptop clone testing is outside the agreed final check scope.</w:t>
      </w:r>
    </w:p>
    <w:p>
      <w:pPr>
        <w:widowControl/>
        <w:jc w:val="left"/>
      </w:pPr>
      <w:r>
        <w:t>Source: Kaggle Global Civil Aviation Disruption 2026 Iran US War. Dataset link: https://www.kaggle.com/datasets/zkskhurram/global-civil-aviation-disruption2026-iranus-war. Data license: CC BY-SA 4.0. Project code license: MIT.</w:t>
      </w:r>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Aptos" w:hAnsi="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Aviation Disruption Assessment Executive Findings</dc:title>
  <dc:subject>Static simulated aviation portfolio case study</dc:subject>
  <dc:creator>Dhaerya Nauni and Honey Aggarwal</dc:creator>
  <cp:keywords/>
  <dc:description>generated by python-docx</dc:description>
  <cp:lastModifiedBy>Dhaerya Nauni and Honey Aggarwal</cp:lastModifiedBy>
  <cp:revision>1</cp:revision>
  <dcterms:created xsi:type="dcterms:W3CDTF">2013-12-23T23:15:00Z</dcterms:created>
  <dcterms:modified xsi:type="dcterms:W3CDTF">2013-12-23T23:15:00Z</dcterms:modified>
  <cp:category/>
</cp:coreProperties>
</file>