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Suryavan Township Business Requirements</w:t>
      </w:r>
    </w:p>
    <w:p>
      <w:pPr>
        <w:widowControl/>
      </w:pPr>
      <w:r>
        <w:t>This document records the business needs, scope, rules and acceptance criteria for centralized plot inventory, booking protection and business intelligence reporting.</w:t>
      </w:r>
    </w:p>
    <w:p>
      <w:pPr>
        <w:widowControl/>
      </w:pPr>
      <w:r>
        <w:t>Dataset period: 1 April 2025 to 30 September 2026.</w:t>
      </w:r>
    </w:p>
    <w:p>
      <w:pPr>
        <w:pStyle w:val="Heading1"/>
      </w:pPr>
      <w:r>
        <w:t>Business context and problem statement</w:t>
      </w:r>
    </w:p>
    <w:p>
      <w:pPr>
        <w:widowControl/>
      </w:pPr>
      <w:r>
        <w:t>A builder converted farmland into residential plots and sold them through multiple brokers. Sales were recorded through manual Excel entry across disconnected records, without a centralized, authoritative view of plot availability, bookings and ownership. This allowed some plots to be sold twice or three times, creating competing ownership claims, financial disputes, refund obligations and reputational damage. Fragmented records also prevented reliable monitoring of inventory, company performance, broker performance and individual plots. The builder requires a centralized system that identifies historical conflicting sales, prevents further bookings against protected plots and alerts the builder when a conflicting booking is attempted. It must also provide consolidated reporting on available, booked, sold, cancelled and disputed inventory; sales value and verified collections since inception; outstanding payments, refunds, government collections and broker commissions; and performance by broker, plot, zone, block, plot size and period.</w:t>
      </w:r>
    </w:p>
    <w:p>
      <w:pPr>
        <w:pStyle w:val="Heading1"/>
      </w:pPr>
      <w:r>
        <w:t>Business objectives</w:t>
      </w:r>
    </w:p>
    <w:p>
      <w:pPr>
        <w:pStyle w:val="ListBullet"/>
        <w:widowControl/>
      </w:pPr>
      <w:r>
        <w:t>Identify competing historical sale claims and the plots, brokers, buyers and monetary exposure associated with them.</w:t>
      </w:r>
    </w:p>
    <w:p>
      <w:pPr>
        <w:pStyle w:val="ListBullet"/>
        <w:widowControl/>
      </w:pPr>
      <w:r>
        <w:t>Prevent further conflicting bookings while preserving rejected attempts and the existing valid booking or unresolved claim.</w:t>
      </w:r>
    </w:p>
    <w:p>
      <w:pPr>
        <w:pStyle w:val="ListBullet"/>
        <w:widowControl/>
      </w:pPr>
      <w:r>
        <w:t>Provide the builder with a reliable inventory view and visibility into company, broker and plot performance.</w:t>
      </w:r>
    </w:p>
    <w:p>
      <w:pPr>
        <w:pStyle w:val="ListBullet"/>
        <w:widowControl/>
      </w:pPr>
      <w:r>
        <w:t>Reconcile collections, obligations, refunds, government balances and commissions so financial reporting supports business decisions.</w:t>
      </w:r>
    </w:p>
    <w:p>
      <w:pPr>
        <w:pStyle w:val="ListBullet"/>
        <w:widowControl/>
      </w:pPr>
      <w:r>
        <w:t>Notify the builder of conflicting attempts with enough information to review and act on them.</w:t>
      </w:r>
    </w:p>
    <w:p>
      <w:pPr>
        <w:pStyle w:val="Heading1"/>
      </w:pPr>
      <w:r>
        <w:t>Stakeholders and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cantSplit/>
          <w:tblHeader/>
        </w:trPr>
        <w:tc>
          <w:tcPr>
            <w:tcW w:type="dxa" w:w="237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Stakeholder</w:t>
            </w:r>
          </w:p>
        </w:tc>
        <w:tc>
          <w:tcPr>
            <w:tcW w:type="dxa" w:w="6984"/>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Business responsibility</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Builder</w:t>
            </w:r>
          </w:p>
        </w:tc>
        <w:tc>
          <w:tcPr>
            <w:tcW w:type="dxa" w:w="6984"/>
            <w:vAlign w:val="center"/>
            <w:tcMar>
              <w:top w:w="85" w:type="dxa"/>
              <w:bottom w:w="85" w:type="dxa"/>
              <w:left w:w="85" w:type="dxa"/>
              <w:right w:w="85" w:type="dxa"/>
            </w:tcMar>
          </w:tcPr>
          <w:p>
            <w:pPr>
              <w:spacing w:after="60" w:before="60" w:line="276" w:lineRule="auto"/>
            </w:pPr>
            <w:r>
              <w:rPr>
                <w:rFonts w:ascii="Calibri" w:hAnsi="Calibri"/>
                <w:b w:val="0"/>
                <w:color w:val="000000"/>
                <w:sz w:val="22"/>
              </w:rPr>
              <w:t>Owns inventory decisions; approves eligible discounts, cancellations, claim resolutions, replacements and commission recovery; receives alerts.</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w:t>
            </w:r>
          </w:p>
        </w:tc>
        <w:tc>
          <w:tcPr>
            <w:tcW w:type="dxa" w:w="6984"/>
            <w:vAlign w:val="center"/>
            <w:tcMar>
              <w:top w:w="85" w:type="dxa"/>
              <w:bottom w:w="85" w:type="dxa"/>
              <w:left w:w="85" w:type="dxa"/>
              <w:right w:w="85" w:type="dxa"/>
            </w:tcMar>
          </w:tcPr>
          <w:p>
            <w:pPr>
              <w:spacing w:after="60" w:before="60" w:line="276" w:lineRule="auto"/>
            </w:pPr>
            <w:r>
              <w:rPr>
                <w:rFonts w:ascii="Calibri" w:hAnsi="Calibri"/>
                <w:b w:val="0"/>
                <w:color w:val="000000"/>
                <w:sz w:val="22"/>
              </w:rPr>
              <w:t>Submits booking and buyer details and supports payment follow-up; cannot override plot protection or approve cancellation.</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Buyer</w:t>
            </w:r>
          </w:p>
        </w:tc>
        <w:tc>
          <w:tcPr>
            <w:tcW w:type="dxa" w:w="6984"/>
            <w:vAlign w:val="center"/>
            <w:tcMar>
              <w:top w:w="85" w:type="dxa"/>
              <w:bottom w:w="85" w:type="dxa"/>
              <w:left w:w="85" w:type="dxa"/>
              <w:right w:w="85" w:type="dxa"/>
            </w:tcMar>
          </w:tcPr>
          <w:p>
            <w:pPr>
              <w:spacing w:after="60" w:before="60" w:line="276" w:lineRule="auto"/>
            </w:pPr>
            <w:r>
              <w:rPr>
                <w:rFonts w:ascii="Calibri" w:hAnsi="Calibri"/>
                <w:b w:val="0"/>
                <w:color w:val="000000"/>
                <w:sz w:val="22"/>
              </w:rPr>
              <w:t>Commits to the agreed payment plan and provides the relevant payment and withholding evidence.</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Administrative or finance function</w:t>
            </w:r>
          </w:p>
        </w:tc>
        <w:tc>
          <w:tcPr>
            <w:tcW w:type="dxa" w:w="6984"/>
            <w:vAlign w:val="center"/>
            <w:tcMar>
              <w:top w:w="85" w:type="dxa"/>
              <w:bottom w:w="85" w:type="dxa"/>
              <w:left w:w="85" w:type="dxa"/>
              <w:right w:w="85" w:type="dxa"/>
            </w:tcMar>
          </w:tcPr>
          <w:p>
            <w:pPr>
              <w:spacing w:after="60" w:before="60" w:line="276" w:lineRule="auto"/>
            </w:pPr>
            <w:r>
              <w:rPr>
                <w:rFonts w:ascii="Calibri" w:hAnsi="Calibri"/>
                <w:b w:val="0"/>
                <w:color w:val="000000"/>
                <w:sz w:val="22"/>
              </w:rPr>
              <w:t>Maintains supporting payment, refund, remittance and registration evidence under builder authority. This is a business responsibility, not a new required dataset entity.</w:t>
            </w:r>
          </w:p>
        </w:tc>
      </w:tr>
      <w:tr>
        <w:trPr>
          <w:cantSplit/>
        </w:trPr>
        <w:tc>
          <w:tcPr>
            <w:tcW w:type="dxa" w:w="2376"/>
            <w:vAlign w:val="center"/>
            <w:tcMar>
              <w:top w:w="85" w:type="dxa"/>
              <w:bottom w:w="85" w:type="dxa"/>
              <w:left w:w="85" w:type="dxa"/>
              <w:right w:w="85" w:type="dxa"/>
            </w:tcMar>
          </w:tcPr>
          <w:p>
            <w:pPr>
              <w:spacing w:after="60" w:before="60" w:line="276" w:lineRule="auto"/>
            </w:pPr>
            <w:r>
              <w:rPr>
                <w:rFonts w:ascii="Calibri" w:hAnsi="Calibri"/>
                <w:b w:val="0"/>
                <w:color w:val="000000"/>
                <w:sz w:val="22"/>
              </w:rPr>
              <w:t>BI developer</w:t>
            </w:r>
          </w:p>
        </w:tc>
        <w:tc>
          <w:tcPr>
            <w:tcW w:type="dxa" w:w="6984"/>
            <w:vAlign w:val="center"/>
            <w:tcMar>
              <w:top w:w="85" w:type="dxa"/>
              <w:bottom w:w="85" w:type="dxa"/>
              <w:left w:w="85" w:type="dxa"/>
              <w:right w:w="85" w:type="dxa"/>
            </w:tcMar>
          </w:tcPr>
          <w:p>
            <w:pPr>
              <w:spacing w:after="60" w:before="60" w:line="276" w:lineRule="auto"/>
            </w:pPr>
            <w:r>
              <w:rPr>
                <w:rFonts w:ascii="Calibri" w:hAnsi="Calibri"/>
                <w:b w:val="0"/>
                <w:color w:val="000000"/>
                <w:sz w:val="22"/>
              </w:rPr>
              <w:t>Translates agreed requirements into data definitions, analysis, reporting and booking controls; verifies calculations and delivery evidence.</w:t>
            </w:r>
          </w:p>
        </w:tc>
      </w:tr>
    </w:tbl>
    <w:p>
      <w:pPr>
        <w:spacing w:after="0"/>
      </w:pPr>
    </w:p>
    <w:p>
      <w:pPr>
        <w:pStyle w:val="Heading1"/>
      </w:pPr>
      <w:r>
        <w:t>Current process</w:t>
      </w:r>
    </w:p>
    <w:p>
      <w:pPr>
        <w:widowControl/>
      </w:pPr>
      <w:r>
        <w:t>Brokers record sale information through manual Excel entry. Disconnected records do not provide a shared, authoritative inventory check before a new sale is recorded. A distinct receipt or submission number identifies the entry but does not establish that its plot has not already been sold. Buyer claims and associated money therefore require reconciliation across records.</w:t>
      </w:r>
    </w:p>
    <w:p>
      <w:pPr>
        <w:widowControl/>
      </w:pPr>
      <w:r>
        <w:t>The builder needs consolidated visibility into stock, booking outcomes, collections and broker activity. An individual transaction record is insufficient to establish plot availability, outstanding balances or overall performance.</w:t>
      </w:r>
    </w:p>
    <w:p>
      <w:pPr>
        <w:pStyle w:val="Heading1"/>
      </w:pPr>
      <w:r>
        <w:t>Required future capabilities</w:t>
      </w:r>
    </w:p>
    <w:p>
      <w:pPr>
        <w:widowControl/>
      </w:pPr>
      <w:r>
        <w:t>A shared inventory record will determine whether a plot is available or protected. Booking requests will retain their outcome and associated evidence. Historical disputes will remain visible until the builder records a resolution. Joint buyers, charge assessments, schedules and monetary movements will remain linked to their booking without being counted as additional sales.</w:t>
      </w:r>
    </w:p>
    <w:p>
      <w:pPr>
        <w:widowControl/>
      </w:pPr>
      <w:r>
        <w:t>Reporting will support review by period, broker, plot, zone, block, area, corner status, payment plan and discount classification. Each aggregate must be traceable to the contributing records. Booking protection operates when a request is submitted; report refresh does not replace that protection.</w:t>
      </w:r>
    </w:p>
    <w:p>
      <w:pPr>
        <w:pStyle w:val="Heading1"/>
      </w:pPr>
      <w:r>
        <w:t>Scope of work</w:t>
      </w:r>
    </w:p>
    <w:p>
      <w:pPr>
        <w:pStyle w:val="Heading2"/>
      </w:pPr>
      <w:r>
        <w:t>Included work and deliverables</w:t>
      </w:r>
    </w:p>
    <w:p>
      <w:pPr>
        <w:pStyle w:val="ListBullet"/>
        <w:widowControl/>
      </w:pPr>
      <w:r>
        <w:t>Maintain the approved demonstration data covering 2,000 plots, eight brokers and records from 1 April 2025 to 30 September 2026, with seven business tables and Parameters support.</w:t>
      </w:r>
    </w:p>
    <w:p>
      <w:pPr>
        <w:pStyle w:val="ListBullet"/>
        <w:widowControl/>
      </w:pPr>
      <w:r>
        <w:t>Document business requirements and field definitions; assess data quality and develop an analysis plan before detailed investigation.</w:t>
      </w:r>
    </w:p>
    <w:p>
      <w:pPr>
        <w:pStyle w:val="ListBullet"/>
        <w:widowControl/>
      </w:pPr>
      <w:r>
        <w:t>Establish a centralized cloud data store, preserve source records and provide validated data for reporting within the delivery constraints.</w:t>
      </w:r>
    </w:p>
    <w:p>
      <w:pPr>
        <w:pStyle w:val="ListBullet"/>
        <w:widowControl/>
      </w:pPr>
      <w:r>
        <w:t>Develop reconciled analytical queries and a BI report covering inventory, conflicts, collections, company performance, broker performance and plot-level review.</w:t>
      </w:r>
    </w:p>
    <w:p>
      <w:pPr>
        <w:pStyle w:val="ListBullet"/>
        <w:widowControl/>
      </w:pPr>
      <w:r>
        <w:t>Implement and demonstrate controlled bookings, builder-only cancellation and claim resolution, and recoverable conflicting-attempt alerts.</w:t>
      </w:r>
    </w:p>
    <w:p>
      <w:pPr>
        <w:pStyle w:val="ListBullet"/>
        <w:widowControl/>
      </w:pPr>
      <w:r>
        <w:t>Document completed technical work and deliver validated insights, recommendations and proposed system enhancements.</w:t>
      </w:r>
    </w:p>
    <w:p>
      <w:pPr>
        <w:pStyle w:val="Heading2"/>
      </w:pPr>
      <w:r>
        <w:t>Exclusions</w:t>
      </w:r>
    </w:p>
    <w:p>
      <w:pPr>
        <w:widowControl/>
      </w:pPr>
      <w:r>
        <w:t>Legal title certification, land-conversion approval, customer identity verification, a production customer portal, construction accounting, land acquisition costs, profit measurement and statutory filing are outside this project. Brokerage GST, withholding on brokerage, mutation and unspecified government fees are not modeled. Financial settlement does not establish legal ownership or registered title.</w:t>
      </w:r>
    </w:p>
    <w:p>
      <w:pPr>
        <w:pStyle w:val="Heading1"/>
      </w:pPr>
      <w:r>
        <w:t>Business rules</w:t>
      </w:r>
    </w:p>
    <w:p>
      <w:pPr>
        <w:pStyle w:val="Heading2"/>
      </w:pPr>
      <w:r>
        <w:t>BR01 Inventory identification</w:t>
      </w:r>
    </w:p>
    <w:p>
      <w:pPr>
        <w:widowControl/>
      </w:pPr>
      <w:r>
        <w:t>Every plot has a permanent identifier comprising its township, zone, block and plot number. The approved inventory includes three plot sizes, 20 blocks and both corner and ordinary plots.</w:t>
      </w:r>
    </w:p>
    <w:p>
      <w:pPr>
        <w:pStyle w:val="Heading2"/>
      </w:pPr>
      <w:r>
        <w:t>BR02 Pricing and discounts</w:t>
      </w:r>
    </w:p>
    <w:p>
      <w:pPr>
        <w:widowControl/>
      </w:pPr>
      <w:r>
        <w:t>Price is INR 50,000 per gaj. A 10 percent corner premium applies before one approved discount. FAMILY5 gives 5 percent and CONTACT3 gives 3 percent; discounts require builder approval and do not stack.</w:t>
      </w:r>
    </w:p>
    <w:p>
      <w:pPr>
        <w:pStyle w:val="Heading2"/>
      </w:pPr>
      <w:r>
        <w:t>BR03 Joint buyers</w:t>
      </w:r>
    </w:p>
    <w:p>
      <w:pPr>
        <w:widowControl/>
      </w:pPr>
      <w:r>
        <w:t>A booking may have one to three buyers with equal ownership shares and exactly one primary contact. Ownership percentages are inferred, not stored.</w:t>
      </w:r>
    </w:p>
    <w:p>
      <w:pPr>
        <w:pStyle w:val="Heading2"/>
      </w:pPr>
      <w:r>
        <w:t>BR04 Payment plans</w:t>
      </w:r>
    </w:p>
    <w:p>
      <w:pPr>
        <w:widowControl/>
      </w:pPr>
      <w:r>
        <w:t>IMMEDIATE requires full plot settlement at booking. M3, M4 and M6 require at least 10 percent plot settlement at booking, followed by installments every 30 days. The maximum original deadline is 180 days.</w:t>
      </w:r>
    </w:p>
    <w:p>
      <w:pPr>
        <w:pStyle w:val="Heading2"/>
      </w:pPr>
      <w:r>
        <w:t>BR05 Booking confirmation</w:t>
      </w:r>
    </w:p>
    <w:p>
      <w:pPr>
        <w:widowControl/>
      </w:pPr>
      <w:r>
        <w:t>Verified plot settlement and required government deposits must be established separately. Government deposits cannot satisfy the plot down payment. Verified buyer withholding settles price without becoming builder bank cash.</w:t>
      </w:r>
    </w:p>
    <w:p>
      <w:pPr>
        <w:pStyle w:val="Heading2"/>
      </w:pPr>
      <w:r>
        <w:t>BR06 Protected inventory</w:t>
      </w:r>
    </w:p>
    <w:p>
      <w:pPr>
        <w:widowControl/>
      </w:pPr>
      <w:r>
        <w:t>An active accepted booking or unresolved historical claim protects the plot from new booking. Historical claims and rejected attempts do not count automatically as valid sales.</w:t>
      </w:r>
    </w:p>
    <w:p>
      <w:pPr>
        <w:pStyle w:val="Heading2"/>
      </w:pPr>
      <w:r>
        <w:t>BR07 Ordinary cancellation</w:t>
      </w:r>
    </w:p>
    <w:p>
      <w:pPr>
        <w:widowControl/>
      </w:pPr>
      <w:r>
        <w:t>Only the builder may approve cancellation. Approval releases the plot even if a refund remains outstanding. Retain 10 percent of agreed plot price and track eligible refunds; cash and tax recovery remain separate.</w:t>
      </w:r>
    </w:p>
    <w:p>
      <w:pPr>
        <w:pStyle w:val="Heading2"/>
      </w:pPr>
      <w:r>
        <w:t>BR08 Claim resolution</w:t>
      </w:r>
    </w:p>
    <w:p>
      <w:pPr>
        <w:widowControl/>
      </w:pPr>
      <w:r>
        <w:t>Unresolved historical claims block new bookings. The builder records a resolution, including supported refund approval or a same-size replacement. Ordinary cancellation retention does not apply to claim victims.</w:t>
      </w:r>
    </w:p>
    <w:p>
      <w:pPr>
        <w:pStyle w:val="Heading2"/>
      </w:pPr>
      <w:r>
        <w:t>BR09 Replacement bookings</w:t>
      </w:r>
    </w:p>
    <w:p>
      <w:pPr>
        <w:widowControl/>
      </w:pPr>
      <w:r>
        <w:t>An approved same-size replacement uses COMP2, a single 2 percent discount, and inherits the original plan and deadlines. Transfers and price differences remain traceable and are not fresh bank collections.</w:t>
      </w:r>
    </w:p>
    <w:p>
      <w:pPr>
        <w:pStyle w:val="Heading2"/>
      </w:pPr>
      <w:r>
        <w:t>BR10 Broker commission</w:t>
      </w:r>
    </w:p>
    <w:p>
      <w:pPr>
        <w:widowControl/>
      </w:pPr>
      <w:r>
        <w:t>The current demonstration dataset calculates broker commission at 2 percent of agreed plot price for financially completed accepted sales, without broker rebates. The final business rate remains open: a 10 percent requirement must be reconciled with this baseline before commission reporting is accepted. The builder determines forfeiture and recovery; premature payments remain identifiable exposures.</w:t>
      </w:r>
    </w:p>
    <w:p>
      <w:pPr>
        <w:pStyle w:val="Heading2"/>
      </w:pPr>
      <w:r>
        <w:t>BR11 Commission recovery</w:t>
      </w:r>
    </w:p>
    <w:p>
      <w:pPr>
        <w:widowControl/>
      </w:pPr>
      <w:r>
        <w:t>Recover paid forfeited commission through repayment or builder-approved offsets against later commission. Recovery cannot exceed the paid recoverable amount.</w:t>
      </w:r>
    </w:p>
    <w:p>
      <w:pPr>
        <w:pStyle w:val="Heading2"/>
      </w:pPr>
      <w:r>
        <w:t>BR12 Government money</w:t>
      </w:r>
    </w:p>
    <w:p>
      <w:pPr>
        <w:widowControl/>
      </w:pPr>
      <w:r>
        <w:t>Separate assessed charges, collections, refunds, retained amounts, remittances and buyer withholding credits. Government deposits are pass-through balances, not plot sales. Remittance alone does not establish nonrefundability.</w:t>
      </w:r>
    </w:p>
    <w:p>
      <w:pPr>
        <w:pStyle w:val="Heading2"/>
      </w:pPr>
      <w:r>
        <w:t>BR13 Late fees</w:t>
      </w:r>
    </w:p>
    <w:p>
      <w:pPr>
        <w:widowControl/>
      </w:pPr>
      <w:r>
        <w:t>Allow seven days of grace, then assess 0.005 percent per day on the unpaid installment balance, without compounding, capped at INR 2,500 per installment. Assessed fees and estimates remain distinct.</w:t>
      </w:r>
    </w:p>
    <w:p>
      <w:pPr>
        <w:pStyle w:val="Heading2"/>
      </w:pPr>
      <w:r>
        <w:t>BR14 Reporting meaning</w:t>
      </w:r>
    </w:p>
    <w:p>
      <w:pPr>
        <w:widowControl/>
      </w:pPr>
      <w:r>
        <w:t>Sold means financially settled for operational reporting. Show disputed accepted value separately from uncontested value. Report inventory status and cancellation history without counting a rebooked plot twice in current inventory.</w:t>
      </w:r>
    </w:p>
    <w:p>
      <w:pPr>
        <w:pStyle w:val="Heading1"/>
      </w:pPr>
      <w:r>
        <w:t>Reporting and operational requirements</w:t>
      </w:r>
    </w:p>
    <w:p>
      <w:pPr>
        <w:pStyle w:val="Heading2"/>
      </w:pPr>
      <w:r>
        <w:t>R01 Inventory visibility</w:t>
      </w:r>
    </w:p>
    <w:p>
      <w:pPr>
        <w:widowControl/>
      </w:pPr>
      <w:r>
        <w:t>The solution shall show current available, booked, sold and blocked inventory, with cancellation and dispute history, by plot, zone, block, area and corner status.</w:t>
      </w:r>
    </w:p>
    <w:p>
      <w:pPr>
        <w:pStyle w:val="Heading2"/>
      </w:pPr>
      <w:r>
        <w:t>R02 Historical conflicting sales</w:t>
      </w:r>
    </w:p>
    <w:p>
      <w:pPr>
        <w:widowControl/>
      </w:pPr>
      <w:r>
        <w:t>The solution shall identify competing historical claims and expose the related plots, brokers, buyers, resolution status and disputed verified collections.</w:t>
      </w:r>
    </w:p>
    <w:p>
      <w:pPr>
        <w:pStyle w:val="Heading2"/>
      </w:pPr>
      <w:r>
        <w:t>R03 Booking protection</w:t>
      </w:r>
    </w:p>
    <w:p>
      <w:pPr>
        <w:widowControl/>
      </w:pPr>
      <w:r>
        <w:t>The solution shall prevent a new conflicting booking on a protected plot and retain the attempted request.</w:t>
      </w:r>
    </w:p>
    <w:p>
      <w:pPr>
        <w:pStyle w:val="Heading2"/>
      </w:pPr>
      <w:r>
        <w:t>R04 Request identity and retries</w:t>
      </w:r>
    </w:p>
    <w:p>
      <w:pPr>
        <w:widowControl/>
      </w:pPr>
      <w:r>
        <w:t>The solution shall identify each request consistently and avoid duplicate records or monetary movements when the same request is retried.</w:t>
      </w:r>
    </w:p>
    <w:p>
      <w:pPr>
        <w:pStyle w:val="Heading2"/>
      </w:pPr>
      <w:r>
        <w:t>R05 Builder authority</w:t>
      </w:r>
    </w:p>
    <w:p>
      <w:pPr>
        <w:widowControl/>
      </w:pPr>
      <w:r>
        <w:t>The solution shall restrict cancellation, claim resolution and inventory release to the builder.</w:t>
      </w:r>
    </w:p>
    <w:p>
      <w:pPr>
        <w:pStyle w:val="Heading2"/>
      </w:pPr>
      <w:r>
        <w:t>R06 Booking and buyer terms</w:t>
      </w:r>
    </w:p>
    <w:p>
      <w:pPr>
        <w:widowControl/>
      </w:pPr>
      <w:r>
        <w:t>The solution shall support the agreed pricing, discounts, equal-share joint buyers, confirmation conditions and payment plans.</w:t>
      </w:r>
    </w:p>
    <w:p>
      <w:pPr>
        <w:pStyle w:val="Heading2"/>
      </w:pPr>
      <w:r>
        <w:t>R07 Builder alerts</w:t>
      </w:r>
    </w:p>
    <w:p>
      <w:pPr>
        <w:widowControl/>
      </w:pPr>
      <w:r>
        <w:t>The solution shall notify the builder when a broker attempts a conflicting booking, identifying the attempt, plot, broker and existing booking or claim.</w:t>
      </w:r>
    </w:p>
    <w:p>
      <w:pPr>
        <w:pStyle w:val="Heading2"/>
      </w:pPr>
      <w:r>
        <w:t>R08 Company performance</w:t>
      </w:r>
    </w:p>
    <w:p>
      <w:pPr>
        <w:widowControl/>
      </w:pPr>
      <w:r>
        <w:t>The report shall show accepted booking and sale activity, sales value, discounts, cancellations and payment-plan performance by period and relevant plot characteristics.</w:t>
      </w:r>
    </w:p>
    <w:p>
      <w:pPr>
        <w:pStyle w:val="Heading2"/>
      </w:pPr>
      <w:r>
        <w:t>R09 Collections since inception</w:t>
      </w:r>
    </w:p>
    <w:p>
      <w:pPr>
        <w:widowControl/>
      </w:pPr>
      <w:r>
        <w:t>The report shall show cumulative and period verified collections from the dataset start, separately identifying plot cash, late fees, government deposits and noncash settlement.</w:t>
      </w:r>
    </w:p>
    <w:p>
      <w:pPr>
        <w:pStyle w:val="Heading2"/>
      </w:pPr>
      <w:r>
        <w:t>R10 Outstanding obligations and refunds</w:t>
      </w:r>
    </w:p>
    <w:p>
      <w:pPr>
        <w:widowControl/>
      </w:pPr>
      <w:r>
        <w:t>The report shall show scheduled obligations, overdue balances, cancellation refund liabilities and claim remedies, with appropriate ageing.</w:t>
      </w:r>
    </w:p>
    <w:p>
      <w:pPr>
        <w:pStyle w:val="Heading2"/>
      </w:pPr>
      <w:r>
        <w:t>R11 Government balances</w:t>
      </w:r>
    </w:p>
    <w:p>
      <w:pPr>
        <w:widowControl/>
      </w:pPr>
      <w:r>
        <w:t>The report shall distinguish charge assessments, deposits collected, amounts remitted, refunds, documented retained amounts and withholding credits.</w:t>
      </w:r>
    </w:p>
    <w:p>
      <w:pPr>
        <w:pStyle w:val="Heading2"/>
      </w:pPr>
      <w:r>
        <w:t>R12 Broker performance</w:t>
      </w:r>
    </w:p>
    <w:p>
      <w:pPr>
        <w:widowControl/>
      </w:pPr>
      <w:r>
        <w:t>The report shall compare accepted sales, verified collections, conflicts, cancellations, payment follow-up and commission outcomes for each broker.</w:t>
      </w:r>
    </w:p>
    <w:p>
      <w:pPr>
        <w:pStyle w:val="Heading2"/>
      </w:pPr>
      <w:r>
        <w:t>R13 Plot-level analysis</w:t>
      </w:r>
    </w:p>
    <w:p>
      <w:pPr>
        <w:widowControl/>
      </w:pPr>
      <w:r>
        <w:t>The report shall support review of a plot and its booking, buyer, financial, registration and conflict history, with comparisons across relevant plot characteristics.</w:t>
      </w:r>
    </w:p>
    <w:p>
      <w:pPr>
        <w:pStyle w:val="Heading2"/>
      </w:pPr>
      <w:r>
        <w:t>R14 Financial consistency</w:t>
      </w:r>
    </w:p>
    <w:p>
      <w:pPr>
        <w:widowControl/>
      </w:pPr>
      <w:r>
        <w:t>The solution shall retain source evidence and apply consistent financial definitions across analytical queries and reports.</w:t>
      </w:r>
    </w:p>
    <w:p>
      <w:pPr>
        <w:pStyle w:val="Heading2"/>
      </w:pPr>
      <w:r>
        <w:t>R15 Protection of private information</w:t>
      </w:r>
    </w:p>
    <w:p>
      <w:pPr>
        <w:widowControl/>
      </w:pPr>
      <w:r>
        <w:t>The public project shall exclude actual customer responses, credentials, private contact details and account identifiers.</w:t>
      </w:r>
    </w:p>
    <w:p>
      <w:pPr>
        <w:pStyle w:val="Heading1"/>
      </w:pPr>
      <w:r>
        <w:t>Constraints assumptions and dependencies</w:t>
      </w:r>
    </w:p>
    <w:p>
      <w:pPr>
        <w:pStyle w:val="Heading2"/>
      </w:pPr>
      <w:r>
        <w:t>Business and data assumptions</w:t>
      </w:r>
    </w:p>
    <w:p>
      <w:pPr>
        <w:widowControl/>
      </w:pPr>
      <w:r>
        <w:t>Synthetic records based on a real project. Suryavan Township is the demonstration name; generated people, amounts, dates and scenario frequencies do not quantify the actual original incidents. The full analysis period is the dataset inception of 1 April 2025 through 30 September 2026, not the verified lifetime of the original business. The simulated control date does not prove a real improvement after deployment.</w:t>
      </w:r>
    </w:p>
    <w:p>
      <w:pPr>
        <w:widowControl/>
      </w:pPr>
      <w:r>
        <w:t>Government assessments carry provisional or illustrative assumptions, including location, historical schedules, valuation inputs and mixed-gender joint ownership treatment. The Data Dictionary defines those calculations and their sources. Conflicting records support investigation but do not establish intent or a legal finding of fraud.</w:t>
      </w:r>
    </w:p>
    <w:p>
      <w:pPr>
        <w:pStyle w:val="Heading2"/>
      </w:pPr>
      <w:r>
        <w:t>Project delivery constraints</w:t>
      </w:r>
    </w:p>
    <w:p>
      <w:pPr>
        <w:widowControl/>
      </w:pPr>
      <w:r>
        <w:t>The portfolio implementation uses personal accounts and targets zero personal spend. Azure service eligibility, expiry and usage limits must be checked before provisioning; trial credits do not establish a permanent free tier. Selected tools include Azure, PostgreSQL and Power BI, with an alert implementation compatible with the account constraints. These are delivery choices and constraints, not invented quotations from the builder.</w:t>
      </w:r>
    </w:p>
    <w:p>
      <w:pPr>
        <w:widowControl/>
      </w:pPr>
      <w:r>
        <w:t>Detailed implementation depends on data assessment, consistent financial definitions, valid service access and verification of booking controls. No unavailable delivery date, performance target, legal certification or client sign-off is assumed.</w:t>
      </w:r>
    </w:p>
    <w:p>
      <w:pPr>
        <w:pStyle w:val="Heading1"/>
      </w:pPr>
      <w:r>
        <w:t>Acceptance criteria</w:t>
      </w:r>
    </w:p>
    <w:p>
      <w:pPr>
        <w:widowControl/>
      </w:pPr>
      <w:r>
        <w:t>The following criteria define the evidence needed to evaluate delivery. Their inclusion does not indicate that implementation or acceptance has already occurred.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440"/>
        <w:gridCol w:w="6696"/>
      </w:tblGrid>
      <w:tr>
        <w:trPr>
          <w:cantSplit/>
          <w:tblHeader/>
        </w:trPr>
        <w:tc>
          <w:tcPr>
            <w:tcW w:type="dxa" w:w="1224"/>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Criterion</w:t>
            </w:r>
          </w:p>
        </w:tc>
        <w:tc>
          <w:tcPr>
            <w:tcW w:type="dxa" w:w="1440"/>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Requirement</w:t>
            </w:r>
          </w:p>
        </w:tc>
        <w:tc>
          <w:tcPr>
            <w:tcW w:type="dxa" w:w="6696"/>
            <w:vAlign w:val="center"/>
            <w:tcMar>
              <w:top w:w="85" w:type="dxa"/>
              <w:bottom w:w="85" w:type="dxa"/>
              <w:left w:w="85" w:type="dxa"/>
              <w:right w:w="85" w:type="dxa"/>
            </w:tcMar>
            <w:shd w:fill="DCE6F1"/>
          </w:tcPr>
          <w:p>
            <w:pPr>
              <w:spacing w:after="60" w:before="60" w:line="276" w:lineRule="auto"/>
            </w:pPr>
            <w:r>
              <w:rPr>
                <w:rFonts w:ascii="Calibri" w:hAnsi="Calibri"/>
                <w:b/>
                <w:color w:val="000000"/>
                <w:sz w:val="22"/>
              </w:rPr>
              <w:t>Required evidence</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AC01</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R01</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Inventory totals reconcile to the permanent plot register. History remains accessible without counting cancelled bookings as current stock.</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AC02</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R02</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Historical claims are traceable and excluded from accepted sales totals; unresolved claims identify protected plots.</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AC03</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R03</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Two competing requests cannot create two active accepted bookings. Rejection preserves the existing booking and inventory.</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AC04</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R04</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An identical retry returns the existing outcome. A changed request using the same identifier is rejected without overwriting the original.</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AC05</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R05</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Broker actions cannot approve or bypass these decisions; the recorded outcome and approval date remain traceable.</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AC06</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R06</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Price calculations agree to INR 0.01; one primary contact exists per valid buyer group; minimum settlement and deposit conditions are checked separately.</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AC07</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R07</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The alert references a retained rejected attempt. Failed delivery remains visible and retryable without creating another booking.</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AC08</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R08</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Totals reconcile to accepted records and consistently distinguish cancelled, disputed and uncontested business.</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AC09</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R09</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Cash totals exclude withholding credits and internal transfers. Receipts, refunds and commission movements reconcile at the selected cutoff.</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AC10</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R10</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Due balances reconcile to allocated verified movements; approved cancelled obligations are excluded from ordinary overdue totals; unpaid refunds remain visible.</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AC11</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R11</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Each component reconciles independently. Government money and withholding do not inflate plot sales or builder cash.</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AC12</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R12</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Volume and conflict rates appear together; earned, paid, forfeited, recovered and outstanding commission amounts reconcile.</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AC13</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R13</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A selected plot can be traced to all related records without multiplying money through joint-buyer or payment joins.</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AC14</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R14</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Independent calculations and report totals agree within INR 0.01, with defined null, date and cutoff treatment.</w:t>
            </w:r>
          </w:p>
        </w:tc>
      </w:tr>
      <w:tr>
        <w:trPr>
          <w:cantSplit/>
        </w:trPr>
        <w:tc>
          <w:tcPr>
            <w:tcW w:type="dxa" w:w="1224"/>
            <w:vAlign w:val="center"/>
            <w:tcMar>
              <w:top w:w="85" w:type="dxa"/>
              <w:bottom w:w="85" w:type="dxa"/>
              <w:left w:w="85" w:type="dxa"/>
              <w:right w:w="85" w:type="dxa"/>
            </w:tcMar>
          </w:tcPr>
          <w:p>
            <w:pPr>
              <w:spacing w:after="60" w:before="60" w:line="276" w:lineRule="auto"/>
            </w:pPr>
            <w:r>
              <w:rPr>
                <w:rFonts w:ascii="Calibri" w:hAnsi="Calibri"/>
                <w:b w:val="0"/>
                <w:color w:val="000000"/>
                <w:sz w:val="22"/>
              </w:rPr>
              <w:t>AC15</w:t>
            </w:r>
          </w:p>
        </w:tc>
        <w:tc>
          <w:tcPr>
            <w:tcW w:type="dxa" w:w="1440"/>
            <w:vAlign w:val="center"/>
            <w:tcMar>
              <w:top w:w="85" w:type="dxa"/>
              <w:bottom w:w="85" w:type="dxa"/>
              <w:left w:w="85" w:type="dxa"/>
              <w:right w:w="85" w:type="dxa"/>
            </w:tcMar>
          </w:tcPr>
          <w:p>
            <w:pPr>
              <w:spacing w:after="60" w:before="60" w:line="276" w:lineRule="auto"/>
            </w:pPr>
            <w:r>
              <w:rPr>
                <w:rFonts w:ascii="Calibri" w:hAnsi="Calibri"/>
                <w:b w:val="0"/>
                <w:color w:val="000000"/>
                <w:sz w:val="22"/>
              </w:rPr>
              <w:t>R15</w:t>
            </w:r>
          </w:p>
        </w:tc>
        <w:tc>
          <w:tcPr>
            <w:tcW w:type="dxa" w:w="6696"/>
            <w:vAlign w:val="center"/>
            <w:tcMar>
              <w:top w:w="85" w:type="dxa"/>
              <w:bottom w:w="85" w:type="dxa"/>
              <w:left w:w="85" w:type="dxa"/>
              <w:right w:w="85" w:type="dxa"/>
            </w:tcMar>
          </w:tcPr>
          <w:p>
            <w:pPr>
              <w:spacing w:after="60" w:before="60" w:line="276" w:lineRule="auto"/>
            </w:pPr>
            <w:r>
              <w:rPr>
                <w:rFonts w:ascii="Calibri" w:hAnsi="Calibri"/>
                <w:b w:val="0"/>
                <w:color w:val="000000"/>
                <w:sz w:val="22"/>
              </w:rPr>
              <w:t>A review of public files and repository exclusions identifies no private source content or secrets.</w:t>
            </w:r>
          </w:p>
        </w:tc>
      </w:tr>
    </w:tbl>
    <w:p>
      <w:pPr>
        <w:spacing w:after="0"/>
      </w:pP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000000"/>
        <w:sz w:val="18"/>
      </w:rPr>
      <w:t>Suryavan Township  Public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line="240" w:lineRule="auto" w:after="40"/>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Suryavan Township Business Requirements</dc:title>
  <dc:subject>Real estate booking controls and business intelligence</dc:subject>
  <dc:creator/>
  <cp:keywords>real estate, business intelligence, requirements, data dictionary</cp:keywords>
  <dc:description>generated by python-docx</dc:description>
  <cp:lastModifiedBy/>
  <cp:revision>1</cp:revision>
  <dcterms:created xsi:type="dcterms:W3CDTF">2013-12-23T23:15:00Z</dcterms:created>
  <dcterms:modified xsi:type="dcterms:W3CDTF">2013-12-23T23:15:00Z</dcterms:modified>
  <cp:category/>
</cp:coreProperties>
</file>