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Suryavan Township Technical Documentation</w:t>
      </w:r>
    </w:p>
    <w:p>
      <w:pPr>
        <w:pStyle w:val="Heading1"/>
      </w:pPr>
      <w:r>
        <w:t>1 Purpose and implementation status</w:t>
      </w:r>
    </w:p>
    <w:p>
      <w:r>
        <w:t>This guide records the Azure data foundation, setup choices and verification. On 17 October 2026, the simplified SQL passed all 124 checks on Azure PostgreSQL 17.11 with SSL. The booking relationship is validated and all seven tables match the earlier baseline. Ingestion is verified; the remaining closure and publication checks are listed in chapter 13. Analysis and Power BI belong to Phase 2.</w:t>
      </w:r>
    </w:p>
    <w:p>
      <w:r>
        <w:t>Synthetic records based on a real project.</w:t>
      </w:r>
    </w:p>
    <w:p>
      <w:pPr>
        <w:pStyle w:val="Heading2"/>
      </w:pPr>
      <w:r>
        <w:t>Workflow and service responsibilities</w:t>
      </w:r>
    </w:p>
    <w:p>
      <w:r>
        <w:t>Source workbook in Blob Storage → ADF Copy activity → PostgreSQL tables → SQL reporting views → Power BI Desktop. Booking controls and builder email alerts will be implemented separately after ingestion and SQL validation.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056"/>
      </w:tblGrid>
      <w:tr>
        <w:trPr>
          <w:tblHeader/>
          <w:cantSplit/>
        </w:trPr>
        <w:tc>
          <w:tcPr>
            <w:tcW w:type="dxa" w:w="2304"/>
            <w:shd w:fill="EFEFEF"/>
            <w:vAlign w:val="center"/>
            <w:tcMar>
              <w:top w:w="80" w:type="dxa"/>
              <w:left w:w="80" w:type="dxa"/>
              <w:bottom w:w="80" w:type="dxa"/>
              <w:right w:w="80" w:type="dxa"/>
            </w:tcMar>
          </w:tcPr>
          <w:p>
            <w:pPr>
              <w:spacing w:after="60" w:line="276" w:lineRule="auto"/>
            </w:pPr>
            <w:r>
              <w:rPr>
                <w:b/>
              </w:rPr>
              <w:t>Service or tool</w:t>
            </w:r>
          </w:p>
        </w:tc>
        <w:tc>
          <w:tcPr>
            <w:tcW w:type="dxa" w:w="7056"/>
            <w:shd w:fill="EFEFEF"/>
            <w:vAlign w:val="center"/>
            <w:tcMar>
              <w:top w:w="80" w:type="dxa"/>
              <w:left w:w="80" w:type="dxa"/>
              <w:bottom w:w="80" w:type="dxa"/>
              <w:right w:w="80" w:type="dxa"/>
            </w:tcMar>
          </w:tcPr>
          <w:p>
            <w:pPr>
              <w:spacing w:after="60" w:line="276" w:lineRule="auto"/>
            </w:pPr>
            <w:r>
              <w:rPr>
                <w:b/>
              </w:rPr>
              <w:t>Responsibility and reason</w:t>
            </w:r>
          </w:p>
        </w:tc>
      </w:tr>
      <w:tr>
        <w:trPr>
          <w:cantSplit/>
        </w:trPr>
        <w:tc>
          <w:tcPr>
            <w:tcW w:type="dxa" w:w="2304"/>
            <w:vAlign w:val="center"/>
            <w:tcMar>
              <w:top w:w="80" w:type="dxa"/>
              <w:left w:w="80" w:type="dxa"/>
              <w:bottom w:w="80" w:type="dxa"/>
              <w:right w:w="80" w:type="dxa"/>
            </w:tcMar>
          </w:tcPr>
          <w:p>
            <w:pPr>
              <w:spacing w:after="60" w:line="276" w:lineRule="auto"/>
            </w:pPr>
            <w:r>
              <w:t>Blob Storage</w:t>
            </w:r>
          </w:p>
        </w:tc>
        <w:tc>
          <w:tcPr>
            <w:tcW w:type="dxa" w:w="7056"/>
            <w:vAlign w:val="center"/>
            <w:tcMar>
              <w:top w:w="80" w:type="dxa"/>
              <w:left w:w="80" w:type="dxa"/>
              <w:bottom w:w="80" w:type="dxa"/>
              <w:right w:w="80" w:type="dxa"/>
            </w:tcMar>
          </w:tcPr>
          <w:p>
            <w:pPr>
              <w:spacing w:after="60" w:line="276" w:lineRule="auto"/>
            </w:pPr>
            <w:r>
              <w:t>Retains the uploaded source workbook independently of database transformations.</w:t>
            </w:r>
          </w:p>
        </w:tc>
      </w:tr>
      <w:tr>
        <w:trPr>
          <w:cantSplit/>
        </w:trPr>
        <w:tc>
          <w:tcPr>
            <w:tcW w:type="dxa" w:w="2304"/>
            <w:vAlign w:val="center"/>
            <w:tcMar>
              <w:top w:w="80" w:type="dxa"/>
              <w:left w:w="80" w:type="dxa"/>
              <w:bottom w:w="80" w:type="dxa"/>
              <w:right w:w="80" w:type="dxa"/>
            </w:tcMar>
          </w:tcPr>
          <w:p>
            <w:pPr>
              <w:spacing w:after="60" w:line="276" w:lineRule="auto"/>
            </w:pPr>
            <w:r>
              <w:t>Azure Data Factory</w:t>
            </w:r>
          </w:p>
        </w:tc>
        <w:tc>
          <w:tcPr>
            <w:tcW w:type="dxa" w:w="7056"/>
            <w:vAlign w:val="center"/>
            <w:tcMar>
              <w:top w:w="80" w:type="dxa"/>
              <w:left w:w="80" w:type="dxa"/>
              <w:bottom w:w="80" w:type="dxa"/>
              <w:right w:w="80" w:type="dxa"/>
            </w:tcMar>
          </w:tcPr>
          <w:p>
            <w:pPr>
              <w:spacing w:after="60" w:line="276" w:lineRule="auto"/>
            </w:pPr>
            <w:r>
              <w:t>Reads workbook sheets and copies their rows to PostgreSQL; provides pipeline execution and monitoring.</w:t>
            </w:r>
          </w:p>
        </w:tc>
      </w:tr>
      <w:tr>
        <w:trPr>
          <w:cantSplit/>
        </w:trPr>
        <w:tc>
          <w:tcPr>
            <w:tcW w:type="dxa" w:w="2304"/>
            <w:vAlign w:val="center"/>
            <w:tcMar>
              <w:top w:w="80" w:type="dxa"/>
              <w:left w:w="80" w:type="dxa"/>
              <w:bottom w:w="80" w:type="dxa"/>
              <w:right w:w="80" w:type="dxa"/>
            </w:tcMar>
          </w:tcPr>
          <w:p>
            <w:pPr>
              <w:spacing w:after="60" w:line="276" w:lineRule="auto"/>
            </w:pPr>
            <w:r>
              <w:t>PostgreSQL Flexible Server</w:t>
            </w:r>
          </w:p>
        </w:tc>
        <w:tc>
          <w:tcPr>
            <w:tcW w:type="dxa" w:w="7056"/>
            <w:vAlign w:val="center"/>
            <w:tcMar>
              <w:top w:w="80" w:type="dxa"/>
              <w:left w:w="80" w:type="dxa"/>
              <w:bottom w:w="80" w:type="dxa"/>
              <w:right w:w="80" w:type="dxa"/>
            </w:tcMar>
          </w:tcPr>
          <w:p>
            <w:pPr>
              <w:spacing w:after="60" w:line="276" w:lineRule="auto"/>
            </w:pPr>
            <w:r>
              <w:t>Stores relational data and supports SQL, exact monetary calculations and later transactional booking controls.</w:t>
            </w:r>
          </w:p>
        </w:tc>
      </w:tr>
      <w:tr>
        <w:trPr>
          <w:cantSplit/>
        </w:trPr>
        <w:tc>
          <w:tcPr>
            <w:tcW w:type="dxa" w:w="2304"/>
            <w:vAlign w:val="center"/>
            <w:tcMar>
              <w:top w:w="80" w:type="dxa"/>
              <w:left w:w="80" w:type="dxa"/>
              <w:bottom w:w="80" w:type="dxa"/>
              <w:right w:w="80" w:type="dxa"/>
            </w:tcMar>
          </w:tcPr>
          <w:p>
            <w:pPr>
              <w:spacing w:after="60" w:line="276" w:lineRule="auto"/>
            </w:pPr>
            <w:r>
              <w:t>VS Code</w:t>
            </w:r>
          </w:p>
        </w:tc>
        <w:tc>
          <w:tcPr>
            <w:tcW w:type="dxa" w:w="7056"/>
            <w:vAlign w:val="center"/>
            <w:tcMar>
              <w:top w:w="80" w:type="dxa"/>
              <w:left w:w="80" w:type="dxa"/>
              <w:bottom w:w="80" w:type="dxa"/>
              <w:right w:w="80" w:type="dxa"/>
            </w:tcMar>
          </w:tcPr>
          <w:p>
            <w:pPr>
              <w:spacing w:after="60" w:line="276" w:lineRule="auto"/>
            </w:pPr>
            <w:r>
              <w:t>Maintains project files and provides an authenticated SQL development connection.</w:t>
            </w:r>
          </w:p>
        </w:tc>
      </w:tr>
      <w:tr>
        <w:trPr>
          <w:cantSplit/>
        </w:trPr>
        <w:tc>
          <w:tcPr>
            <w:tcW w:type="dxa" w:w="2304"/>
            <w:vAlign w:val="center"/>
            <w:tcMar>
              <w:top w:w="80" w:type="dxa"/>
              <w:left w:w="80" w:type="dxa"/>
              <w:bottom w:w="80" w:type="dxa"/>
              <w:right w:w="80" w:type="dxa"/>
            </w:tcMar>
          </w:tcPr>
          <w:p>
            <w:pPr>
              <w:spacing w:after="60" w:line="276" w:lineRule="auto"/>
            </w:pPr>
            <w:r>
              <w:t>Power BI Desktop</w:t>
            </w:r>
          </w:p>
        </w:tc>
        <w:tc>
          <w:tcPr>
            <w:tcW w:type="dxa" w:w="7056"/>
            <w:vAlign w:val="center"/>
            <w:tcMar>
              <w:top w:w="80" w:type="dxa"/>
              <w:left w:w="80" w:type="dxa"/>
              <w:bottom w:w="80" w:type="dxa"/>
              <w:right w:w="80" w:type="dxa"/>
            </w:tcMar>
          </w:tcPr>
          <w:p>
            <w:pPr>
              <w:spacing w:after="60" w:line="276" w:lineRule="auto"/>
            </w:pPr>
            <w:r>
              <w:t>Planned reporting tool that will read validated SQL views directly.</w:t>
            </w:r>
          </w:p>
        </w:tc>
      </w:tr>
      <w:tr>
        <w:trPr>
          <w:cantSplit/>
        </w:trPr>
        <w:tc>
          <w:tcPr>
            <w:tcW w:type="dxa" w:w="2304"/>
            <w:vAlign w:val="center"/>
            <w:tcMar>
              <w:top w:w="80" w:type="dxa"/>
              <w:left w:w="80" w:type="dxa"/>
              <w:bottom w:w="80" w:type="dxa"/>
              <w:right w:w="80" w:type="dxa"/>
            </w:tcMar>
          </w:tcPr>
          <w:p>
            <w:pPr>
              <w:spacing w:after="60" w:line="276" w:lineRule="auto"/>
            </w:pPr>
            <w:r>
              <w:t>Functions and Logic Apps</w:t>
            </w:r>
          </w:p>
        </w:tc>
        <w:tc>
          <w:tcPr>
            <w:tcW w:type="dxa" w:w="7056"/>
            <w:vAlign w:val="center"/>
            <w:tcMar>
              <w:top w:w="80" w:type="dxa"/>
              <w:left w:w="80" w:type="dxa"/>
              <w:bottom w:w="80" w:type="dxa"/>
              <w:right w:w="80" w:type="dxa"/>
            </w:tcMar>
          </w:tcPr>
          <w:p>
            <w:pPr>
              <w:spacing w:after="60" w:line="276" w:lineRule="auto"/>
            </w:pPr>
            <w:r>
              <w:t>Planned Python booking endpoint and Consumption email workflow.</w:t>
            </w:r>
          </w:p>
        </w:tc>
      </w:tr>
    </w:tbl>
    <w:p>
      <w:pPr>
        <w:spacing w:after="0"/>
      </w:pPr>
    </w:p>
    <w:p>
      <w:r>
        <w:t>Blob Storage, ADF and PostgreSQL form the existing ingestion path. The local pipeline is azure/adf/pipeline/pl_load_suryavan.json. The 15 October ADF rerun has matching before and after SQL fingerprints. The latest SQL evidence is evidence/simplified_sql_azure_verification.csv. ADF connection tests after the password reset remain pending.</w:t>
      </w:r>
    </w:p>
    <w:p>
      <w:pPr>
        <w:pStyle w:val="Heading1"/>
        <w:pageBreakBefore/>
      </w:pPr>
      <w:r>
        <w:t>2 Development access and source storage</w:t>
      </w:r>
    </w:p>
    <w:p>
      <w:pPr>
        <w:pStyle w:val="Heading2"/>
      </w:pPr>
      <w:r>
        <w:t>Azure access and VS Code</w:t>
      </w:r>
    </w:p>
    <w:p>
      <w:r>
        <w:t>1. Use the project Azure subscription in the portal. The subscription display name is Free Tier @WorkD. Keep tenant identifiers, subscription identifiers and account credentials outside public documentation.</w:t>
      </w:r>
    </w:p>
    <w:p>
      <w:r>
        <w:t>2. Use the installed Azure Resources, Storage and Functions extensions in VS Code. The PostgreSQL extension provides the database connection and query editor.</w:t>
      </w:r>
    </w:p>
    <w:p>
      <w:r>
        <w:t>3. Verify access in Azure Resources. The portal and VS Code extension provide the current workflow. Azure CLI reported no authenticated account during the latest check; CLI authentication is separate and is not required for these portal and VS Code steps.</w:t>
      </w:r>
    </w:p>
    <w:p>
      <w:pPr>
        <w:pStyle w:val="Heading2"/>
      </w:pPr>
      <w:r>
        <w:t>Create the project resource group</w:t>
      </w:r>
    </w:p>
    <w:p>
      <w:r>
        <w:t>1. Create rg-suryavan-p3 in Central India and keep the project resources in that group. This groups resource management, deployment evidence and project cost review.</w:t>
      </w:r>
    </w:p>
    <w:p>
      <w:pPr>
        <w:pStyle w:val="Heading2"/>
      </w:pPr>
      <w:r>
        <w:t>Create storage and upload the workbook</w:t>
      </w:r>
    </w:p>
    <w:p>
      <w:r>
        <w:t>1. Create stsuryavan in the project group and region. Choose StorageV2, Standard performance, locally redundant storage and the Hot access tier.</w:t>
      </w:r>
    </w:p>
    <w:p>
      <w:r>
        <w:t>2. Disable hierarchical namespace, SFTP and NFS. The source is a small workbook and does not require a Data Lake directory hierarchy or additional transfer protocols.</w:t>
      </w:r>
    </w:p>
    <w:p>
      <w:r>
        <w:t>3. Require secure transfer, set minimum TLS to 1.2 and disable anonymous blob access. Public network access is enabled, but requests still require authorization. Account key access remains enabled in the current configuration.</w:t>
      </w:r>
    </w:p>
    <w:p>
      <w:r>
        <w:t>4. Enable blob and container soft delete for seven days. Keep versioning, change feed, point-in-time restore and additional infrastructure encryption disabled. Microsoft-managed keys provide storage encryption.</w:t>
      </w:r>
    </w:p>
    <w:p>
      <w:r>
        <w:t>5. Create the private raw container and upload Suryavan_Township_Dataset.xlsx from data/raw. The current workbook stores dates as Excel serial numbers with the original date formats. This replaces the earlier ISO date-cell encoding that the ADF reader rejected. Records, formulas and cached results were preserved; the earlier file is archived privately. A remote byte-for-byte file comparison has not been performed.</w:t>
      </w:r>
    </w:p>
    <w:p>
      <w:r>
        <w:t>Standard LRS was selected for a small portfolio dataset with no regional disaster recovery requirement. Hot access supports immediate ingestion. Soft delete provides a short recovery window for accidental deletion; it does not provide version history.</w:t>
      </w:r>
    </w:p>
    <w:p>
      <w:r>
        <w:t xml:space="preserve">Microsoft guidance: </w:t>
      </w:r>
      <w:hyperlink r:id="rId11">
        <w:r>
          <w:rPr>
            <w:color w:val="000000"/>
            <w:u w:val="single"/>
          </w:rPr>
          <w:t>Azure Blob Storage connector and authentication</w:t>
        </w:r>
      </w:hyperlink>
    </w:p>
    <w:p>
      <w:pPr>
        <w:pStyle w:val="Heading1"/>
        <w:pageBreakBefore/>
      </w:pPr>
      <w:r>
        <w:t>3 PostgreSQL server and database</w:t>
      </w:r>
    </w:p>
    <w:p>
      <w:pPr>
        <w:pStyle w:val="Heading2"/>
      </w:pPr>
      <w:r>
        <w:t>Provision the managed server</w:t>
      </w:r>
    </w:p>
    <w:p>
      <w:r>
        <w:t>1. Create Azure Database for PostgreSQL Flexible Server as pg-suryavan-p3 in rg-suryavan-p3, Central India. Use a single server and a development workload configuration.</w:t>
      </w:r>
    </w:p>
    <w:p>
      <w:r>
        <w:t>2. Select PostgreSQL 17, Burstable Standard_B1ms and Premium SSD storage. B1ms supplies one vCore and 2 GiB RAM. Premium SSD v2 was not selected because the required Burstable configuration was unavailable with that storage type.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80"/>
        <w:gridCol w:w="6480"/>
      </w:tblGrid>
      <w:tr>
        <w:trPr>
          <w:tblHeader/>
          <w:cantSplit/>
        </w:trPr>
        <w:tc>
          <w:tcPr>
            <w:tcW w:type="dxa" w:w="2880"/>
            <w:shd w:fill="EFEFEF"/>
            <w:vAlign w:val="center"/>
            <w:tcMar>
              <w:top w:w="80" w:type="dxa"/>
              <w:left w:w="80" w:type="dxa"/>
              <w:bottom w:w="80" w:type="dxa"/>
              <w:right w:w="80" w:type="dxa"/>
            </w:tcMar>
          </w:tcPr>
          <w:p>
            <w:pPr>
              <w:spacing w:after="60" w:line="276" w:lineRule="auto"/>
            </w:pPr>
            <w:r>
              <w:rPr>
                <w:b/>
              </w:rPr>
              <w:t>Setting</w:t>
            </w:r>
          </w:p>
        </w:tc>
        <w:tc>
          <w:tcPr>
            <w:tcW w:type="dxa" w:w="6480"/>
            <w:shd w:fill="EFEFEF"/>
            <w:vAlign w:val="center"/>
            <w:tcMar>
              <w:top w:w="80" w:type="dxa"/>
              <w:left w:w="80" w:type="dxa"/>
              <w:bottom w:w="80" w:type="dxa"/>
              <w:right w:w="80" w:type="dxa"/>
            </w:tcMar>
          </w:tcPr>
          <w:p>
            <w:pPr>
              <w:spacing w:after="60" w:line="276" w:lineRule="auto"/>
            </w:pPr>
            <w:r>
              <w:rPr>
                <w:b/>
              </w:rPr>
              <w:t>Configuration</w:t>
            </w:r>
          </w:p>
        </w:tc>
      </w:tr>
      <w:tr>
        <w:trPr>
          <w:cantSplit/>
        </w:trPr>
        <w:tc>
          <w:tcPr>
            <w:tcW w:type="dxa" w:w="2880"/>
            <w:vAlign w:val="center"/>
            <w:tcMar>
              <w:top w:w="80" w:type="dxa"/>
              <w:left w:w="80" w:type="dxa"/>
              <w:bottom w:w="80" w:type="dxa"/>
              <w:right w:w="80" w:type="dxa"/>
            </w:tcMar>
          </w:tcPr>
          <w:p>
            <w:pPr>
              <w:spacing w:after="60" w:line="276" w:lineRule="auto"/>
            </w:pPr>
            <w:r>
              <w:t>Storage</w:t>
            </w:r>
          </w:p>
        </w:tc>
        <w:tc>
          <w:tcPr>
            <w:tcW w:type="dxa" w:w="6480"/>
            <w:vAlign w:val="center"/>
            <w:tcMar>
              <w:top w:w="80" w:type="dxa"/>
              <w:left w:w="80" w:type="dxa"/>
              <w:bottom w:w="80" w:type="dxa"/>
              <w:right w:w="80" w:type="dxa"/>
            </w:tcMar>
          </w:tcPr>
          <w:p>
            <w:r>
              <w:t>32 GiB; P4; 120 IOPS; autogrow disabled</w:t>
            </w:r>
          </w:p>
        </w:tc>
      </w:tr>
      <w:tr>
        <w:trPr>
          <w:cantSplit/>
        </w:trPr>
        <w:tc>
          <w:tcPr>
            <w:tcW w:type="dxa" w:w="2880"/>
            <w:vAlign w:val="center"/>
            <w:tcMar>
              <w:top w:w="80" w:type="dxa"/>
              <w:left w:w="80" w:type="dxa"/>
              <w:bottom w:w="80" w:type="dxa"/>
              <w:right w:w="80" w:type="dxa"/>
            </w:tcMar>
          </w:tcPr>
          <w:p>
            <w:pPr>
              <w:spacing w:after="60" w:line="276" w:lineRule="auto"/>
            </w:pPr>
            <w:r>
              <w:t>Availability zone</w:t>
            </w:r>
          </w:p>
        </w:tc>
        <w:tc>
          <w:tcPr>
            <w:tcW w:type="dxa" w:w="6480"/>
            <w:vAlign w:val="center"/>
            <w:tcMar>
              <w:top w:w="80" w:type="dxa"/>
              <w:left w:w="80" w:type="dxa"/>
              <w:bottom w:w="80" w:type="dxa"/>
              <w:right w:w="80" w:type="dxa"/>
            </w:tcMar>
          </w:tcPr>
          <w:p>
            <w:r>
              <w:t>Creation choice No preference; assigned zone 2; high availability disabled</w:t>
            </w:r>
          </w:p>
        </w:tc>
      </w:tr>
      <w:tr>
        <w:trPr>
          <w:cantSplit/>
        </w:trPr>
        <w:tc>
          <w:tcPr>
            <w:tcW w:type="dxa" w:w="2880"/>
            <w:vAlign w:val="center"/>
            <w:tcMar>
              <w:top w:w="80" w:type="dxa"/>
              <w:left w:w="80" w:type="dxa"/>
              <w:bottom w:w="80" w:type="dxa"/>
              <w:right w:w="80" w:type="dxa"/>
            </w:tcMar>
          </w:tcPr>
          <w:p>
            <w:pPr>
              <w:spacing w:after="60" w:line="276" w:lineRule="auto"/>
            </w:pPr>
            <w:r>
              <w:t>Backup retention</w:t>
            </w:r>
          </w:p>
        </w:tc>
        <w:tc>
          <w:tcPr>
            <w:tcW w:type="dxa" w:w="6480"/>
            <w:vAlign w:val="center"/>
            <w:tcMar>
              <w:top w:w="80" w:type="dxa"/>
              <w:left w:w="80" w:type="dxa"/>
              <w:bottom w:w="80" w:type="dxa"/>
              <w:right w:w="80" w:type="dxa"/>
            </w:tcMar>
          </w:tcPr>
          <w:p>
            <w:pPr>
              <w:spacing w:after="60" w:line="276" w:lineRule="auto"/>
            </w:pPr>
            <w:r>
              <w:t>Seven days; geo-redundancy disabled</w:t>
            </w:r>
          </w:p>
        </w:tc>
      </w:tr>
      <w:tr>
        <w:trPr>
          <w:cantSplit/>
        </w:trPr>
        <w:tc>
          <w:tcPr>
            <w:tcW w:type="dxa" w:w="2880"/>
            <w:vAlign w:val="center"/>
            <w:tcMar>
              <w:top w:w="80" w:type="dxa"/>
              <w:left w:w="80" w:type="dxa"/>
              <w:bottom w:w="80" w:type="dxa"/>
              <w:right w:w="80" w:type="dxa"/>
            </w:tcMar>
          </w:tcPr>
          <w:p>
            <w:pPr>
              <w:spacing w:after="60" w:line="276" w:lineRule="auto"/>
            </w:pPr>
            <w:r>
              <w:t>Encryption</w:t>
            </w:r>
          </w:p>
        </w:tc>
        <w:tc>
          <w:tcPr>
            <w:tcW w:type="dxa" w:w="6480"/>
            <w:vAlign w:val="center"/>
            <w:tcMar>
              <w:top w:w="80" w:type="dxa"/>
              <w:left w:w="80" w:type="dxa"/>
              <w:bottom w:w="80" w:type="dxa"/>
              <w:right w:w="80" w:type="dxa"/>
            </w:tcMar>
          </w:tcPr>
          <w:p>
            <w:pPr>
              <w:spacing w:after="60" w:line="276" w:lineRule="auto"/>
            </w:pPr>
            <w:r>
              <w:t>Service-managed key</w:t>
            </w:r>
          </w:p>
        </w:tc>
      </w:tr>
    </w:tbl>
    <w:p>
      <w:pPr>
        <w:spacing w:after="0"/>
      </w:pPr>
    </w:p>
    <w:p>
      <w:r>
        <w:t>3. Enable public access restricted by PostgreSQL firewall rules. Keep access from any Azure service disabled. Add the development computer address and the regional ADF runtime ranges described in section 5.</w:t>
      </w:r>
    </w:p>
    <w:p>
      <w:r>
        <w:t>4. Create the suryavan database with UTF8 encoding. Connect in VS Code as pgadmin using port 5432 and SSL; keep the password private.</w:t>
      </w:r>
    </w:p>
    <w:p>
      <w:r>
        <w:t>The B1ms server was selected for the small dataset and demonstration workload. The reviewed offer displayed free allowances of 750 B1ms hours and 32 GB storage per month. The displayed USD 22.08 monthly estimate is the base estimate, not a verified charge after allowances. High availability and geo-redundancy were omitted to limit resources and cost; this configuration accepts interruption risk.</w:t>
      </w:r>
    </w:p>
    <w:p>
      <w:pPr>
        <w:pStyle w:val="Heading2"/>
      </w:pPr>
      <w:r>
        <w:t>Verify the VS Code connection</w:t>
      </w:r>
    </w:p>
    <w:p>
      <w:pPr>
        <w:spacing w:after="0" w:line="240" w:lineRule="auto"/>
      </w:pPr>
      <w:r>
        <w:rPr>
          <w:rFonts w:ascii="Consolas" w:hAnsi="Consolas"/>
          <w:sz w:val="20"/>
        </w:rPr>
        <w:t>SELECT current_database() AS database_name,</w:t>
      </w:r>
    </w:p>
    <w:p>
      <w:pPr>
        <w:spacing w:after="0" w:line="240" w:lineRule="auto"/>
      </w:pPr>
      <w:r>
        <w:rPr>
          <w:rFonts w:ascii="Consolas" w:hAnsi="Consolas"/>
          <w:sz w:val="20"/>
        </w:rPr>
        <w:t xml:space="preserve">       current_user AS username,</w:t>
      </w:r>
    </w:p>
    <w:p>
      <w:pPr>
        <w:spacing w:after="0" w:line="240" w:lineRule="auto"/>
      </w:pPr>
      <w:r>
        <w:rPr>
          <w:rFonts w:ascii="Consolas" w:hAnsi="Consolas"/>
          <w:sz w:val="20"/>
        </w:rPr>
        <w:t xml:space="preserve">       current_setting('server_version') AS postgres_version,</w:t>
      </w:r>
    </w:p>
    <w:p>
      <w:pPr>
        <w:spacing w:after="0" w:line="240" w:lineRule="auto"/>
      </w:pPr>
      <w:r>
        <w:rPr>
          <w:rFonts w:ascii="Consolas" w:hAnsi="Consolas"/>
          <w:sz w:val="20"/>
        </w:rPr>
        <w:t xml:space="preserve">       (SELECT ssl FROM pg_stat_ssl</w:t>
      </w:r>
    </w:p>
    <w:p>
      <w:pPr>
        <w:spacing w:after="0" w:line="240" w:lineRule="auto"/>
      </w:pPr>
      <w:r>
        <w:rPr>
          <w:rFonts w:ascii="Consolas" w:hAnsi="Consolas"/>
          <w:sz w:val="20"/>
        </w:rPr>
        <w:t xml:space="preserve">        WHERE pid = pg_backend_pid()) AS ssl_enabled;</w:t>
      </w:r>
    </w:p>
    <w:p>
      <w:pPr>
        <w:spacing w:after="0"/>
      </w:pPr>
    </w:p>
    <w:p>
      <w:r>
        <w:t>Connection verified on 17 October 2026: suryavan | pgadmin | 17.11 | SSL=true. The project owner ran the prepared script in the connected VS Code psql terminal; saved result files were inspected and compared with the 15 October baseline. Use sql/setup/00_verify_connection.sql to check a new session.</w:t>
      </w:r>
    </w:p>
    <w:p>
      <w:r>
        <w:t xml:space="preserve">Microsoft guidance: </w:t>
      </w:r>
      <w:hyperlink r:id="rId12">
        <w:r>
          <w:rPr>
            <w:color w:val="000000"/>
            <w:u w:val="single"/>
          </w:rPr>
          <w:t>PostgreSQL firewall behavior</w:t>
        </w:r>
      </w:hyperlink>
    </w:p>
    <w:p>
      <w:pPr>
        <w:pStyle w:val="Heading1"/>
        <w:pageBreakBefore/>
      </w:pPr>
      <w:r>
        <w:t>4 Azure Data Factory connections</w:t>
      </w:r>
    </w:p>
    <w:p>
      <w:pPr>
        <w:pStyle w:val="Heading2"/>
      </w:pPr>
      <w:r>
        <w:t>Create the factory and integration runtime</w:t>
      </w:r>
    </w:p>
    <w:p>
      <w:r>
        <w:t>1. Create adf-suryavan-p3 in Central India, version V2, with a public endpoint. Configure Git later.</w:t>
      </w:r>
    </w:p>
    <w:p>
      <w:r>
        <w:t>2. In ADF Manage, create Azure runtime ir-suryavan-centralindia in Central India. Keep managed virtual network disabled for the public-endpoint design.</w:t>
      </w:r>
    </w:p>
    <w:p>
      <w:r>
        <w:t>The pinned runtime makes PostgreSQL firewall ranges predictable. Linked services define connections; datasets and Copy activities are required to load data.</w:t>
      </w:r>
    </w:p>
    <w:p>
      <w:pPr>
        <w:pStyle w:val="Heading2"/>
      </w:pPr>
      <w:r>
        <w:t>Connect Blob Storage</w:t>
      </w:r>
    </w:p>
    <w:p>
      <w:r>
        <w:t>1. In stsuryavan, open Access control (IAM), then Add role assignment. Select Storage Blob Data Reader, Managed identity, Data factory and adf-suryavan-p3. Complete Review + assign. The account-level read role supports connection testing and source browsing without a storage key.</w:t>
      </w:r>
    </w:p>
    <w:p>
      <w:r>
        <w:t>2. Create ls_blob_suryavan using the Azure Blob Storage connector, stsuryavan, system-assigned managed identity and ir-suryavan-centralindia.</w:t>
      </w:r>
    </w:p>
    <w:p>
      <w:r>
        <w:t>3. Allow up to ten minutes for role propagation, then test ls_blob_suryavan. Validate and publish any saved connection changes. Publication does not prove the connection succeeds; retain the successful test separately.</w:t>
      </w:r>
    </w:p>
    <w:p>
      <w:pPr/>
      <w:r>
        <w:t>The initial Blob test returned HTTP 403. Account-level Storage Blob Data Reader access was subsequently assigned to adf-suryavan-p3, and the project owner confirmed a successful retest and publication. Blob connectivity is resolved. A raw-container assignment alone, if present, does not grant account-level container listing.</w:t>
      </w:r>
    </w:p>
    <w:p>
      <w:pPr/>
      <w:r>
        <w:t>Keep raw private. If 403 persists after propagation, check the selected identity, authentication, storage networking and runtime. The generic private-endpoint suggestion does not establish a network fault.</w:t>
      </w:r>
    </w:p>
    <w:p>
      <w:pPr>
        <w:pStyle w:val="Heading2"/>
      </w:pPr>
      <w:r>
        <w:t>Connect PostgreSQL</w:t>
      </w:r>
    </w:p>
    <w:p>
      <w:r>
        <w:t>1. Create ls_pg_suryavan with Azure Database for PostgreSQL connector 2.0 and ir-suryavan-centralindia. Version 2.0 supports the destination.</w:t>
      </w:r>
    </w:p>
    <w:p>
      <w:r>
        <w:t>2. Set host pg-suryavan-p3.postgres.database.azure.com, port 5432, database suryavan, Basic authentication, user pgadmin and SSL Required. Enter the password privately.</w:t>
      </w:r>
    </w:p>
    <w:p>
      <w:r>
        <w:t>3. Test ls_pg_suryavan, validate and publish. The project owner confirmed success on 14 October 2026. The live list showed no pending changes at that time. Linked-service definitions have not yet been exported for the repository.</w:t>
      </w:r>
    </w:p>
    <w:p>
      <w:r>
        <w:t>The managed identity choice applies to Blob access. The PostgreSQL linked service uses the separate database credentials. Do not commit passwords, storage keys or exported secrets to GitHub.</w:t>
      </w:r>
    </w:p>
    <w:p>
      <w:r>
        <w:t xml:space="preserve">Microsoft guidance: </w:t>
      </w:r>
      <w:hyperlink r:id="rId13">
        <w:r>
          <w:rPr>
            <w:color w:val="000000"/>
            <w:u w:val="single"/>
          </w:rPr>
          <w:t>Azure Database for PostgreSQL connector</w:t>
        </w:r>
      </w:hyperlink>
    </w:p>
    <w:p>
      <w:pPr>
        <w:pStyle w:val="Heading1"/>
        <w:pageBreakBefore/>
      </w:pPr>
      <w:r>
        <w:t>5 PostgreSQL firewall configuration</w:t>
      </w:r>
    </w:p>
    <w:p>
      <w:r>
        <w:t>The agreed configuration retains the development computer rule and adds regional ADF IPv4 ranges rather than enabling access from every Azure service. Regional ranges are shared infrastructure addresses; authentication and SSL remain necessary.</w:t>
      </w:r>
    </w:p>
    <w:p>
      <w:r>
        <w:t>1. Download the Microsoft Azure public cloud service-tag file and select DataFactory.CentralIndia. The setup used the file dated 5 October 2026, published on 6 October 2026.</w:t>
      </w:r>
    </w:p>
    <w:p>
      <w:r>
        <w:t>2. Convert each IPv4 CIDR prefix into its first and last address. Add the following rules in PostgreSQL Networking and save. IPv6 prefixes are excluded because this PostgreSQL firewall accepts IPv4 rules.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440"/>
        <w:gridCol w:w="3960"/>
        <w:gridCol w:w="3960"/>
      </w:tblGrid>
      <w:tr>
        <w:trPr>
          <w:tblHeader/>
          <w:cantSplit/>
        </w:trPr>
        <w:tc>
          <w:tcPr>
            <w:tcW w:type="dxa" w:w="1440"/>
            <w:shd w:fill="EFEFEF"/>
            <w:vAlign w:val="center"/>
            <w:tcMar>
              <w:top w:w="80" w:type="dxa"/>
              <w:left w:w="80" w:type="dxa"/>
              <w:bottom w:w="80" w:type="dxa"/>
              <w:right w:w="80" w:type="dxa"/>
            </w:tcMar>
          </w:tcPr>
          <w:p>
            <w:pPr>
              <w:spacing w:after="60" w:line="276" w:lineRule="auto"/>
            </w:pPr>
            <w:r>
              <w:rPr>
                <w:b/>
              </w:rPr>
              <w:t>Rule suffix</w:t>
            </w:r>
          </w:p>
        </w:tc>
        <w:tc>
          <w:tcPr>
            <w:tcW w:type="dxa" w:w="3960"/>
            <w:shd w:fill="EFEFEF"/>
            <w:vAlign w:val="center"/>
            <w:tcMar>
              <w:top w:w="80" w:type="dxa"/>
              <w:left w:w="80" w:type="dxa"/>
              <w:bottom w:w="80" w:type="dxa"/>
              <w:right w:w="80" w:type="dxa"/>
            </w:tcMar>
          </w:tcPr>
          <w:p>
            <w:pPr>
              <w:spacing w:after="60" w:line="276" w:lineRule="auto"/>
            </w:pPr>
            <w:r>
              <w:rPr>
                <w:b/>
              </w:rPr>
              <w:t>Start address</w:t>
            </w:r>
          </w:p>
        </w:tc>
        <w:tc>
          <w:tcPr>
            <w:tcW w:type="dxa" w:w="3960"/>
            <w:shd w:fill="EFEFEF"/>
            <w:vAlign w:val="center"/>
            <w:tcMar>
              <w:top w:w="80" w:type="dxa"/>
              <w:left w:w="80" w:type="dxa"/>
              <w:bottom w:w="80" w:type="dxa"/>
              <w:right w:w="80" w:type="dxa"/>
            </w:tcMar>
          </w:tcPr>
          <w:p>
            <w:pPr>
              <w:spacing w:after="60" w:line="276" w:lineRule="auto"/>
            </w:pPr>
            <w:r>
              <w:rPr>
                <w:b/>
              </w:rPr>
              <w:t>End address</w:t>
            </w:r>
          </w:p>
        </w:tc>
      </w:tr>
      <w:tr>
        <w:trPr>
          <w:cantSplit/>
        </w:trPr>
        <w:tc>
          <w:tcPr>
            <w:tcW w:type="dxa" w:w="1440"/>
            <w:vAlign w:val="center"/>
            <w:tcMar>
              <w:top w:w="80" w:type="dxa"/>
              <w:left w:w="80" w:type="dxa"/>
              <w:bottom w:w="80" w:type="dxa"/>
              <w:right w:w="80" w:type="dxa"/>
            </w:tcMar>
          </w:tcPr>
          <w:p>
            <w:pPr>
              <w:spacing w:after="60" w:line="276" w:lineRule="auto"/>
            </w:pPr>
            <w:r>
              <w:t>01</w:t>
            </w:r>
          </w:p>
        </w:tc>
        <w:tc>
          <w:tcPr>
            <w:tcW w:type="dxa" w:w="3960"/>
            <w:vAlign w:val="center"/>
            <w:tcMar>
              <w:top w:w="80" w:type="dxa"/>
              <w:left w:w="80" w:type="dxa"/>
              <w:bottom w:w="80" w:type="dxa"/>
              <w:right w:w="80" w:type="dxa"/>
            </w:tcMar>
          </w:tcPr>
          <w:p>
            <w:pPr>
              <w:spacing w:after="60" w:line="276" w:lineRule="auto"/>
            </w:pPr>
            <w:r>
              <w:t>4.213.106.128</w:t>
            </w:r>
          </w:p>
        </w:tc>
        <w:tc>
          <w:tcPr>
            <w:tcW w:type="dxa" w:w="3960"/>
            <w:vAlign w:val="center"/>
            <w:tcMar>
              <w:top w:w="80" w:type="dxa"/>
              <w:left w:w="80" w:type="dxa"/>
              <w:bottom w:w="80" w:type="dxa"/>
              <w:right w:w="80" w:type="dxa"/>
            </w:tcMar>
          </w:tcPr>
          <w:p>
            <w:pPr>
              <w:spacing w:after="60" w:line="276" w:lineRule="auto"/>
            </w:pPr>
            <w:r>
              <w:t>4.213.106.159</w:t>
            </w:r>
          </w:p>
        </w:tc>
      </w:tr>
      <w:tr>
        <w:trPr>
          <w:cantSplit/>
        </w:trPr>
        <w:tc>
          <w:tcPr>
            <w:tcW w:type="dxa" w:w="1440"/>
            <w:vAlign w:val="center"/>
            <w:tcMar>
              <w:top w:w="80" w:type="dxa"/>
              <w:left w:w="80" w:type="dxa"/>
              <w:bottom w:w="80" w:type="dxa"/>
              <w:right w:w="80" w:type="dxa"/>
            </w:tcMar>
          </w:tcPr>
          <w:p>
            <w:pPr>
              <w:spacing w:after="60" w:line="276" w:lineRule="auto"/>
            </w:pPr>
            <w:r>
              <w:t>02</w:t>
            </w:r>
          </w:p>
        </w:tc>
        <w:tc>
          <w:tcPr>
            <w:tcW w:type="dxa" w:w="3960"/>
            <w:vAlign w:val="center"/>
            <w:tcMar>
              <w:top w:w="80" w:type="dxa"/>
              <w:left w:w="80" w:type="dxa"/>
              <w:bottom w:w="80" w:type="dxa"/>
              <w:right w:w="80" w:type="dxa"/>
            </w:tcMar>
          </w:tcPr>
          <w:p>
            <w:pPr>
              <w:spacing w:after="60" w:line="276" w:lineRule="auto"/>
            </w:pPr>
            <w:r>
              <w:t>20.43.121.48</w:t>
            </w:r>
          </w:p>
        </w:tc>
        <w:tc>
          <w:tcPr>
            <w:tcW w:type="dxa" w:w="3960"/>
            <w:vAlign w:val="center"/>
            <w:tcMar>
              <w:top w:w="80" w:type="dxa"/>
              <w:left w:w="80" w:type="dxa"/>
              <w:bottom w:w="80" w:type="dxa"/>
              <w:right w:w="80" w:type="dxa"/>
            </w:tcMar>
          </w:tcPr>
          <w:p>
            <w:pPr>
              <w:spacing w:after="60" w:line="276" w:lineRule="auto"/>
            </w:pPr>
            <w:r>
              <w:t>20.43.121.63</w:t>
            </w:r>
          </w:p>
        </w:tc>
      </w:tr>
      <w:tr>
        <w:trPr>
          <w:cantSplit/>
        </w:trPr>
        <w:tc>
          <w:tcPr>
            <w:tcW w:type="dxa" w:w="1440"/>
            <w:vAlign w:val="center"/>
            <w:tcMar>
              <w:top w:w="80" w:type="dxa"/>
              <w:left w:w="80" w:type="dxa"/>
              <w:bottom w:w="80" w:type="dxa"/>
              <w:right w:w="80" w:type="dxa"/>
            </w:tcMar>
          </w:tcPr>
          <w:p>
            <w:pPr>
              <w:spacing w:after="60" w:line="276" w:lineRule="auto"/>
            </w:pPr>
            <w:r>
              <w:t>03</w:t>
            </w:r>
          </w:p>
        </w:tc>
        <w:tc>
          <w:tcPr>
            <w:tcW w:type="dxa" w:w="3960"/>
            <w:vAlign w:val="center"/>
            <w:tcMar>
              <w:top w:w="80" w:type="dxa"/>
              <w:left w:w="80" w:type="dxa"/>
              <w:bottom w:w="80" w:type="dxa"/>
              <w:right w:w="80" w:type="dxa"/>
            </w:tcMar>
          </w:tcPr>
          <w:p>
            <w:pPr>
              <w:spacing w:after="60" w:line="276" w:lineRule="auto"/>
            </w:pPr>
            <w:r>
              <w:t>20.192.42.0</w:t>
            </w:r>
          </w:p>
        </w:tc>
        <w:tc>
          <w:tcPr>
            <w:tcW w:type="dxa" w:w="3960"/>
            <w:vAlign w:val="center"/>
            <w:tcMar>
              <w:top w:w="80" w:type="dxa"/>
              <w:left w:w="80" w:type="dxa"/>
              <w:bottom w:w="80" w:type="dxa"/>
              <w:right w:w="80" w:type="dxa"/>
            </w:tcMar>
          </w:tcPr>
          <w:p>
            <w:pPr>
              <w:spacing w:after="60" w:line="276" w:lineRule="auto"/>
            </w:pPr>
            <w:r>
              <w:t>20.192.42.255</w:t>
            </w:r>
          </w:p>
        </w:tc>
      </w:tr>
      <w:tr>
        <w:trPr>
          <w:cantSplit/>
        </w:trPr>
        <w:tc>
          <w:tcPr>
            <w:tcW w:type="dxa" w:w="1440"/>
            <w:vAlign w:val="center"/>
            <w:tcMar>
              <w:top w:w="80" w:type="dxa"/>
              <w:left w:w="80" w:type="dxa"/>
              <w:bottom w:w="80" w:type="dxa"/>
              <w:right w:w="80" w:type="dxa"/>
            </w:tcMar>
          </w:tcPr>
          <w:p>
            <w:pPr>
              <w:spacing w:after="60" w:line="276" w:lineRule="auto"/>
            </w:pPr>
            <w:r>
              <w:t>04</w:t>
            </w:r>
          </w:p>
        </w:tc>
        <w:tc>
          <w:tcPr>
            <w:tcW w:type="dxa" w:w="3960"/>
            <w:vAlign w:val="center"/>
            <w:tcMar>
              <w:top w:w="80" w:type="dxa"/>
              <w:left w:w="80" w:type="dxa"/>
              <w:bottom w:w="80" w:type="dxa"/>
              <w:right w:w="80" w:type="dxa"/>
            </w:tcMar>
          </w:tcPr>
          <w:p>
            <w:pPr>
              <w:spacing w:after="60" w:line="276" w:lineRule="auto"/>
            </w:pPr>
            <w:r>
              <w:t>20.192.43.0</w:t>
            </w:r>
          </w:p>
        </w:tc>
        <w:tc>
          <w:tcPr>
            <w:tcW w:type="dxa" w:w="3960"/>
            <w:vAlign w:val="center"/>
            <w:tcMar>
              <w:top w:w="80" w:type="dxa"/>
              <w:left w:w="80" w:type="dxa"/>
              <w:bottom w:w="80" w:type="dxa"/>
              <w:right w:w="80" w:type="dxa"/>
            </w:tcMar>
          </w:tcPr>
          <w:p>
            <w:pPr>
              <w:spacing w:after="60" w:line="276" w:lineRule="auto"/>
            </w:pPr>
            <w:r>
              <w:t>20.192.43.63</w:t>
            </w:r>
          </w:p>
        </w:tc>
      </w:tr>
      <w:tr>
        <w:trPr>
          <w:cantSplit/>
        </w:trPr>
        <w:tc>
          <w:tcPr>
            <w:tcW w:type="dxa" w:w="1440"/>
            <w:vAlign w:val="center"/>
            <w:tcMar>
              <w:top w:w="80" w:type="dxa"/>
              <w:left w:w="80" w:type="dxa"/>
              <w:bottom w:w="80" w:type="dxa"/>
              <w:right w:w="80" w:type="dxa"/>
            </w:tcMar>
          </w:tcPr>
          <w:p>
            <w:pPr>
              <w:spacing w:after="60" w:line="276" w:lineRule="auto"/>
            </w:pPr>
            <w:r>
              <w:t>05</w:t>
            </w:r>
          </w:p>
        </w:tc>
        <w:tc>
          <w:tcPr>
            <w:tcW w:type="dxa" w:w="3960"/>
            <w:vAlign w:val="center"/>
            <w:tcMar>
              <w:top w:w="80" w:type="dxa"/>
              <w:left w:w="80" w:type="dxa"/>
              <w:bottom w:w="80" w:type="dxa"/>
              <w:right w:w="80" w:type="dxa"/>
            </w:tcMar>
          </w:tcPr>
          <w:p>
            <w:pPr>
              <w:spacing w:after="60" w:line="276" w:lineRule="auto"/>
            </w:pPr>
            <w:r>
              <w:t>20.192.102.80</w:t>
            </w:r>
          </w:p>
        </w:tc>
        <w:tc>
          <w:tcPr>
            <w:tcW w:type="dxa" w:w="3960"/>
            <w:vAlign w:val="center"/>
            <w:tcMar>
              <w:top w:w="80" w:type="dxa"/>
              <w:left w:w="80" w:type="dxa"/>
              <w:bottom w:w="80" w:type="dxa"/>
              <w:right w:w="80" w:type="dxa"/>
            </w:tcMar>
          </w:tcPr>
          <w:p>
            <w:pPr>
              <w:spacing w:after="60" w:line="276" w:lineRule="auto"/>
            </w:pPr>
            <w:r>
              <w:t>20.192.102.95</w:t>
            </w:r>
          </w:p>
        </w:tc>
      </w:tr>
      <w:tr>
        <w:trPr>
          <w:cantSplit/>
        </w:trPr>
        <w:tc>
          <w:tcPr>
            <w:tcW w:type="dxa" w:w="1440"/>
            <w:vAlign w:val="center"/>
            <w:tcMar>
              <w:top w:w="80" w:type="dxa"/>
              <w:left w:w="80" w:type="dxa"/>
              <w:bottom w:w="80" w:type="dxa"/>
              <w:right w:w="80" w:type="dxa"/>
            </w:tcMar>
          </w:tcPr>
          <w:p>
            <w:pPr>
              <w:spacing w:after="60" w:line="276" w:lineRule="auto"/>
            </w:pPr>
            <w:r>
              <w:t>06</w:t>
            </w:r>
          </w:p>
        </w:tc>
        <w:tc>
          <w:tcPr>
            <w:tcW w:type="dxa" w:w="3960"/>
            <w:vAlign w:val="center"/>
            <w:tcMar>
              <w:top w:w="80" w:type="dxa"/>
              <w:left w:w="80" w:type="dxa"/>
              <w:bottom w:w="80" w:type="dxa"/>
              <w:right w:w="80" w:type="dxa"/>
            </w:tcMar>
          </w:tcPr>
          <w:p>
            <w:pPr>
              <w:spacing w:after="60" w:line="276" w:lineRule="auto"/>
            </w:pPr>
            <w:r>
              <w:t>20.204.193.112</w:t>
            </w:r>
          </w:p>
        </w:tc>
        <w:tc>
          <w:tcPr>
            <w:tcW w:type="dxa" w:w="3960"/>
            <w:vAlign w:val="center"/>
            <w:tcMar>
              <w:top w:w="80" w:type="dxa"/>
              <w:left w:w="80" w:type="dxa"/>
              <w:bottom w:w="80" w:type="dxa"/>
              <w:right w:w="80" w:type="dxa"/>
            </w:tcMar>
          </w:tcPr>
          <w:p>
            <w:pPr>
              <w:spacing w:after="60" w:line="276" w:lineRule="auto"/>
            </w:pPr>
            <w:r>
              <w:t>20.204.193.119</w:t>
            </w:r>
          </w:p>
        </w:tc>
      </w:tr>
      <w:tr>
        <w:trPr>
          <w:cantSplit/>
        </w:trPr>
        <w:tc>
          <w:tcPr>
            <w:tcW w:type="dxa" w:w="1440"/>
            <w:vAlign w:val="center"/>
            <w:tcMar>
              <w:top w:w="80" w:type="dxa"/>
              <w:left w:w="80" w:type="dxa"/>
              <w:bottom w:w="80" w:type="dxa"/>
              <w:right w:w="80" w:type="dxa"/>
            </w:tcMar>
          </w:tcPr>
          <w:p>
            <w:pPr>
              <w:spacing w:after="60" w:line="276" w:lineRule="auto"/>
            </w:pPr>
            <w:r>
              <w:t>07</w:t>
            </w:r>
          </w:p>
        </w:tc>
        <w:tc>
          <w:tcPr>
            <w:tcW w:type="dxa" w:w="3960"/>
            <w:vAlign w:val="center"/>
            <w:tcMar>
              <w:top w:w="80" w:type="dxa"/>
              <w:left w:w="80" w:type="dxa"/>
              <w:bottom w:w="80" w:type="dxa"/>
              <w:right w:w="80" w:type="dxa"/>
            </w:tcMar>
          </w:tcPr>
          <w:p>
            <w:pPr>
              <w:spacing w:after="60" w:line="276" w:lineRule="auto"/>
            </w:pPr>
            <w:r>
              <w:t>40.80.51.160</w:t>
            </w:r>
          </w:p>
        </w:tc>
        <w:tc>
          <w:tcPr>
            <w:tcW w:type="dxa" w:w="3960"/>
            <w:vAlign w:val="center"/>
            <w:tcMar>
              <w:top w:w="80" w:type="dxa"/>
              <w:left w:w="80" w:type="dxa"/>
              <w:bottom w:w="80" w:type="dxa"/>
              <w:right w:w="80" w:type="dxa"/>
            </w:tcMar>
          </w:tcPr>
          <w:p>
            <w:pPr>
              <w:spacing w:after="60" w:line="276" w:lineRule="auto"/>
            </w:pPr>
            <w:r>
              <w:t>40.80.51.175</w:t>
            </w:r>
          </w:p>
        </w:tc>
      </w:tr>
      <w:tr>
        <w:trPr>
          <w:cantSplit/>
        </w:trPr>
        <w:tc>
          <w:tcPr>
            <w:tcW w:type="dxa" w:w="1440"/>
            <w:vAlign w:val="center"/>
            <w:tcMar>
              <w:top w:w="80" w:type="dxa"/>
              <w:left w:w="80" w:type="dxa"/>
              <w:bottom w:w="80" w:type="dxa"/>
              <w:right w:w="80" w:type="dxa"/>
            </w:tcMar>
          </w:tcPr>
          <w:p>
            <w:pPr>
              <w:spacing w:after="60" w:line="276" w:lineRule="auto"/>
            </w:pPr>
            <w:r>
              <w:t>08</w:t>
            </w:r>
          </w:p>
        </w:tc>
        <w:tc>
          <w:tcPr>
            <w:tcW w:type="dxa" w:w="3960"/>
            <w:vAlign w:val="center"/>
            <w:tcMar>
              <w:top w:w="80" w:type="dxa"/>
              <w:left w:w="80" w:type="dxa"/>
              <w:bottom w:w="80" w:type="dxa"/>
              <w:right w:w="80" w:type="dxa"/>
            </w:tcMar>
          </w:tcPr>
          <w:p>
            <w:pPr>
              <w:spacing w:after="60" w:line="276" w:lineRule="auto"/>
            </w:pPr>
            <w:r>
              <w:t>52.140.104.128</w:t>
            </w:r>
          </w:p>
        </w:tc>
        <w:tc>
          <w:tcPr>
            <w:tcW w:type="dxa" w:w="3960"/>
            <w:vAlign w:val="center"/>
            <w:tcMar>
              <w:top w:w="80" w:type="dxa"/>
              <w:left w:w="80" w:type="dxa"/>
              <w:bottom w:w="80" w:type="dxa"/>
              <w:right w:w="80" w:type="dxa"/>
            </w:tcMar>
          </w:tcPr>
          <w:p>
            <w:pPr>
              <w:spacing w:after="60" w:line="276" w:lineRule="auto"/>
            </w:pPr>
            <w:r>
              <w:t>52.140.104.255</w:t>
            </w:r>
          </w:p>
        </w:tc>
      </w:tr>
      <w:tr>
        <w:trPr>
          <w:cantSplit/>
        </w:trPr>
        <w:tc>
          <w:tcPr>
            <w:tcW w:type="dxa" w:w="1440"/>
            <w:vAlign w:val="center"/>
            <w:tcMar>
              <w:top w:w="80" w:type="dxa"/>
              <w:left w:w="80" w:type="dxa"/>
              <w:bottom w:w="80" w:type="dxa"/>
              <w:right w:w="80" w:type="dxa"/>
            </w:tcMar>
          </w:tcPr>
          <w:p>
            <w:pPr>
              <w:spacing w:after="60" w:line="276" w:lineRule="auto"/>
            </w:pPr>
            <w:r>
              <w:t>09</w:t>
            </w:r>
          </w:p>
        </w:tc>
        <w:tc>
          <w:tcPr>
            <w:tcW w:type="dxa" w:w="3960"/>
            <w:vAlign w:val="center"/>
            <w:tcMar>
              <w:top w:w="80" w:type="dxa"/>
              <w:left w:w="80" w:type="dxa"/>
              <w:bottom w:w="80" w:type="dxa"/>
              <w:right w:w="80" w:type="dxa"/>
            </w:tcMar>
          </w:tcPr>
          <w:p>
            <w:pPr>
              <w:spacing w:after="60" w:line="276" w:lineRule="auto"/>
            </w:pPr>
            <w:r>
              <w:t>52.140.105.0</w:t>
            </w:r>
          </w:p>
        </w:tc>
        <w:tc>
          <w:tcPr>
            <w:tcW w:type="dxa" w:w="3960"/>
            <w:vAlign w:val="center"/>
            <w:tcMar>
              <w:top w:w="80" w:type="dxa"/>
              <w:left w:w="80" w:type="dxa"/>
              <w:bottom w:w="80" w:type="dxa"/>
              <w:right w:w="80" w:type="dxa"/>
            </w:tcMar>
          </w:tcPr>
          <w:p>
            <w:pPr>
              <w:spacing w:after="60" w:line="276" w:lineRule="auto"/>
            </w:pPr>
            <w:r>
              <w:t>52.140.105.63</w:t>
            </w:r>
          </w:p>
        </w:tc>
      </w:tr>
      <w:tr>
        <w:trPr>
          <w:cantSplit/>
        </w:trPr>
        <w:tc>
          <w:tcPr>
            <w:tcW w:type="dxa" w:w="1440"/>
            <w:vAlign w:val="center"/>
            <w:tcMar>
              <w:top w:w="80" w:type="dxa"/>
              <w:left w:w="80" w:type="dxa"/>
              <w:bottom w:w="80" w:type="dxa"/>
              <w:right w:w="80" w:type="dxa"/>
            </w:tcMar>
          </w:tcPr>
          <w:p>
            <w:pPr>
              <w:spacing w:after="60" w:line="276" w:lineRule="auto"/>
            </w:pPr>
            <w:r>
              <w:t>10</w:t>
            </w:r>
          </w:p>
        </w:tc>
        <w:tc>
          <w:tcPr>
            <w:tcW w:type="dxa" w:w="3960"/>
            <w:vAlign w:val="center"/>
            <w:tcMar>
              <w:top w:w="80" w:type="dxa"/>
              <w:left w:w="80" w:type="dxa"/>
              <w:bottom w:w="80" w:type="dxa"/>
              <w:right w:w="80" w:type="dxa"/>
            </w:tcMar>
          </w:tcPr>
          <w:p>
            <w:pPr>
              <w:spacing w:after="60" w:line="276" w:lineRule="auto"/>
            </w:pPr>
            <w:r>
              <w:t>52.140.108.208</w:t>
            </w:r>
          </w:p>
        </w:tc>
        <w:tc>
          <w:tcPr>
            <w:tcW w:type="dxa" w:w="3960"/>
            <w:vAlign w:val="center"/>
            <w:tcMar>
              <w:top w:w="80" w:type="dxa"/>
              <w:left w:w="80" w:type="dxa"/>
              <w:bottom w:w="80" w:type="dxa"/>
              <w:right w:w="80" w:type="dxa"/>
            </w:tcMar>
          </w:tcPr>
          <w:p>
            <w:pPr>
              <w:spacing w:after="60" w:line="276" w:lineRule="auto"/>
            </w:pPr>
            <w:r>
              <w:t>52.140.108.215</w:t>
            </w:r>
          </w:p>
        </w:tc>
      </w:tr>
    </w:tbl>
    <w:p>
      <w:pPr>
        <w:spacing w:after="0"/>
      </w:pPr>
    </w:p>
    <w:p>
      <w:r>
        <w:t>The saved network page was inspected on 14 October 2026. It contains adf-centralindia-01 through adf-centralindia-10 and allow-dev-pc. Public access is enabled and unrestricted access from any Azure service is disabled. The ADF ranges match the setup-time list above. Refresh the published service-tag file if connectivity changes or the environment is re-created; the development rule must match the current client address.</w:t>
      </w:r>
    </w:p>
    <w:p>
      <w:r>
        <w:t>3. Allow up to five minutes for firewall changes to propagate, then test ls_pg_suryavan. For a timeout, check the runtime region and firewall ranges. For an authentication failure, check the database, user and private credential. Record the actual error before changing settings.</w:t>
      </w:r>
    </w:p>
    <w:p>
      <w:r>
        <w:t xml:space="preserve">Microsoft guidance: </w:t>
      </w:r>
      <w:hyperlink r:id="rId14">
        <w:r>
          <w:rPr>
            <w:color w:val="000000"/>
            <w:u w:val="single"/>
          </w:rPr>
          <w:t>Azure integration runtime IP addresses</w:t>
        </w:r>
      </w:hyperlink>
    </w:p>
    <w:p>
      <w:pPr>
        <w:pStyle w:val="Heading1"/>
        <w:pageBreakBefore/>
      </w:pPr>
      <w:r>
        <w:t>6 Phase boundaries and database preparation</w:t>
      </w:r>
    </w:p>
    <w:p>
      <w:r>
        <w:t>The revised SQL passed all 124 checks in local PostgreSQL 18. Old and revised results matched across 24 scenarios, including missing, duplicate, unvalidated and deferrable constraints, altered amounts and an empty dataset. On 17 October, the same revised files passed on Azure PostgreSQL 17.11. The related-booking foreign key was validated, and all seven table counts and fingerprints matched the saved baseline. These results verify ingestion; final business-rule confirmation and publication checks remain open.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7560"/>
      </w:tblGrid>
      <w:tr>
        <w:trPr>
          <w:tblHeader/>
          <w:cantSplit/>
        </w:trPr>
        <w:tc>
          <w:tcPr>
            <w:tcW w:type="dxa" w:w="1800"/>
            <w:shd w:fill="EFEFEF"/>
            <w:vAlign w:val="center"/>
            <w:tcMar>
              <w:top w:w="80" w:type="dxa"/>
              <w:left w:w="80" w:type="dxa"/>
              <w:bottom w:w="80" w:type="dxa"/>
              <w:right w:w="80" w:type="dxa"/>
            </w:tcMar>
          </w:tcPr>
          <w:p>
            <w:pPr>
              <w:spacing w:after="60" w:line="276" w:lineRule="auto"/>
            </w:pPr>
            <w:r>
              <w:rPr>
                <w:b/>
              </w:rPr>
              <w:t>Phase</w:t>
            </w:r>
          </w:p>
        </w:tc>
        <w:tc>
          <w:tcPr>
            <w:tcW w:type="dxa" w:w="7560"/>
            <w:shd w:fill="EFEFEF"/>
            <w:vAlign w:val="center"/>
            <w:tcMar>
              <w:top w:w="80" w:type="dxa"/>
              <w:left w:w="80" w:type="dxa"/>
              <w:bottom w:w="80" w:type="dxa"/>
              <w:right w:w="80" w:type="dxa"/>
            </w:tcMar>
          </w:tcPr>
          <w:p>
            <w:pPr>
              <w:spacing w:after="60" w:line="276" w:lineRule="auto"/>
            </w:pPr>
            <w:r>
              <w:rPr>
                <w:b/>
              </w:rPr>
              <w:t>Scope and completion condition</w:t>
            </w:r>
          </w:p>
        </w:tc>
      </w:tr>
      <w:tr>
        <w:trPr>
          <w:cantSplit/>
        </w:trPr>
        <w:tc>
          <w:tcPr>
            <w:tcW w:type="dxa" w:w="1800"/>
            <w:vAlign w:val="center"/>
            <w:tcMar>
              <w:top w:w="80" w:type="dxa"/>
              <w:left w:w="80" w:type="dxa"/>
              <w:bottom w:w="80" w:type="dxa"/>
              <w:right w:w="80" w:type="dxa"/>
            </w:tcMar>
          </w:tcPr>
          <w:p>
            <w:pPr>
              <w:spacing w:after="60" w:line="276" w:lineRule="auto"/>
            </w:pPr>
            <w:r>
              <w:t>Phase 1</w:t>
            </w:r>
          </w:p>
        </w:tc>
        <w:tc>
          <w:tcPr>
            <w:tcW w:type="dxa" w:w="7560"/>
            <w:vAlign w:val="center"/>
            <w:tcMar>
              <w:top w:w="80" w:type="dxa"/>
              <w:left w:w="80" w:type="dxa"/>
              <w:bottom w:w="80" w:type="dxa"/>
              <w:right w:w="80" w:type="dxa"/>
            </w:tcMar>
          </w:tcPr>
          <w:p>
            <w:pPr>
              <w:spacing w:after="60" w:line="276" w:lineRule="auto"/>
            </w:pPr>
            <w:r>
              <w:t>Requirements, dictionary, source workbook, Azure foundation, seven database tables, tested ADF ingestion, data reconciliation and publication of evidence.</w:t>
            </w:r>
          </w:p>
        </w:tc>
      </w:tr>
      <w:tr>
        <w:trPr>
          <w:cantSplit/>
        </w:trPr>
        <w:tc>
          <w:tcPr>
            <w:tcW w:type="dxa" w:w="1800"/>
            <w:vAlign w:val="center"/>
            <w:tcMar>
              <w:top w:w="80" w:type="dxa"/>
              <w:left w:w="80" w:type="dxa"/>
              <w:bottom w:w="80" w:type="dxa"/>
              <w:right w:w="80" w:type="dxa"/>
            </w:tcMar>
          </w:tcPr>
          <w:p>
            <w:pPr>
              <w:spacing w:after="60" w:line="276" w:lineRule="auto"/>
            </w:pPr>
            <w:r>
              <w:t>Phase 2</w:t>
            </w:r>
          </w:p>
        </w:tc>
        <w:tc>
          <w:tcPr>
            <w:tcW w:type="dxa" w:w="7560"/>
            <w:vAlign w:val="center"/>
            <w:tcMar>
              <w:top w:w="80" w:type="dxa"/>
              <w:left w:w="80" w:type="dxa"/>
              <w:bottom w:w="80" w:type="dxa"/>
              <w:right w:w="80" w:type="dxa"/>
            </w:tcMar>
          </w:tcPr>
          <w:p>
            <w:pPr>
              <w:spacing w:after="60" w:line="276" w:lineRule="auto"/>
            </w:pPr>
            <w:r>
              <w:t>Preliminary analysis, detailed SQL, reporting views, Power BI and validated insights and recommendations.</w:t>
            </w:r>
          </w:p>
        </w:tc>
      </w:tr>
      <w:tr>
        <w:trPr>
          <w:cantSplit/>
        </w:trPr>
        <w:tc>
          <w:tcPr>
            <w:tcW w:type="dxa" w:w="1800"/>
            <w:vAlign w:val="center"/>
            <w:tcMar>
              <w:top w:w="80" w:type="dxa"/>
              <w:left w:w="80" w:type="dxa"/>
              <w:bottom w:w="80" w:type="dxa"/>
              <w:right w:w="80" w:type="dxa"/>
            </w:tcMar>
          </w:tcPr>
          <w:p>
            <w:pPr>
              <w:spacing w:after="60" w:line="276" w:lineRule="auto"/>
            </w:pPr>
            <w:r>
              <w:t>Later operational stage</w:t>
            </w:r>
          </w:p>
        </w:tc>
        <w:tc>
          <w:tcPr>
            <w:tcW w:type="dxa" w:w="7560"/>
            <w:vAlign w:val="center"/>
            <w:tcMar>
              <w:top w:w="80" w:type="dxa"/>
              <w:left w:w="80" w:type="dxa"/>
              <w:bottom w:w="80" w:type="dxa"/>
              <w:right w:w="80" w:type="dxa"/>
            </w:tcMar>
          </w:tcPr>
          <w:p>
            <w:pPr>
              <w:spacing w:after="60" w:line="276" w:lineRule="auto"/>
            </w:pPr>
            <w:r>
              <w:t>Python booking controls and Logic Apps builder email. Their deployment and tests remain outside Phase 1.</w:t>
            </w:r>
          </w:p>
        </w:tc>
      </w:tr>
    </w:tbl>
    <w:p>
      <w:pPr>
        <w:pStyle w:val="Heading2"/>
      </w:pPr>
      <w:r>
        <w:t>Prepare the SQL files in VS Code</w:t>
      </w:r>
    </w:p>
    <w:p>
      <w:r>
        <w:t>1. Open sql/setup/00_verify_connection.sql in VS Code and select the suryavan Azure connection. Execute its two read-only queries. Confirm the database, user, version and SSL result; inspect the list of existing project tables before executing the next file.</w:t>
      </w:r>
    </w:p>
    <w:p>
      <w:r>
        <w:t>2. Open sql/setup/01_create_tables.sql. It creates the seven approved tables with 62 columns. Money uses numeric(18,2), rejects negative values and NaN (not a number), and remains separate from percentage rates. Government_Charges.rate uses numeric without a fixed scale. IDs are text, dates are date, flags are Boolean and submitted_at preserves India-local time.</w:t>
      </w:r>
    </w:p>
    <w:p>
      <w:r>
        <w:t>3. If project tables already exist, the creation script stops rather than deleting them. Inspect their definitions first. If the only confirmed difference is an existing fixed-scale rate, the following ALTER changes its type; it cannot recover values rounded by an earlier load. Correct that mapping and reload the authoritative snapshot before validation.</w:t>
      </w:r>
    </w:p>
    <w:p>
      <w:pPr>
        <w:keepNext/>
        <w:spacing w:after="0" w:line="240" w:lineRule="auto"/>
      </w:pPr>
      <w:r>
        <w:rPr>
          <w:rFonts w:ascii="Consolas" w:hAnsi="Consolas"/>
          <w:sz w:val="20"/>
        </w:rPr>
        <w:t>ALTER TABLE public.government_charges</w:t>
      </w:r>
    </w:p>
    <w:p>
      <w:pPr>
        <w:keepNext w:val="0"/>
        <w:spacing w:after="0" w:line="240" w:lineRule="auto"/>
      </w:pPr>
      <w:r>
        <w:rPr>
          <w:rFonts w:ascii="Consolas" w:hAnsi="Consolas"/>
          <w:sz w:val="20"/>
        </w:rPr>
        <w:t xml:space="preserve">    ALTER COLUMN rate TYPE numeric;</w:t>
      </w:r>
    </w:p>
    <w:p/>
    <w:p>
      <w:r>
        <w:t>4. Connect the query editor to suryavan. Execute the whole CREATE TABLE script only if these tables do not exist. Its transaction creates all seven tables together; if execution fails, resolve the reported error and roll back any open failed transaction before retrying.</w:t>
      </w:r>
    </w:p>
    <w:p>
      <w:r>
        <w:t>5. List public base tables and confirm the seven names. The primary keys prevent duplicate IDs, and the foreign keys validate parent relationships. related_id remains unconstrained until all bookings load because claims and replacements may refer to each other.</w:t>
      </w:r>
    </w:p>
    <w:p>
      <w:pPr>
        <w:keepNext/>
        <w:spacing w:after="0" w:line="240" w:lineRule="auto"/>
      </w:pPr>
      <w:r>
        <w:rPr>
          <w:rFonts w:ascii="Consolas" w:hAnsi="Consolas"/>
          <w:sz w:val="20"/>
        </w:rPr>
        <w:t>SELECT table_name</w:t>
      </w:r>
    </w:p>
    <w:p>
      <w:pPr>
        <w:keepNext/>
        <w:spacing w:after="0" w:line="240" w:lineRule="auto"/>
      </w:pPr>
      <w:r>
        <w:rPr>
          <w:rFonts w:ascii="Consolas" w:hAnsi="Consolas"/>
          <w:sz w:val="20"/>
        </w:rPr>
        <w:t>FROM information_schema.tables</w:t>
      </w:r>
    </w:p>
    <w:p>
      <w:pPr>
        <w:keepNext/>
        <w:spacing w:after="0" w:line="240" w:lineRule="auto"/>
      </w:pPr>
      <w:r>
        <w:rPr>
          <w:rFonts w:ascii="Consolas" w:hAnsi="Consolas"/>
          <w:sz w:val="20"/>
        </w:rPr>
        <w:t>WHERE table_schema = 'public'</w:t>
      </w:r>
    </w:p>
    <w:p>
      <w:pPr>
        <w:keepNext/>
        <w:spacing w:after="0" w:line="240" w:lineRule="auto"/>
      </w:pPr>
      <w:r>
        <w:rPr>
          <w:rFonts w:ascii="Consolas" w:hAnsi="Consolas"/>
          <w:sz w:val="20"/>
        </w:rPr>
        <w:t xml:space="preserve">  AND table_type = 'BASE TABLE'</w:t>
      </w:r>
    </w:p>
    <w:p>
      <w:pPr>
        <w:keepNext w:val="0"/>
        <w:spacing w:after="0" w:line="240" w:lineRule="auto"/>
      </w:pPr>
      <w:r>
        <w:rPr>
          <w:rFonts w:ascii="Consolas" w:hAnsi="Consolas"/>
          <w:sz w:val="20"/>
        </w:rPr>
        <w:t>ORDER BY table_name;</w:t>
      </w:r>
    </w:p>
    <w:p/>
    <w:p>
      <w:r>
        <w:t>The workbook Parameters sheet is support and is not an eighth business table. Preserve India-local submission timestamps; do not convert them to UTC. booking_buyers uses the combined booking_id and buyer_id key because a buyer may recur on a replacement request. Payments uses composite foreign keys so due_id and charge_id must belong to the same booking.</w:t>
      </w:r>
    </w:p>
    <w:p>
      <w:pPr>
        <w:pStyle w:val="Heading2"/>
      </w:pPr>
      <w:r>
        <w:t>SQL syntax used in the setup files</w:t>
      </w:r>
    </w:p>
    <w:p>
      <w:pPr/>
      <w:r>
        <w:t>BEGIN starts the transaction and COMMIT saves it. DO runs a short procedural block; IF and RAISE EXCEPTION stop execution when the database or existing-table state is wrong. If a query editor leaves a transaction aborted, use ROLLBACK before retrying. Run the complete file rather than isolated CREATE statements.</w:t>
      </w:r>
    </w:p>
    <w:p>
      <w:pPr/>
      <w:r>
        <w:t>CREATE TABLE defines a row structure. PRIMARY KEY identifies each row and prohibits duplicate or null keys. NOT NULL requires a value. CHECK restricts allowed codes and values. REFERENCES creates a foreign key to an existing parent. UNIQUE protects combinations such as zone, block and plot_no. Optional values stay NULL; they must not become empty text in date or numeric columns.</w:t>
      </w:r>
    </w:p>
    <w:p>
      <w:pPr>
        <w:pStyle w:val="Heading1"/>
        <w:pageBreakBefore w:val="0"/>
      </w:pPr>
      <w:r>
        <w:t>7 Create the ADF source and destination datasets</w:t>
      </w:r>
    </w:p>
    <w:p>
      <w:r>
        <w:t>An ADF dataset identifies the file sheet or database table used by an activity; it is not an additional business table. This configuration uses seven Excel dataset definitions and seven PostgreSQL definitions. The procedures below describe the configuration used for ingestion.</w:t>
      </w:r>
    </w:p>
    <w:p>
      <w:pPr>
        <w:pStyle w:val="Heading2"/>
      </w:pPr>
      <w:r>
        <w:t>Create the first Excel source dataset</w:t>
      </w:r>
    </w:p>
    <w:p>
      <w:r>
        <w:t>1. Open ADF Studio, select Author, then create a new dataset. Select Azure Blob Storage and the Excel format.</w:t>
      </w:r>
    </w:p>
    <w:p>
      <w:r>
        <w:t>2. Name it ds_xlsx_plots and select ls_blob_suryavan. Browse to raw/Suryavan_Township_Dataset.xlsx. Select sheet Plots, enable First row as header and leave Range blank. Use From connection to import the schema.</w:t>
      </w:r>
    </w:p>
    <w:p>
      <w:r>
        <w:t>3. Preview the data. Confirm the shortened column names, text plot IDs and readable Boolean values. Blank optional cells must become null. This preview reads the source; it does not load PostgreSQL.</w:t>
      </w:r>
    </w:p>
    <w:p>
      <w:pPr>
        <w:pStyle w:val="Heading2"/>
      </w:pPr>
      <w:r>
        <w:t>Create the first PostgreSQL destination dataset</w:t>
      </w:r>
    </w:p>
    <w:p>
      <w:r>
        <w:t>1. Create a dataset using Azure Database for PostgreSQL. Name it ds_pg_plots, select ls_pg_suryavan and choose public.plots. Import its schema from the connection.</w:t>
      </w:r>
    </w:p>
    <w:p>
      <w:r>
        <w:t>2. Repeat for the remaining sheets using the names below. The source file and linked services stay the same; change the sheet and destination table for each pair.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3456"/>
        <w:gridCol w:w="3456"/>
      </w:tblGrid>
      <w:tr>
        <w:trPr>
          <w:tblHeader/>
          <w:cantSplit/>
        </w:trPr>
        <w:tc>
          <w:tcPr>
            <w:tcW w:type="dxa" w:w="2448"/>
            <w:shd w:fill="EFEFEF"/>
            <w:vAlign w:val="center"/>
            <w:tcMar>
              <w:top w:w="80" w:type="dxa"/>
              <w:left w:w="80" w:type="dxa"/>
              <w:bottom w:w="80" w:type="dxa"/>
              <w:right w:w="80" w:type="dxa"/>
            </w:tcMar>
          </w:tcPr>
          <w:p>
            <w:pPr>
              <w:spacing w:after="60" w:line="276" w:lineRule="auto"/>
            </w:pPr>
            <w:r>
              <w:rPr>
                <w:b/>
              </w:rPr>
              <w:t>Sheet</w:t>
            </w:r>
          </w:p>
        </w:tc>
        <w:tc>
          <w:tcPr>
            <w:tcW w:type="dxa" w:w="3456"/>
            <w:shd w:fill="EFEFEF"/>
            <w:vAlign w:val="center"/>
            <w:tcMar>
              <w:top w:w="80" w:type="dxa"/>
              <w:left w:w="80" w:type="dxa"/>
              <w:bottom w:w="80" w:type="dxa"/>
              <w:right w:w="80" w:type="dxa"/>
            </w:tcMar>
          </w:tcPr>
          <w:p>
            <w:pPr>
              <w:spacing w:after="60" w:line="276" w:lineRule="auto"/>
            </w:pPr>
            <w:r>
              <w:rPr>
                <w:b/>
              </w:rPr>
              <w:t>Excel dataset</w:t>
            </w:r>
          </w:p>
        </w:tc>
        <w:tc>
          <w:tcPr>
            <w:tcW w:type="dxa" w:w="3456"/>
            <w:shd w:fill="EFEFEF"/>
            <w:vAlign w:val="center"/>
            <w:tcMar>
              <w:top w:w="80" w:type="dxa"/>
              <w:left w:w="80" w:type="dxa"/>
              <w:bottom w:w="80" w:type="dxa"/>
              <w:right w:w="80" w:type="dxa"/>
            </w:tcMar>
          </w:tcPr>
          <w:p>
            <w:pPr>
              <w:spacing w:after="60" w:line="276" w:lineRule="auto"/>
            </w:pPr>
            <w:r>
              <w:rPr>
                <w:b/>
              </w:rPr>
              <w:t>PostgreSQL dataset</w:t>
            </w:r>
          </w:p>
        </w:tc>
      </w:tr>
      <w:tr>
        <w:trPr>
          <w:cantSplit/>
        </w:trPr>
        <w:tc>
          <w:tcPr>
            <w:tcW w:type="dxa" w:w="2448"/>
            <w:vAlign w:val="center"/>
            <w:tcMar>
              <w:top w:w="80" w:type="dxa"/>
              <w:left w:w="80" w:type="dxa"/>
              <w:bottom w:w="80" w:type="dxa"/>
              <w:right w:w="80" w:type="dxa"/>
            </w:tcMar>
          </w:tcPr>
          <w:p>
            <w:pPr>
              <w:spacing w:after="60" w:line="276" w:lineRule="auto"/>
            </w:pPr>
            <w:r>
              <w:t>Plots</w:t>
            </w:r>
          </w:p>
        </w:tc>
        <w:tc>
          <w:tcPr>
            <w:tcW w:type="dxa" w:w="3456"/>
            <w:vAlign w:val="center"/>
            <w:tcMar>
              <w:top w:w="80" w:type="dxa"/>
              <w:left w:w="80" w:type="dxa"/>
              <w:bottom w:w="80" w:type="dxa"/>
              <w:right w:w="80" w:type="dxa"/>
            </w:tcMar>
          </w:tcPr>
          <w:p>
            <w:pPr>
              <w:spacing w:after="60" w:line="276" w:lineRule="auto"/>
            </w:pPr>
            <w:r>
              <w:t>ds_xlsx_plots</w:t>
            </w:r>
          </w:p>
        </w:tc>
        <w:tc>
          <w:tcPr>
            <w:tcW w:type="dxa" w:w="3456"/>
            <w:vAlign w:val="center"/>
            <w:tcMar>
              <w:top w:w="80" w:type="dxa"/>
              <w:left w:w="80" w:type="dxa"/>
              <w:bottom w:w="80" w:type="dxa"/>
              <w:right w:w="80" w:type="dxa"/>
            </w:tcMar>
          </w:tcPr>
          <w:p>
            <w:pPr>
              <w:spacing w:after="60" w:line="276" w:lineRule="auto"/>
            </w:pPr>
            <w:r>
              <w:t>ds_pg_plots</w:t>
            </w:r>
          </w:p>
        </w:tc>
      </w:tr>
      <w:tr>
        <w:trPr>
          <w:cantSplit/>
        </w:trPr>
        <w:tc>
          <w:tcPr>
            <w:tcW w:type="dxa" w:w="2448"/>
            <w:vAlign w:val="center"/>
            <w:tcMar>
              <w:top w:w="80" w:type="dxa"/>
              <w:left w:w="80" w:type="dxa"/>
              <w:bottom w:w="80" w:type="dxa"/>
              <w:right w:w="80" w:type="dxa"/>
            </w:tcMar>
          </w:tcPr>
          <w:p>
            <w:pPr>
              <w:spacing w:after="60" w:line="276" w:lineRule="auto"/>
            </w:pPr>
            <w:r>
              <w:t>Brokers</w:t>
            </w:r>
          </w:p>
        </w:tc>
        <w:tc>
          <w:tcPr>
            <w:tcW w:type="dxa" w:w="3456"/>
            <w:vAlign w:val="center"/>
            <w:tcMar>
              <w:top w:w="80" w:type="dxa"/>
              <w:left w:w="80" w:type="dxa"/>
              <w:bottom w:w="80" w:type="dxa"/>
              <w:right w:w="80" w:type="dxa"/>
            </w:tcMar>
          </w:tcPr>
          <w:p>
            <w:pPr>
              <w:spacing w:after="60" w:line="276" w:lineRule="auto"/>
            </w:pPr>
            <w:r>
              <w:t>ds_xlsx_brokers</w:t>
            </w:r>
          </w:p>
        </w:tc>
        <w:tc>
          <w:tcPr>
            <w:tcW w:type="dxa" w:w="3456"/>
            <w:vAlign w:val="center"/>
            <w:tcMar>
              <w:top w:w="80" w:type="dxa"/>
              <w:left w:w="80" w:type="dxa"/>
              <w:bottom w:w="80" w:type="dxa"/>
              <w:right w:w="80" w:type="dxa"/>
            </w:tcMar>
          </w:tcPr>
          <w:p>
            <w:pPr>
              <w:spacing w:after="60" w:line="276" w:lineRule="auto"/>
            </w:pPr>
            <w:r>
              <w:t>ds_pg_brokers</w:t>
            </w:r>
          </w:p>
        </w:tc>
      </w:tr>
      <w:tr>
        <w:trPr>
          <w:cantSplit/>
        </w:trPr>
        <w:tc>
          <w:tcPr>
            <w:tcW w:type="dxa" w:w="2448"/>
            <w:vAlign w:val="center"/>
            <w:tcMar>
              <w:top w:w="80" w:type="dxa"/>
              <w:left w:w="80" w:type="dxa"/>
              <w:bottom w:w="80" w:type="dxa"/>
              <w:right w:w="80" w:type="dxa"/>
            </w:tcMar>
          </w:tcPr>
          <w:p>
            <w:pPr>
              <w:spacing w:after="60" w:line="276" w:lineRule="auto"/>
            </w:pPr>
            <w:r>
              <w:t>Bookings</w:t>
            </w:r>
          </w:p>
        </w:tc>
        <w:tc>
          <w:tcPr>
            <w:tcW w:type="dxa" w:w="3456"/>
            <w:vAlign w:val="center"/>
            <w:tcMar>
              <w:top w:w="80" w:type="dxa"/>
              <w:left w:w="80" w:type="dxa"/>
              <w:bottom w:w="80" w:type="dxa"/>
              <w:right w:w="80" w:type="dxa"/>
            </w:tcMar>
          </w:tcPr>
          <w:p>
            <w:pPr>
              <w:spacing w:after="60" w:line="276" w:lineRule="auto"/>
            </w:pPr>
            <w:r>
              <w:t>ds_xlsx_bookings</w:t>
            </w:r>
          </w:p>
        </w:tc>
        <w:tc>
          <w:tcPr>
            <w:tcW w:type="dxa" w:w="3456"/>
            <w:vAlign w:val="center"/>
            <w:tcMar>
              <w:top w:w="80" w:type="dxa"/>
              <w:left w:w="80" w:type="dxa"/>
              <w:bottom w:w="80" w:type="dxa"/>
              <w:right w:w="80" w:type="dxa"/>
            </w:tcMar>
          </w:tcPr>
          <w:p>
            <w:pPr>
              <w:spacing w:after="60" w:line="276" w:lineRule="auto"/>
            </w:pPr>
            <w:r>
              <w:t>ds_pg_bookings</w:t>
            </w:r>
          </w:p>
        </w:tc>
      </w:tr>
      <w:tr>
        <w:trPr>
          <w:cantSplit/>
        </w:trPr>
        <w:tc>
          <w:tcPr>
            <w:tcW w:type="dxa" w:w="2448"/>
            <w:vAlign w:val="center"/>
            <w:tcMar>
              <w:top w:w="80" w:type="dxa"/>
              <w:left w:w="80" w:type="dxa"/>
              <w:bottom w:w="80" w:type="dxa"/>
              <w:right w:w="80" w:type="dxa"/>
            </w:tcMar>
          </w:tcPr>
          <w:p>
            <w:pPr>
              <w:spacing w:after="60" w:line="276" w:lineRule="auto"/>
            </w:pPr>
            <w:r>
              <w:t>Booking_Buyers</w:t>
            </w:r>
          </w:p>
        </w:tc>
        <w:tc>
          <w:tcPr>
            <w:tcW w:type="dxa" w:w="3456"/>
            <w:vAlign w:val="center"/>
            <w:tcMar>
              <w:top w:w="80" w:type="dxa"/>
              <w:left w:w="80" w:type="dxa"/>
              <w:bottom w:w="80" w:type="dxa"/>
              <w:right w:w="80" w:type="dxa"/>
            </w:tcMar>
          </w:tcPr>
          <w:p>
            <w:pPr>
              <w:spacing w:after="60" w:line="276" w:lineRule="auto"/>
            </w:pPr>
            <w:r>
              <w:t>ds_xlsx_booking_buyers</w:t>
            </w:r>
          </w:p>
        </w:tc>
        <w:tc>
          <w:tcPr>
            <w:tcW w:type="dxa" w:w="3456"/>
            <w:vAlign w:val="center"/>
            <w:tcMar>
              <w:top w:w="80" w:type="dxa"/>
              <w:left w:w="80" w:type="dxa"/>
              <w:bottom w:w="80" w:type="dxa"/>
              <w:right w:w="80" w:type="dxa"/>
            </w:tcMar>
          </w:tcPr>
          <w:p>
            <w:pPr>
              <w:spacing w:after="60" w:line="276" w:lineRule="auto"/>
            </w:pPr>
            <w:r>
              <w:t>ds_pg_booking_buyers</w:t>
            </w:r>
          </w:p>
        </w:tc>
      </w:tr>
      <w:tr>
        <w:trPr>
          <w:cantSplit/>
        </w:trPr>
        <w:tc>
          <w:tcPr>
            <w:tcW w:type="dxa" w:w="2448"/>
            <w:vAlign w:val="center"/>
            <w:tcMar>
              <w:top w:w="80" w:type="dxa"/>
              <w:left w:w="80" w:type="dxa"/>
              <w:bottom w:w="80" w:type="dxa"/>
              <w:right w:w="80" w:type="dxa"/>
            </w:tcMar>
          </w:tcPr>
          <w:p>
            <w:pPr>
              <w:spacing w:after="60" w:line="276" w:lineRule="auto"/>
            </w:pPr>
            <w:r>
              <w:t>Payment_Schedule</w:t>
            </w:r>
          </w:p>
        </w:tc>
        <w:tc>
          <w:tcPr>
            <w:tcW w:type="dxa" w:w="3456"/>
            <w:vAlign w:val="center"/>
            <w:tcMar>
              <w:top w:w="80" w:type="dxa"/>
              <w:left w:w="80" w:type="dxa"/>
              <w:bottom w:w="80" w:type="dxa"/>
              <w:right w:w="80" w:type="dxa"/>
            </w:tcMar>
          </w:tcPr>
          <w:p>
            <w:pPr>
              <w:spacing w:after="60" w:line="276" w:lineRule="auto"/>
            </w:pPr>
            <w:r>
              <w:t>ds_xlsx_payment_schedule</w:t>
            </w:r>
          </w:p>
        </w:tc>
        <w:tc>
          <w:tcPr>
            <w:tcW w:type="dxa" w:w="3456"/>
            <w:vAlign w:val="center"/>
            <w:tcMar>
              <w:top w:w="80" w:type="dxa"/>
              <w:left w:w="80" w:type="dxa"/>
              <w:bottom w:w="80" w:type="dxa"/>
              <w:right w:w="80" w:type="dxa"/>
            </w:tcMar>
          </w:tcPr>
          <w:p>
            <w:pPr>
              <w:spacing w:after="60" w:line="276" w:lineRule="auto"/>
            </w:pPr>
            <w:r>
              <w:t>ds_pg_payment_schedule</w:t>
            </w:r>
          </w:p>
        </w:tc>
      </w:tr>
      <w:tr>
        <w:trPr>
          <w:cantSplit/>
        </w:trPr>
        <w:tc>
          <w:tcPr>
            <w:tcW w:type="dxa" w:w="2448"/>
            <w:vAlign w:val="center"/>
            <w:tcMar>
              <w:top w:w="80" w:type="dxa"/>
              <w:left w:w="80" w:type="dxa"/>
              <w:bottom w:w="80" w:type="dxa"/>
              <w:right w:w="80" w:type="dxa"/>
            </w:tcMar>
          </w:tcPr>
          <w:p>
            <w:pPr>
              <w:spacing w:after="60" w:line="276" w:lineRule="auto"/>
            </w:pPr>
            <w:r>
              <w:t>Government_Charges</w:t>
            </w:r>
          </w:p>
        </w:tc>
        <w:tc>
          <w:tcPr>
            <w:tcW w:type="dxa" w:w="3456"/>
            <w:vAlign w:val="center"/>
            <w:tcMar>
              <w:top w:w="80" w:type="dxa"/>
              <w:left w:w="80" w:type="dxa"/>
              <w:bottom w:w="80" w:type="dxa"/>
              <w:right w:w="80" w:type="dxa"/>
            </w:tcMar>
          </w:tcPr>
          <w:p>
            <w:pPr>
              <w:spacing w:after="60" w:line="276" w:lineRule="auto"/>
            </w:pPr>
            <w:r>
              <w:t>ds_xlsx_government_charges</w:t>
            </w:r>
          </w:p>
        </w:tc>
        <w:tc>
          <w:tcPr>
            <w:tcW w:type="dxa" w:w="3456"/>
            <w:vAlign w:val="center"/>
            <w:tcMar>
              <w:top w:w="80" w:type="dxa"/>
              <w:left w:w="80" w:type="dxa"/>
              <w:bottom w:w="80" w:type="dxa"/>
              <w:right w:w="80" w:type="dxa"/>
            </w:tcMar>
          </w:tcPr>
          <w:p>
            <w:pPr>
              <w:spacing w:after="60" w:line="276" w:lineRule="auto"/>
            </w:pPr>
            <w:r>
              <w:t>ds_pg_government_charges</w:t>
            </w:r>
          </w:p>
        </w:tc>
      </w:tr>
      <w:tr>
        <w:trPr>
          <w:cantSplit/>
        </w:trPr>
        <w:tc>
          <w:tcPr>
            <w:tcW w:type="dxa" w:w="2448"/>
            <w:vAlign w:val="center"/>
            <w:tcMar>
              <w:top w:w="80" w:type="dxa"/>
              <w:left w:w="80" w:type="dxa"/>
              <w:bottom w:w="80" w:type="dxa"/>
              <w:right w:w="80" w:type="dxa"/>
            </w:tcMar>
          </w:tcPr>
          <w:p>
            <w:pPr>
              <w:spacing w:after="60" w:line="276" w:lineRule="auto"/>
            </w:pPr>
            <w:r>
              <w:t>Payments</w:t>
            </w:r>
          </w:p>
        </w:tc>
        <w:tc>
          <w:tcPr>
            <w:tcW w:type="dxa" w:w="3456"/>
            <w:vAlign w:val="center"/>
            <w:tcMar>
              <w:top w:w="80" w:type="dxa"/>
              <w:left w:w="80" w:type="dxa"/>
              <w:bottom w:w="80" w:type="dxa"/>
              <w:right w:w="80" w:type="dxa"/>
            </w:tcMar>
          </w:tcPr>
          <w:p>
            <w:pPr>
              <w:spacing w:after="60" w:line="276" w:lineRule="auto"/>
            </w:pPr>
            <w:r>
              <w:t>ds_xlsx_payments</w:t>
            </w:r>
          </w:p>
        </w:tc>
        <w:tc>
          <w:tcPr>
            <w:tcW w:type="dxa" w:w="3456"/>
            <w:vAlign w:val="center"/>
            <w:tcMar>
              <w:top w:w="80" w:type="dxa"/>
              <w:left w:w="80" w:type="dxa"/>
              <w:bottom w:w="80" w:type="dxa"/>
              <w:right w:w="80" w:type="dxa"/>
            </w:tcMar>
          </w:tcPr>
          <w:p>
            <w:pPr>
              <w:spacing w:after="60" w:line="276" w:lineRule="auto"/>
            </w:pPr>
            <w:r>
              <w:t>ds_pg_payments</w:t>
            </w:r>
          </w:p>
        </w:tc>
      </w:tr>
    </w:tbl>
    <w:p>
      <w:r>
        <w:t>Each PostgreSQL dataset selects the matching lowercase table in the public schema. Inspect the Bookings dates and Government_Charges amounts in preview before loading. The approved workbook contains cached formula values; ADF is not being used to calculate formulas.</w:t>
      </w:r>
    </w:p>
    <w:p>
      <w:r>
        <w:t xml:space="preserve">Microsoft guidance: </w:t>
      </w:r>
      <w:hyperlink r:id="rId15">
        <w:r>
          <w:rPr>
            <w:color w:val="000000"/>
            <w:u w:val="single"/>
          </w:rPr>
          <w:t>Excel dataset properties</w:t>
        </w:r>
      </w:hyperlink>
    </w:p>
    <w:p>
      <w:pPr>
        <w:pStyle w:val="Heading1"/>
        <w:pageBreakBefore w:val="0"/>
      </w:pPr>
      <w:r>
        <w:t>8 Configure and execute the ingestion pipeline</w:t>
      </w:r>
    </w:p>
    <w:p>
      <w:pPr>
        <w:pStyle w:val="Heading2"/>
      </w:pPr>
      <w:r>
        <w:t>Test the first Copy activity</w:t>
      </w:r>
    </w:p>
    <w:p>
      <w:r>
        <w:t>1. Create pipeline pl_load_suryavan. Add a Copy data activity called cp_plots. Select ds_xlsx_plots under Source and ds_pg_plots under Sink.</w:t>
      </w:r>
    </w:p>
    <w:p>
      <w:r>
        <w:t>2. Select the Upsert write method and explicitly select plot_id as its key. Leave the pre-copy script empty, keep parallel copies at one and keep incompatible-row skipping disabled. No Data Flow or scheduled trigger is needed for this load.</w:t>
      </w:r>
    </w:p>
    <w:p>
      <w:r>
        <w:t>3. In Mapping, import schemas and map every source column to the identically named destination column. Confirm text IDs, integer fields, Boolean fields, dates and Decimal money. The supplied pipeline JSON has typeConversion=true, allowDataTruncation=false and treatBooleanAsNumber=false. If these controls are not exposed in the Mapping panel, inspect the existing typeProperties.translator configuration in Code while retaining its mappings.</w:t>
      </w:r>
    </w:p>
    <w:p>
      <w:r>
        <w:t>4. Run Debug for cp_plots. Debug executes a real copy and writes to the database. Expect 2,000 rows read and written, with no skipped rows. Query public.plots in VS Code to confirm 2,000 rows before adding the other copies.</w:t>
      </w:r>
    </w:p>
    <w:p>
      <w:pPr>
        <w:pStyle w:val="Heading2"/>
      </w:pPr>
      <w:r>
        <w:t>Add the remaining activities</w:t>
      </w:r>
    </w:p>
    <w:p>
      <w:r>
        <w:t>1. Add one Copy activity per remaining sheet and configure its own source, destination, mapping and upsert keys. When cloning cp_plots, remove its old mapping and import the correct schemas.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320"/>
        <w:gridCol w:w="5040"/>
      </w:tblGrid>
      <w:tr>
        <w:trPr>
          <w:tblHeader/>
          <w:cantSplit/>
        </w:trPr>
        <w:tc>
          <w:tcPr>
            <w:tcW w:type="dxa" w:w="4320"/>
            <w:shd w:fill="EFEFEF"/>
            <w:vAlign w:val="center"/>
            <w:tcMar>
              <w:top w:w="80" w:type="dxa"/>
              <w:left w:w="80" w:type="dxa"/>
              <w:bottom w:w="80" w:type="dxa"/>
              <w:right w:w="80" w:type="dxa"/>
            </w:tcMar>
          </w:tcPr>
          <w:p>
            <w:pPr>
              <w:spacing w:after="60" w:line="276" w:lineRule="auto"/>
            </w:pPr>
            <w:r>
              <w:rPr>
                <w:b/>
              </w:rPr>
              <w:t>Activity</w:t>
            </w:r>
          </w:p>
        </w:tc>
        <w:tc>
          <w:tcPr>
            <w:tcW w:type="dxa" w:w="5040"/>
            <w:shd w:fill="EFEFEF"/>
            <w:vAlign w:val="center"/>
            <w:tcMar>
              <w:top w:w="80" w:type="dxa"/>
              <w:left w:w="80" w:type="dxa"/>
              <w:bottom w:w="80" w:type="dxa"/>
              <w:right w:w="80" w:type="dxa"/>
            </w:tcMar>
          </w:tcPr>
          <w:p>
            <w:pPr>
              <w:spacing w:after="60" w:line="276" w:lineRule="auto"/>
            </w:pPr>
            <w:r>
              <w:rPr>
                <w:b/>
              </w:rPr>
              <w:t>Upsert key</w:t>
            </w:r>
          </w:p>
        </w:tc>
      </w:tr>
      <w:tr>
        <w:trPr>
          <w:cantSplit/>
        </w:trPr>
        <w:tc>
          <w:tcPr>
            <w:tcW w:type="dxa" w:w="4320"/>
            <w:vAlign w:val="center"/>
            <w:tcMar>
              <w:top w:w="80" w:type="dxa"/>
              <w:left w:w="80" w:type="dxa"/>
              <w:bottom w:w="80" w:type="dxa"/>
              <w:right w:w="80" w:type="dxa"/>
            </w:tcMar>
          </w:tcPr>
          <w:p>
            <w:pPr>
              <w:spacing w:after="60" w:line="276" w:lineRule="auto"/>
            </w:pPr>
            <w:r>
              <w:t>cp_plots</w:t>
            </w:r>
          </w:p>
        </w:tc>
        <w:tc>
          <w:tcPr>
            <w:tcW w:type="dxa" w:w="5040"/>
            <w:vAlign w:val="center"/>
            <w:tcMar>
              <w:top w:w="80" w:type="dxa"/>
              <w:left w:w="80" w:type="dxa"/>
              <w:bottom w:w="80" w:type="dxa"/>
              <w:right w:w="80" w:type="dxa"/>
            </w:tcMar>
          </w:tcPr>
          <w:p>
            <w:pPr>
              <w:spacing w:after="60" w:line="276" w:lineRule="auto"/>
            </w:pPr>
            <w:r>
              <w:t>plot_id</w:t>
            </w:r>
          </w:p>
        </w:tc>
      </w:tr>
      <w:tr>
        <w:trPr>
          <w:cantSplit/>
        </w:trPr>
        <w:tc>
          <w:tcPr>
            <w:tcW w:type="dxa" w:w="4320"/>
            <w:vAlign w:val="center"/>
            <w:tcMar>
              <w:top w:w="80" w:type="dxa"/>
              <w:left w:w="80" w:type="dxa"/>
              <w:bottom w:w="80" w:type="dxa"/>
              <w:right w:w="80" w:type="dxa"/>
            </w:tcMar>
          </w:tcPr>
          <w:p>
            <w:pPr>
              <w:spacing w:after="60" w:line="276" w:lineRule="auto"/>
            </w:pPr>
            <w:r>
              <w:t>cp_brokers</w:t>
            </w:r>
          </w:p>
        </w:tc>
        <w:tc>
          <w:tcPr>
            <w:tcW w:type="dxa" w:w="5040"/>
            <w:vAlign w:val="center"/>
            <w:tcMar>
              <w:top w:w="80" w:type="dxa"/>
              <w:left w:w="80" w:type="dxa"/>
              <w:bottom w:w="80" w:type="dxa"/>
              <w:right w:w="80" w:type="dxa"/>
            </w:tcMar>
          </w:tcPr>
          <w:p>
            <w:pPr>
              <w:spacing w:after="60" w:line="276" w:lineRule="auto"/>
            </w:pPr>
            <w:r>
              <w:t>broker_id</w:t>
            </w:r>
          </w:p>
        </w:tc>
      </w:tr>
      <w:tr>
        <w:trPr>
          <w:cantSplit/>
        </w:trPr>
        <w:tc>
          <w:tcPr>
            <w:tcW w:type="dxa" w:w="4320"/>
            <w:vAlign w:val="center"/>
            <w:tcMar>
              <w:top w:w="80" w:type="dxa"/>
              <w:left w:w="80" w:type="dxa"/>
              <w:bottom w:w="80" w:type="dxa"/>
              <w:right w:w="80" w:type="dxa"/>
            </w:tcMar>
          </w:tcPr>
          <w:p>
            <w:pPr>
              <w:spacing w:after="60" w:line="276" w:lineRule="auto"/>
            </w:pPr>
            <w:r>
              <w:t>cp_bookings</w:t>
            </w:r>
          </w:p>
        </w:tc>
        <w:tc>
          <w:tcPr>
            <w:tcW w:type="dxa" w:w="5040"/>
            <w:vAlign w:val="center"/>
            <w:tcMar>
              <w:top w:w="80" w:type="dxa"/>
              <w:left w:w="80" w:type="dxa"/>
              <w:bottom w:w="80" w:type="dxa"/>
              <w:right w:w="80" w:type="dxa"/>
            </w:tcMar>
          </w:tcPr>
          <w:p>
            <w:pPr>
              <w:spacing w:after="60" w:line="276" w:lineRule="auto"/>
            </w:pPr>
            <w:r>
              <w:t>booking_id</w:t>
            </w:r>
          </w:p>
        </w:tc>
      </w:tr>
      <w:tr>
        <w:trPr>
          <w:cantSplit/>
        </w:trPr>
        <w:tc>
          <w:tcPr>
            <w:tcW w:type="dxa" w:w="4320"/>
            <w:vAlign w:val="center"/>
            <w:tcMar>
              <w:top w:w="80" w:type="dxa"/>
              <w:left w:w="80" w:type="dxa"/>
              <w:bottom w:w="80" w:type="dxa"/>
              <w:right w:w="80" w:type="dxa"/>
            </w:tcMar>
          </w:tcPr>
          <w:p>
            <w:pPr>
              <w:spacing w:after="60" w:line="276" w:lineRule="auto"/>
            </w:pPr>
            <w:r>
              <w:t>cp_booking_buyers</w:t>
            </w:r>
          </w:p>
        </w:tc>
        <w:tc>
          <w:tcPr>
            <w:tcW w:type="dxa" w:w="5040"/>
            <w:vAlign w:val="center"/>
            <w:tcMar>
              <w:top w:w="80" w:type="dxa"/>
              <w:left w:w="80" w:type="dxa"/>
              <w:bottom w:w="80" w:type="dxa"/>
              <w:right w:w="80" w:type="dxa"/>
            </w:tcMar>
          </w:tcPr>
          <w:p>
            <w:pPr>
              <w:spacing w:after="60" w:line="276" w:lineRule="auto"/>
            </w:pPr>
            <w:r>
              <w:t>booking_id and buyer_id together</w:t>
            </w:r>
          </w:p>
        </w:tc>
      </w:tr>
      <w:tr>
        <w:trPr>
          <w:cantSplit/>
        </w:trPr>
        <w:tc>
          <w:tcPr>
            <w:tcW w:type="dxa" w:w="4320"/>
            <w:vAlign w:val="center"/>
            <w:tcMar>
              <w:top w:w="80" w:type="dxa"/>
              <w:left w:w="80" w:type="dxa"/>
              <w:bottom w:w="80" w:type="dxa"/>
              <w:right w:w="80" w:type="dxa"/>
            </w:tcMar>
          </w:tcPr>
          <w:p>
            <w:pPr>
              <w:spacing w:after="60" w:line="276" w:lineRule="auto"/>
            </w:pPr>
            <w:r>
              <w:t>cp_payment_schedule</w:t>
            </w:r>
          </w:p>
        </w:tc>
        <w:tc>
          <w:tcPr>
            <w:tcW w:type="dxa" w:w="5040"/>
            <w:vAlign w:val="center"/>
            <w:tcMar>
              <w:top w:w="80" w:type="dxa"/>
              <w:left w:w="80" w:type="dxa"/>
              <w:bottom w:w="80" w:type="dxa"/>
              <w:right w:w="80" w:type="dxa"/>
            </w:tcMar>
          </w:tcPr>
          <w:p>
            <w:pPr>
              <w:spacing w:after="60" w:line="276" w:lineRule="auto"/>
            </w:pPr>
            <w:r>
              <w:t>due_id</w:t>
            </w:r>
          </w:p>
        </w:tc>
      </w:tr>
      <w:tr>
        <w:trPr>
          <w:cantSplit/>
        </w:trPr>
        <w:tc>
          <w:tcPr>
            <w:tcW w:type="dxa" w:w="4320"/>
            <w:vAlign w:val="center"/>
            <w:tcMar>
              <w:top w:w="80" w:type="dxa"/>
              <w:left w:w="80" w:type="dxa"/>
              <w:bottom w:w="80" w:type="dxa"/>
              <w:right w:w="80" w:type="dxa"/>
            </w:tcMar>
          </w:tcPr>
          <w:p>
            <w:pPr>
              <w:spacing w:after="60" w:line="276" w:lineRule="auto"/>
            </w:pPr>
            <w:r>
              <w:t>cp_government_charges</w:t>
            </w:r>
          </w:p>
        </w:tc>
        <w:tc>
          <w:tcPr>
            <w:tcW w:type="dxa" w:w="5040"/>
            <w:vAlign w:val="center"/>
            <w:tcMar>
              <w:top w:w="80" w:type="dxa"/>
              <w:left w:w="80" w:type="dxa"/>
              <w:bottom w:w="80" w:type="dxa"/>
              <w:right w:w="80" w:type="dxa"/>
            </w:tcMar>
          </w:tcPr>
          <w:p>
            <w:pPr>
              <w:spacing w:after="60" w:line="276" w:lineRule="auto"/>
            </w:pPr>
            <w:r>
              <w:t>charge_id</w:t>
            </w:r>
          </w:p>
        </w:tc>
      </w:tr>
      <w:tr>
        <w:trPr>
          <w:cantSplit/>
        </w:trPr>
        <w:tc>
          <w:tcPr>
            <w:tcW w:type="dxa" w:w="4320"/>
            <w:vAlign w:val="center"/>
            <w:tcMar>
              <w:top w:w="80" w:type="dxa"/>
              <w:left w:w="80" w:type="dxa"/>
              <w:bottom w:w="80" w:type="dxa"/>
              <w:right w:w="80" w:type="dxa"/>
            </w:tcMar>
          </w:tcPr>
          <w:p>
            <w:pPr>
              <w:spacing w:after="60" w:line="276" w:lineRule="auto"/>
            </w:pPr>
            <w:r>
              <w:t>cp_payments</w:t>
            </w:r>
          </w:p>
        </w:tc>
        <w:tc>
          <w:tcPr>
            <w:tcW w:type="dxa" w:w="5040"/>
            <w:vAlign w:val="center"/>
            <w:tcMar>
              <w:top w:w="80" w:type="dxa"/>
              <w:left w:w="80" w:type="dxa"/>
              <w:bottom w:w="80" w:type="dxa"/>
              <w:right w:w="80" w:type="dxa"/>
            </w:tcMar>
          </w:tcPr>
          <w:p>
            <w:pPr>
              <w:spacing w:after="60" w:line="276" w:lineRule="auto"/>
            </w:pPr>
            <w:r>
              <w:t>pay_id</w:t>
            </w:r>
          </w:p>
        </w:tc>
      </w:tr>
    </w:tbl>
    <w:p>
      <w:r>
        <w:t>2. Join activities with the green On success dependency in this order: Plots, Brokers, Bookings, Booking_Buyers, Payment_Schedule, Government_Charges, Payments. Loading parent rows before child rows allows the foreign keys to remain enforced.</w:t>
      </w:r>
    </w:p>
    <w:p>
      <w:r>
        <w:t>3. Validate all, publish all and use Add trigger, Trigger now for one full published run. In Monitor, inspect the pipeline and all seven activity outputs. A failed activity means the load is incomplete even if earlier activities succeeded.</w:t>
      </w:r>
    </w:p>
    <w:p>
      <w:r>
        <w:t>Upsert inserts new keys and updates existing keys; it is not append-only. Reruns are suitable only while the imported workbook is the authoritative Phase 1 snapshot. Freeze this pipeline or load future snapshots into a separate staging design before introducing live operational bookings.</w:t>
      </w:r>
    </w:p>
    <w:p>
      <w:r>
        <w:t xml:space="preserve">Microsoft guidance: </w:t>
      </w:r>
      <w:hyperlink r:id="rId13">
        <w:r>
          <w:rPr>
            <w:color w:val="000000"/>
            <w:u w:val="single"/>
          </w:rPr>
          <w:t>PostgreSQL sink and upsert keys</w:t>
        </w:r>
      </w:hyperlink>
    </w:p>
    <w:p>
      <w:pPr>
        <w:pStyle w:val="Heading1"/>
        <w:pageBreakBefore w:val="0"/>
      </w:pPr>
      <w:r>
        <w:t>9 Validate row counts and types</w:t>
      </w:r>
    </w:p>
    <w:p>
      <w:r>
        <w:t>The revised validation passed on Azure on 17 October 2026. After a load or controlled rerun, execute sql/validation/02_validate_ingestion.sql against suryavan. It checks counts, types and nullability, physical keys, financial control totals, ledger categories, relationships and selected scenario rules. Expect one SUMMARY row with passed=true and 124 checks; 0 failed. Keep the actual output as evidence.</w:t>
      </w:r>
    </w:p>
    <w:p>
      <w:pPr>
        <w:pStyle w:val="Heading2"/>
      </w:pPr>
      <w:r>
        <w:t>Compare exact row counts</w:t>
      </w:r>
    </w:p>
    <w:p>
      <w:pPr>
        <w:keepNext/>
        <w:spacing w:after="0" w:line="240" w:lineRule="auto"/>
      </w:pPr>
      <w:r>
        <w:rPr>
          <w:rFonts w:ascii="Consolas" w:hAnsi="Consolas"/>
          <w:sz w:val="20"/>
        </w:rPr>
        <w:t>WITH table_counts(tbl, expected, actual) AS (</w:t>
      </w:r>
    </w:p>
    <w:p>
      <w:pPr>
        <w:keepNext/>
        <w:spacing w:after="0" w:line="240" w:lineRule="auto"/>
      </w:pPr>
      <w:r>
        <w:rPr>
          <w:rFonts w:ascii="Consolas" w:hAnsi="Consolas"/>
          <w:sz w:val="20"/>
        </w:rPr>
        <w:t xml:space="preserve">    SELECT 'plots', 2000, COUNT(*) FROM public.plots</w:t>
      </w:r>
    </w:p>
    <w:p>
      <w:pPr>
        <w:keepNext/>
        <w:spacing w:after="0" w:line="240" w:lineRule="auto"/>
      </w:pPr>
      <w:r>
        <w:rPr>
          <w:rFonts w:ascii="Consolas" w:hAnsi="Consolas"/>
          <w:sz w:val="20"/>
        </w:rPr>
        <w:t xml:space="preserve">    UNION ALL SELECT 'brokers', 8, COUNT(*) FROM public.brokers</w:t>
      </w:r>
    </w:p>
    <w:p>
      <w:pPr>
        <w:keepNext/>
        <w:spacing w:after="0" w:line="240" w:lineRule="auto"/>
      </w:pPr>
      <w:r>
        <w:rPr>
          <w:rFonts w:ascii="Consolas" w:hAnsi="Consolas"/>
          <w:sz w:val="20"/>
        </w:rPr>
        <w:t xml:space="preserve">    UNION ALL SELECT 'bookings', 1540, COUNT(*)</w:t>
      </w:r>
    </w:p>
    <w:p>
      <w:pPr>
        <w:keepNext/>
        <w:spacing w:after="0" w:line="240" w:lineRule="auto"/>
      </w:pPr>
      <w:r>
        <w:rPr>
          <w:rFonts w:ascii="Consolas" w:hAnsi="Consolas"/>
          <w:sz w:val="20"/>
        </w:rPr>
        <w:t xml:space="preserve">        FROM public.bookings</w:t>
      </w:r>
    </w:p>
    <w:p>
      <w:pPr>
        <w:keepNext/>
        <w:spacing w:after="0" w:line="240" w:lineRule="auto"/>
      </w:pPr>
      <w:r>
        <w:rPr>
          <w:rFonts w:ascii="Consolas" w:hAnsi="Consolas"/>
          <w:sz w:val="20"/>
        </w:rPr>
        <w:t xml:space="preserve">    UNION ALL SELECT 'booking_buyers', 2187, COUNT(*)</w:t>
      </w:r>
    </w:p>
    <w:p>
      <w:pPr>
        <w:keepNext/>
        <w:spacing w:after="0" w:line="240" w:lineRule="auto"/>
      </w:pPr>
      <w:r>
        <w:rPr>
          <w:rFonts w:ascii="Consolas" w:hAnsi="Consolas"/>
          <w:sz w:val="20"/>
        </w:rPr>
        <w:t xml:space="preserve">        FROM public.booking_buyers</w:t>
      </w:r>
    </w:p>
    <w:p>
      <w:pPr>
        <w:keepNext/>
        <w:spacing w:after="0" w:line="240" w:lineRule="auto"/>
      </w:pPr>
      <w:r>
        <w:rPr>
          <w:rFonts w:ascii="Consolas" w:hAnsi="Consolas"/>
          <w:sz w:val="20"/>
        </w:rPr>
        <w:t xml:space="preserve">    UNION ALL SELECT 'payment_schedule', 10951, COUNT(*)</w:t>
      </w:r>
    </w:p>
    <w:p>
      <w:pPr>
        <w:keepNext/>
        <w:spacing w:after="0" w:line="240" w:lineRule="auto"/>
      </w:pPr>
      <w:r>
        <w:rPr>
          <w:rFonts w:ascii="Consolas" w:hAnsi="Consolas"/>
          <w:sz w:val="20"/>
        </w:rPr>
        <w:t xml:space="preserve">        FROM public.payment_schedule</w:t>
      </w:r>
    </w:p>
    <w:p>
      <w:pPr>
        <w:keepNext/>
        <w:spacing w:after="0" w:line="240" w:lineRule="auto"/>
      </w:pPr>
      <w:r>
        <w:rPr>
          <w:rFonts w:ascii="Consolas" w:hAnsi="Consolas"/>
          <w:sz w:val="20"/>
        </w:rPr>
        <w:t xml:space="preserve">    UNION ALL SELECT 'government_charges', 5560, COUNT(*)</w:t>
      </w:r>
    </w:p>
    <w:p>
      <w:pPr>
        <w:keepNext/>
        <w:spacing w:after="0" w:line="240" w:lineRule="auto"/>
      </w:pPr>
      <w:r>
        <w:rPr>
          <w:rFonts w:ascii="Consolas" w:hAnsi="Consolas"/>
          <w:sz w:val="20"/>
        </w:rPr>
        <w:t xml:space="preserve">        FROM public.government_charges</w:t>
      </w:r>
    </w:p>
    <w:p>
      <w:pPr>
        <w:keepNext/>
        <w:spacing w:after="0" w:line="240" w:lineRule="auto"/>
      </w:pPr>
      <w:r>
        <w:rPr>
          <w:rFonts w:ascii="Consolas" w:hAnsi="Consolas"/>
          <w:sz w:val="20"/>
        </w:rPr>
        <w:t xml:space="preserve">    UNION ALL SELECT 'payments', 16857, COUNT(*)</w:t>
      </w:r>
    </w:p>
    <w:p>
      <w:pPr>
        <w:keepNext/>
        <w:spacing w:after="0" w:line="240" w:lineRule="auto"/>
      </w:pPr>
      <w:r>
        <w:rPr>
          <w:rFonts w:ascii="Consolas" w:hAnsi="Consolas"/>
          <w:sz w:val="20"/>
        </w:rPr>
        <w:t xml:space="preserve">        FROM public.payments</w:t>
      </w:r>
    </w:p>
    <w:p>
      <w:pPr>
        <w:keepNext/>
        <w:spacing w:after="0" w:line="240" w:lineRule="auto"/>
      </w:pPr>
      <w:r>
        <w:rPr>
          <w:rFonts w:ascii="Consolas" w:hAnsi="Consolas"/>
          <w:sz w:val="20"/>
        </w:rPr>
        <w:t>)</w:t>
      </w:r>
    </w:p>
    <w:p>
      <w:pPr>
        <w:keepNext/>
        <w:spacing w:after="0" w:line="240" w:lineRule="auto"/>
      </w:pPr>
      <w:r>
        <w:rPr>
          <w:rFonts w:ascii="Consolas" w:hAnsi="Consolas"/>
          <w:sz w:val="20"/>
        </w:rPr>
        <w:t>SELECT tbl, expected, actual, actual = expected AS passed</w:t>
      </w:r>
    </w:p>
    <w:p>
      <w:pPr>
        <w:keepNext/>
        <w:spacing w:after="0" w:line="240" w:lineRule="auto"/>
      </w:pPr>
      <w:r>
        <w:rPr>
          <w:rFonts w:ascii="Consolas" w:hAnsi="Consolas"/>
          <w:sz w:val="20"/>
        </w:rPr>
        <w:t>FROM table_counts</w:t>
      </w:r>
    </w:p>
    <w:p>
      <w:pPr>
        <w:keepNext/>
        <w:spacing w:after="0" w:line="240" w:lineRule="auto"/>
      </w:pPr>
      <w:r>
        <w:rPr>
          <w:rFonts w:ascii="Consolas" w:hAnsi="Consolas"/>
          <w:sz w:val="20"/>
        </w:rPr>
        <w:t>ORDER BY tbl;</w:t>
      </w:r>
    </w:p>
    <w:p/>
    <w:p>
      <w:pPr>
        <w:pStyle w:val="Heading2"/>
      </w:pPr>
      <w:r>
        <w:t>Inspect dates and typed values</w:t>
      </w:r>
    </w:p>
    <w:p>
      <w:pPr>
        <w:keepNext/>
        <w:spacing w:after="0" w:line="240" w:lineRule="auto"/>
      </w:pPr>
      <w:r>
        <w:rPr>
          <w:rFonts w:ascii="Consolas" w:hAnsi="Consolas"/>
          <w:sz w:val="20"/>
        </w:rPr>
        <w:t>SELECT booking_id, submitted_at, booked_on, price</w:t>
      </w:r>
    </w:p>
    <w:p>
      <w:pPr>
        <w:keepNext/>
        <w:spacing w:after="0" w:line="240" w:lineRule="auto"/>
      </w:pPr>
      <w:r>
        <w:rPr>
          <w:rFonts w:ascii="Consolas" w:hAnsi="Consolas"/>
          <w:sz w:val="20"/>
        </w:rPr>
        <w:t>FROM public.bookings</w:t>
      </w:r>
    </w:p>
    <w:p>
      <w:pPr>
        <w:keepNext/>
        <w:spacing w:after="0" w:line="240" w:lineRule="auto"/>
      </w:pPr>
      <w:r>
        <w:rPr>
          <w:rFonts w:ascii="Consolas" w:hAnsi="Consolas"/>
          <w:sz w:val="20"/>
        </w:rPr>
        <w:t>ORDER BY submitted_at, booking_id</w:t>
      </w:r>
    </w:p>
    <w:p>
      <w:pPr>
        <w:keepNext/>
        <w:spacing w:after="0" w:line="240" w:lineRule="auto"/>
      </w:pPr>
      <w:r>
        <w:rPr>
          <w:rFonts w:ascii="Consolas" w:hAnsi="Consolas"/>
          <w:sz w:val="20"/>
        </w:rPr>
        <w:t>LIMIT 10;</w:t>
      </w:r>
    </w:p>
    <w:p>
      <w:pPr>
        <w:keepNext/>
        <w:spacing w:after="0" w:line="240" w:lineRule="auto"/>
      </w:pPr>
      <w:r>
        <w:rPr>
          <w:rFonts w:ascii="Consolas" w:hAnsi="Consolas"/>
          <w:sz w:val="20"/>
        </w:rPr>
      </w:r>
    </w:p>
    <w:p>
      <w:pPr>
        <w:keepNext/>
        <w:spacing w:after="0" w:line="240" w:lineRule="auto"/>
      </w:pPr>
      <w:r>
        <w:rPr>
          <w:rFonts w:ascii="Consolas" w:hAnsi="Consolas"/>
          <w:sz w:val="20"/>
        </w:rPr>
        <w:t>SELECT table_name, column_name, data_type</w:t>
      </w:r>
    </w:p>
    <w:p>
      <w:pPr>
        <w:keepNext/>
        <w:spacing w:after="0" w:line="240" w:lineRule="auto"/>
      </w:pPr>
      <w:r>
        <w:rPr>
          <w:rFonts w:ascii="Consolas" w:hAnsi="Consolas"/>
          <w:sz w:val="20"/>
        </w:rPr>
        <w:t>FROM information_schema.columns</w:t>
      </w:r>
    </w:p>
    <w:p>
      <w:pPr>
        <w:keepNext/>
        <w:spacing w:after="0" w:line="240" w:lineRule="auto"/>
      </w:pPr>
      <w:r>
        <w:rPr>
          <w:rFonts w:ascii="Consolas" w:hAnsi="Consolas"/>
          <w:sz w:val="20"/>
        </w:rPr>
        <w:t>WHERE table_schema = 'public'</w:t>
      </w:r>
    </w:p>
    <w:p>
      <w:pPr>
        <w:keepNext w:val="0"/>
        <w:spacing w:after="0" w:line="240" w:lineRule="auto"/>
      </w:pPr>
      <w:r>
        <w:rPr>
          <w:rFonts w:ascii="Consolas" w:hAnsi="Consolas"/>
          <w:sz w:val="20"/>
        </w:rPr>
        <w:t>ORDER BY table_name, ordinal_position;</w:t>
      </w:r>
    </w:p>
    <w:p/>
    <w:p>
      <w:r>
        <w:t>Every count must match. Blank optional cells must be NULL, and cached formula values must match the source. Review representative joint buyers and cancelled bookings. PostgreSQL does not guarantee row order without ORDER BY; queries must explicitly sort by date and then ID. Future Payment_Schedule due dates can extend beyond the transaction cutoff.</w:t>
      </w:r>
    </w:p>
    <w:p>
      <w:pPr/>
      <w:r>
        <w:t>The validation file has eight labelled sections. Expected counts and money totals sit beside their aggregates, avoiding separate expected and actual CTEs and their joins. LEFT JOIN and GROUP BY check required keys once while retaining missing constraints and avoiding duplicate result rows. CTEs share named query results between the summary and failure details. FULL JOIN reveals unexpected ledger categories and columns. Catalog queries remain necessary to verify physical keys and precision; current data alone cannot prove that those constraints exist. The read-only transaction protects records.</w:t>
      </w:r>
    </w:p>
    <w:p>
      <w:r>
        <w:t xml:space="preserve">Microsoft guidance: </w:t>
      </w:r>
      <w:hyperlink r:id="rId16">
        <w:r>
          <w:rPr>
            <w:color w:val="000000"/>
            <w:u w:val="single"/>
          </w:rPr>
          <w:t>Copy activity mappings and type conversion</w:t>
        </w:r>
      </w:hyperlink>
    </w:p>
    <w:p>
      <w:pPr>
        <w:pStyle w:val="Heading1"/>
        <w:pageBreakBefore w:val="0"/>
      </w:pPr>
      <w:r>
        <w:t>10 Validate control totals and booking relationships</w:t>
      </w:r>
    </w:p>
    <w:p>
      <w:pPr>
        <w:pStyle w:val="Heading2"/>
      </w:pPr>
      <w:r>
        <w:t>Reconcile monetary values</w:t>
      </w:r>
    </w:p>
    <w:p>
      <w:r>
        <w:t>The following totals were independently calculated from the cached workbook on 14 October 2026. They are technical control totals across all relevant rows, including historical claims, rejected attempts, refunds, transfers and credits. They must not be presented as legitimate sales, cash collected, profit or business performance.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5400"/>
        <w:gridCol w:w="3960"/>
      </w:tblGrid>
      <w:tr>
        <w:trPr>
          <w:tblHeader/>
          <w:cantSplit/>
        </w:trPr>
        <w:tc>
          <w:tcPr>
            <w:tcW w:type="dxa" w:w="5400"/>
            <w:shd w:fill="EFEFEF"/>
            <w:vAlign w:val="center"/>
            <w:tcMar>
              <w:top w:w="80" w:type="dxa"/>
              <w:left w:w="80" w:type="dxa"/>
              <w:bottom w:w="80" w:type="dxa"/>
              <w:right w:w="80" w:type="dxa"/>
            </w:tcMar>
          </w:tcPr>
          <w:p>
            <w:pPr>
              <w:spacing w:after="60" w:line="276" w:lineRule="auto"/>
            </w:pPr>
            <w:r>
              <w:rPr>
                <w:b/>
              </w:rPr>
              <w:t>Column total</w:t>
            </w:r>
          </w:p>
        </w:tc>
        <w:tc>
          <w:tcPr>
            <w:tcW w:type="dxa" w:w="3960"/>
            <w:shd w:fill="EFEFEF"/>
            <w:vAlign w:val="center"/>
            <w:tcMar>
              <w:top w:w="80" w:type="dxa"/>
              <w:left w:w="80" w:type="dxa"/>
              <w:bottom w:w="80" w:type="dxa"/>
              <w:right w:w="80" w:type="dxa"/>
            </w:tcMar>
          </w:tcPr>
          <w:p>
            <w:pPr>
              <w:spacing w:after="60" w:line="276" w:lineRule="auto"/>
            </w:pPr>
            <w:r>
              <w:rPr>
                <w:b/>
              </w:rPr>
              <w:t>Expected rupees</w:t>
            </w:r>
          </w:p>
        </w:tc>
      </w:tr>
      <w:tr>
        <w:trPr>
          <w:cantSplit/>
        </w:trPr>
        <w:tc>
          <w:tcPr>
            <w:tcW w:type="dxa" w:w="5400"/>
            <w:vAlign w:val="center"/>
            <w:tcMar>
              <w:top w:w="80" w:type="dxa"/>
              <w:left w:w="80" w:type="dxa"/>
              <w:bottom w:w="80" w:type="dxa"/>
              <w:right w:w="80" w:type="dxa"/>
            </w:tcMar>
          </w:tcPr>
          <w:p>
            <w:pPr>
              <w:spacing w:after="60" w:line="276" w:lineRule="auto"/>
            </w:pPr>
            <w:r>
              <w:t>Bookings price</w:t>
            </w:r>
          </w:p>
        </w:tc>
        <w:tc>
          <w:tcPr>
            <w:tcW w:type="dxa" w:w="3960"/>
            <w:vAlign w:val="center"/>
            <w:tcMar>
              <w:top w:w="80" w:type="dxa"/>
              <w:left w:w="80" w:type="dxa"/>
              <w:bottom w:w="80" w:type="dxa"/>
              <w:right w:w="80" w:type="dxa"/>
            </w:tcMar>
          </w:tcPr>
          <w:p>
            <w:pPr>
              <w:spacing w:after="60" w:line="276" w:lineRule="auto"/>
            </w:pPr>
            <w:r>
              <w:t>24,805,840,000.00</w:t>
            </w:r>
          </w:p>
        </w:tc>
      </w:tr>
      <w:tr>
        <w:trPr>
          <w:cantSplit/>
        </w:trPr>
        <w:tc>
          <w:tcPr>
            <w:tcW w:type="dxa" w:w="5400"/>
            <w:vAlign w:val="center"/>
            <w:tcMar>
              <w:top w:w="80" w:type="dxa"/>
              <w:left w:w="80" w:type="dxa"/>
              <w:bottom w:w="80" w:type="dxa"/>
              <w:right w:w="80" w:type="dxa"/>
            </w:tcMar>
          </w:tcPr>
          <w:p>
            <w:pPr>
              <w:spacing w:after="60" w:line="276" w:lineRule="auto"/>
            </w:pPr>
            <w:r>
              <w:t>Payment_Schedule due_amt</w:t>
            </w:r>
          </w:p>
        </w:tc>
        <w:tc>
          <w:tcPr>
            <w:tcW w:type="dxa" w:w="3960"/>
            <w:vAlign w:val="center"/>
            <w:tcMar>
              <w:top w:w="80" w:type="dxa"/>
              <w:left w:w="80" w:type="dxa"/>
              <w:bottom w:w="80" w:type="dxa"/>
              <w:right w:w="80" w:type="dxa"/>
            </w:tcMar>
          </w:tcPr>
          <w:p>
            <w:pPr>
              <w:spacing w:after="60" w:line="276" w:lineRule="auto"/>
            </w:pPr>
            <w:r>
              <w:t>23,820,168,866.61</w:t>
            </w:r>
          </w:p>
        </w:tc>
      </w:tr>
      <w:tr>
        <w:trPr>
          <w:cantSplit/>
        </w:trPr>
        <w:tc>
          <w:tcPr>
            <w:tcW w:type="dxa" w:w="5400"/>
            <w:vAlign w:val="center"/>
            <w:tcMar>
              <w:top w:w="80" w:type="dxa"/>
              <w:left w:w="80" w:type="dxa"/>
              <w:bottom w:w="80" w:type="dxa"/>
              <w:right w:w="80" w:type="dxa"/>
            </w:tcMar>
          </w:tcPr>
          <w:p>
            <w:pPr>
              <w:spacing w:after="60" w:line="276" w:lineRule="auto"/>
            </w:pPr>
            <w:r>
              <w:t>Payments amount</w:t>
            </w:r>
          </w:p>
        </w:tc>
        <w:tc>
          <w:tcPr>
            <w:tcW w:type="dxa" w:w="3960"/>
            <w:vAlign w:val="center"/>
            <w:tcMar>
              <w:top w:w="80" w:type="dxa"/>
              <w:left w:w="80" w:type="dxa"/>
              <w:bottom w:w="80" w:type="dxa"/>
              <w:right w:w="80" w:type="dxa"/>
            </w:tcMar>
          </w:tcPr>
          <w:p>
            <w:pPr>
              <w:spacing w:after="60" w:line="276" w:lineRule="auto"/>
            </w:pPr>
            <w:r>
              <w:t>19,454,188,174.97</w:t>
            </w:r>
          </w:p>
        </w:tc>
      </w:tr>
      <w:tr>
        <w:trPr>
          <w:cantSplit/>
        </w:trPr>
        <w:tc>
          <w:tcPr>
            <w:tcW w:type="dxa" w:w="5400"/>
            <w:vAlign w:val="center"/>
            <w:tcMar>
              <w:top w:w="80" w:type="dxa"/>
              <w:left w:w="80" w:type="dxa"/>
              <w:bottom w:w="80" w:type="dxa"/>
              <w:right w:w="80" w:type="dxa"/>
            </w:tcMar>
          </w:tcPr>
          <w:p>
            <w:pPr>
              <w:spacing w:after="60" w:line="276" w:lineRule="auto"/>
            </w:pPr>
            <w:r>
              <w:t>Government_Charges amount</w:t>
            </w:r>
          </w:p>
        </w:tc>
        <w:tc>
          <w:tcPr>
            <w:tcW w:type="dxa" w:w="3960"/>
            <w:vAlign w:val="center"/>
            <w:tcMar>
              <w:top w:w="80" w:type="dxa"/>
              <w:left w:w="80" w:type="dxa"/>
              <w:bottom w:w="80" w:type="dxa"/>
              <w:right w:w="80" w:type="dxa"/>
            </w:tcMar>
          </w:tcPr>
          <w:p>
            <w:pPr>
              <w:spacing w:after="60" w:line="276" w:lineRule="auto"/>
            </w:pPr>
            <w:r>
              <w:t>1,663,435,233.36</w:t>
            </w:r>
          </w:p>
        </w:tc>
      </w:tr>
      <w:tr>
        <w:trPr>
          <w:cantSplit/>
        </w:trPr>
        <w:tc>
          <w:tcPr>
            <w:tcW w:type="dxa" w:w="5400"/>
            <w:vAlign w:val="center"/>
            <w:tcMar>
              <w:top w:w="80" w:type="dxa"/>
              <w:left w:w="80" w:type="dxa"/>
              <w:bottom w:w="80" w:type="dxa"/>
              <w:right w:w="80" w:type="dxa"/>
            </w:tcMar>
          </w:tcPr>
          <w:p>
            <w:pPr>
              <w:spacing w:after="60" w:line="276" w:lineRule="auto"/>
            </w:pPr>
            <w:r>
              <w:t>Government_Charges nonrefund_amt</w:t>
            </w:r>
          </w:p>
        </w:tc>
        <w:tc>
          <w:tcPr>
            <w:tcW w:type="dxa" w:w="3960"/>
            <w:vAlign w:val="center"/>
            <w:tcMar>
              <w:top w:w="80" w:type="dxa"/>
              <w:left w:w="80" w:type="dxa"/>
              <w:bottom w:w="80" w:type="dxa"/>
              <w:right w:w="80" w:type="dxa"/>
            </w:tcMar>
          </w:tcPr>
          <w:p>
            <w:pPr>
              <w:spacing w:after="60" w:line="276" w:lineRule="auto"/>
            </w:pPr>
            <w:r>
              <w:t>20,000.00</w:t>
            </w:r>
          </w:p>
        </w:tc>
      </w:tr>
    </w:tbl>
    <w:p>
      <w:pPr>
        <w:keepNext/>
        <w:spacing w:after="0" w:line="240" w:lineRule="auto"/>
      </w:pPr>
      <w:r>
        <w:rPr>
          <w:rFonts w:ascii="Consolas" w:hAnsi="Consolas"/>
          <w:sz w:val="20"/>
        </w:rPr>
        <w:t>SELECT 'bookings_price' AS control, SUM(price) AS total</w:t>
      </w:r>
    </w:p>
    <w:p>
      <w:pPr>
        <w:keepNext/>
        <w:spacing w:after="0" w:line="240" w:lineRule="auto"/>
      </w:pPr>
      <w:r>
        <w:rPr>
          <w:rFonts w:ascii="Consolas" w:hAnsi="Consolas"/>
          <w:sz w:val="20"/>
        </w:rPr>
        <w:t>FROM public.bookings</w:t>
      </w:r>
    </w:p>
    <w:p>
      <w:pPr>
        <w:keepNext/>
        <w:spacing w:after="0" w:line="240" w:lineRule="auto"/>
      </w:pPr>
      <w:r>
        <w:rPr>
          <w:rFonts w:ascii="Consolas" w:hAnsi="Consolas"/>
          <w:sz w:val="20"/>
        </w:rPr>
        <w:t>UNION ALL SELECT 'schedule_due', SUM(due_amt)</w:t>
      </w:r>
    </w:p>
    <w:p>
      <w:pPr>
        <w:keepNext/>
        <w:spacing w:after="0" w:line="240" w:lineRule="auto"/>
      </w:pPr>
      <w:r>
        <w:rPr>
          <w:rFonts w:ascii="Consolas" w:hAnsi="Consolas"/>
          <w:sz w:val="20"/>
        </w:rPr>
        <w:t>FROM public.payment_schedule</w:t>
      </w:r>
    </w:p>
    <w:p>
      <w:pPr>
        <w:keepNext/>
        <w:spacing w:after="0" w:line="240" w:lineRule="auto"/>
      </w:pPr>
      <w:r>
        <w:rPr>
          <w:rFonts w:ascii="Consolas" w:hAnsi="Consolas"/>
          <w:sz w:val="20"/>
        </w:rPr>
        <w:t>UNION ALL SELECT 'ledger_amount', SUM(amount)</w:t>
      </w:r>
    </w:p>
    <w:p>
      <w:pPr>
        <w:keepNext/>
        <w:spacing w:after="0" w:line="240" w:lineRule="auto"/>
      </w:pPr>
      <w:r>
        <w:rPr>
          <w:rFonts w:ascii="Consolas" w:hAnsi="Consolas"/>
          <w:sz w:val="20"/>
        </w:rPr>
        <w:t>FROM public.payments</w:t>
      </w:r>
    </w:p>
    <w:p>
      <w:pPr>
        <w:keepNext/>
        <w:spacing w:after="0" w:line="240" w:lineRule="auto"/>
      </w:pPr>
      <w:r>
        <w:rPr>
          <w:rFonts w:ascii="Consolas" w:hAnsi="Consolas"/>
          <w:sz w:val="20"/>
        </w:rPr>
        <w:t>UNION ALL SELECT 'government_amount', SUM(amount)</w:t>
      </w:r>
    </w:p>
    <w:p>
      <w:pPr>
        <w:keepNext/>
        <w:spacing w:after="0" w:line="240" w:lineRule="auto"/>
      </w:pPr>
      <w:r>
        <w:rPr>
          <w:rFonts w:ascii="Consolas" w:hAnsi="Consolas"/>
          <w:sz w:val="20"/>
        </w:rPr>
        <w:t>FROM public.government_charges</w:t>
      </w:r>
    </w:p>
    <w:p>
      <w:pPr>
        <w:keepNext/>
        <w:spacing w:after="0" w:line="240" w:lineRule="auto"/>
      </w:pPr>
      <w:r>
        <w:rPr>
          <w:rFonts w:ascii="Consolas" w:hAnsi="Consolas"/>
          <w:sz w:val="20"/>
        </w:rPr>
        <w:t>UNION ALL SELECT 'government_nonrefund', SUM(nonrefund_amt)</w:t>
      </w:r>
    </w:p>
    <w:p>
      <w:pPr>
        <w:keepNext w:val="0"/>
        <w:spacing w:after="0" w:line="240" w:lineRule="auto"/>
      </w:pPr>
      <w:r>
        <w:rPr>
          <w:rFonts w:ascii="Consolas" w:hAnsi="Consolas"/>
          <w:sz w:val="20"/>
        </w:rPr>
        <w:t>FROM public.government_charges;</w:t>
      </w:r>
    </w:p>
    <w:p/>
    <w:p>
      <w:r>
        <w:t>Also group the Payments ledger by component, entry_type and verify_status and compare counts and amount sums with the same groups in Excel. A grand total alone can hide amounts assigned to the wrong category. Preserve the original workbook; use a separate scratch view or workbook for checks.</w:t>
      </w:r>
    </w:p>
    <w:p>
      <w:pPr>
        <w:pStyle w:val="Heading2"/>
      </w:pPr>
      <w:r>
        <w:t>Check inventory protection and buyers</w:t>
      </w:r>
    </w:p>
    <w:p>
      <w:r>
        <w:t>Rejected attempts may retain requesting buyer details, but must have no scheduled obligations, government assessments or ledger movements. Each request with buyers must have one to three buyers and exactly one primary buyer. Open historical claims must reference Blocked plots. No plot may have more than one accepted Booked or Sold booking. Requesting buyer details do not establish confirmed ownership.</w:t>
      </w:r>
    </w:p>
    <w:p>
      <w:r>
        <w:t>The existing foreign keys protect the remaining parent relationships and ensure a payment obligation or charge belongs to the payment booking. Add the related_id relationship only after its orphan check returns zero, using the next chapter. Historical claims must remain present for later analysis.</w:t>
      </w:r>
    </w:p>
    <w:p>
      <w:pPr>
        <w:pStyle w:val="Heading1"/>
        <w:pageBreakBefore w:val="0"/>
      </w:pPr>
      <w:r>
        <w:t>11 Complete the ingestion checks and retain evidence</w:t>
      </w:r>
    </w:p>
    <w:p>
      <w:pPr>
        <w:pStyle w:val="Heading2"/>
      </w:pPr>
      <w:r>
        <w:t>Add the final booking relationship</w:t>
      </w:r>
    </w:p>
    <w:p>
      <w:r>
        <w:t>1. Check for a booking related_id that does not exist in Bookings. The query must return zero rows.</w:t>
      </w:r>
    </w:p>
    <w:p>
      <w:pPr>
        <w:keepNext/>
        <w:spacing w:after="0" w:line="240" w:lineRule="auto"/>
      </w:pPr>
      <w:r>
        <w:rPr>
          <w:rFonts w:ascii="Consolas" w:hAnsi="Consolas"/>
          <w:sz w:val="20"/>
        </w:rPr>
        <w:t>SELECT b.booking_id, b.related_id</w:t>
      </w:r>
    </w:p>
    <w:p>
      <w:pPr>
        <w:keepNext/>
        <w:spacing w:after="0" w:line="240" w:lineRule="auto"/>
      </w:pPr>
      <w:r>
        <w:rPr>
          <w:rFonts w:ascii="Consolas" w:hAnsi="Consolas"/>
          <w:sz w:val="20"/>
        </w:rPr>
        <w:t>FROM public.bookings b</w:t>
      </w:r>
    </w:p>
    <w:p>
      <w:pPr>
        <w:keepNext/>
        <w:spacing w:after="0" w:line="240" w:lineRule="auto"/>
      </w:pPr>
      <w:r>
        <w:rPr>
          <w:rFonts w:ascii="Consolas" w:hAnsi="Consolas"/>
          <w:sz w:val="20"/>
        </w:rPr>
        <w:t>LEFT JOIN public.bookings r ON r.booking_id = b.related_id</w:t>
      </w:r>
    </w:p>
    <w:p>
      <w:pPr>
        <w:keepNext w:val="0"/>
        <w:spacing w:after="0" w:line="240" w:lineRule="auto"/>
      </w:pPr>
      <w:r>
        <w:rPr>
          <w:rFonts w:ascii="Consolas" w:hAnsi="Consolas"/>
          <w:sz w:val="20"/>
        </w:rPr>
        <w:t>WHERE b.related_id IS NOT NULL AND r.booking_id IS NULL;</w:t>
      </w:r>
    </w:p>
    <w:p/>
    <w:p>
      <w:r>
        <w:t>2. Run sql/setup/03_add_booking_relation.sql after validation passes. It requires all 1,540 bookings and rejects orphan related_id values. One catalog lookup checks the named constraint, its columns, validation and update/delete behaviour. The script creates a missing relationship, rejects a different definition, or reports that the validated relationship already exists. FOUND distinguishes no matching name from an incompatible definition. Execute the saved guarded file; the bare ALTER below only illustrates the relationship.</w:t>
      </w:r>
    </w:p>
    <w:p>
      <w:pPr>
        <w:keepNext/>
        <w:spacing w:after="0" w:line="240" w:lineRule="auto"/>
      </w:pPr>
      <w:r>
        <w:rPr>
          <w:rFonts w:ascii="Consolas" w:hAnsi="Consolas"/>
          <w:sz w:val="20"/>
        </w:rPr>
        <w:t>ALTER TABLE public.bookings</w:t>
      </w:r>
    </w:p>
    <w:p>
      <w:pPr>
        <w:keepNext/>
        <w:spacing w:after="0" w:line="240" w:lineRule="auto"/>
      </w:pPr>
      <w:r>
        <w:rPr>
          <w:rFonts w:ascii="Consolas" w:hAnsi="Consolas"/>
          <w:sz w:val="20"/>
        </w:rPr>
        <w:t>ADD CONSTRAINT fk_bookings_related</w:t>
      </w:r>
    </w:p>
    <w:p>
      <w:pPr>
        <w:keepNext/>
        <w:spacing w:after="0" w:line="240" w:lineRule="auto"/>
      </w:pPr>
      <w:r>
        <w:rPr>
          <w:rFonts w:ascii="Consolas" w:hAnsi="Consolas"/>
          <w:sz w:val="20"/>
        </w:rPr>
        <w:t>FOREIGN KEY (related_id)</w:t>
      </w:r>
    </w:p>
    <w:p>
      <w:pPr>
        <w:keepNext w:val="0"/>
        <w:spacing w:after="0" w:line="240" w:lineRule="auto"/>
      </w:pPr>
      <w:r>
        <w:rPr>
          <w:rFonts w:ascii="Consolas" w:hAnsi="Consolas"/>
          <w:sz w:val="20"/>
        </w:rPr>
        <w:t>REFERENCES public.bookings (booking_id);</w:t>
      </w:r>
    </w:p>
    <w:p/>
    <w:p>
      <w:pPr>
        <w:pStyle w:val="Heading2"/>
      </w:pPr>
      <w:r>
        <w:t>Test a controlled rerun</w:t>
      </w:r>
    </w:p>
    <w:p>
      <w:r>
        <w:t>1. Run sql/validation/04_capture_rerun_state.sql and save the seven-row output privately. Trigger the published pipeline again, then repeat the query. Each table’s row count and fingerprint must match the saved result. Run 02_validate_ingestion.sql again as well. Perform this only before live operational transactions are introduced.</w:t>
      </w:r>
    </w:p>
    <w:p>
      <w:r>
        <w:t>2. If a copy fails, inspect its Output and first error. Correct the responsible mapping, type, key or connection; keep incompatible-row skipping off. Rerun and validate again. Do not delete claims to make constraints pass. Copy activities commit separately, so a failed pipeline can leave a partial load; success dependencies and the final SQL checks identify that situation.</w:t>
      </w:r>
    </w:p>
    <w:p>
      <w:pPr/>
      <w:r>
        <w:t>The rerun file first checks the selected database and uses a read-only transaction with a local ISO date setting. TO_JSONB represents complete rows, STRING_AGG combines them in primary-key order and MD5 calculates a comparison fingerprint. This detects changes that counts and grand totals can miss. Compare outputs on the same server; the fingerprint is a change detector, not a security mechanism or cross-version file checksum.</w:t>
      </w:r>
    </w:p>
    <w:p>
      <w:pPr>
        <w:pStyle w:val="Heading2"/>
      </w:pPr>
      <w:r>
        <w:t>Save evidence for the portfolio</w:t>
      </w:r>
    </w:p>
    <w:p>
      <w:r>
        <w:t>1. Create evidence locally. Save a pipeline diagram, a successful Monitor run and SQL count-validation results as readable screenshots. Remove account email, subscription identifiers, client IPs and credentials from screenshots intended for public use.</w:t>
      </w:r>
    </w:p>
    <w:p>
      <w:r>
        <w:t>2. In ADF Manage, ARM template, use Export ARM template. Keep the original download under private/adf_export. Review public copies for credentials, encrypted credential fields, account identifiers and environment-specific values before placing them in azure/adf. Use parameters or placeholders for private values.</w:t>
      </w:r>
    </w:p>
    <w:p>
      <w:r>
        <w:t>3. Alternatively, use each resource Code view to retain the pipeline and dataset JSON plus reviewed connection definitions. Screenshots demonstrate execution; JSON and SQL preserve how the implementation was configured. Do not claim the export deploys Blob or PostgreSQL as well: it represents the factory configuration.</w:t>
      </w:r>
    </w:p>
    <w:p>
      <w:r>
        <w:t>4. Record actual successful run identifiers and verification results privately. Update public completion status only after those checks pass. Current trial usage and remaining credit require a fresh Cost Management check; the USD 200 credit is a one-time trial credit, not a monthly renewal.</w:t>
      </w:r>
    </w:p>
    <w:p>
      <w:r>
        <w:t xml:space="preserve">Microsoft guidance: </w:t>
      </w:r>
      <w:hyperlink r:id="rId17">
        <w:r>
          <w:rPr>
            <w:color w:val="000000"/>
            <w:u w:val="single"/>
          </w:rPr>
          <w:t>Export a factory configuration in live mode</w:t>
        </w:r>
      </w:hyperlink>
    </w:p>
    <w:p>
      <w:pPr>
        <w:pStyle w:val="Heading1"/>
        <w:pageBreakBefore w:val="0"/>
      </w:pPr>
      <w:r>
        <w:t>12 Publish Phase 1 from VS Code</w:t>
      </w:r>
    </w:p>
    <w:p>
      <w:r>
        <w:t>The ingestion and SQL checks have passed. Complete the open checks in chapter 13 before declaring Phase 1 fully closed. Create one repository and continue Phase 2 there; the suggested name is suryavan-real-estate-bi. Keep README.md empty until its content is explicitly requested. Include the reviewed SQL evidence and current documents; retain private records outside Git.</w:t>
      </w:r>
    </w:p>
    <w:p>
      <w:pPr>
        <w:pStyle w:val="Heading2"/>
      </w:pPr>
      <w:r>
        <w:t>Select the public Phase 1 files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680"/>
        <w:gridCol w:w="4680"/>
      </w:tblGrid>
      <w:tr>
        <w:trPr>
          <w:tblHeader/>
          <w:cantSplit/>
        </w:trPr>
        <w:tc>
          <w:tcPr>
            <w:tcW w:type="dxa" w:w="4680"/>
            <w:shd w:fill="EFEFEF"/>
            <w:vAlign w:val="center"/>
            <w:tcMar>
              <w:top w:w="80" w:type="dxa"/>
              <w:left w:w="80" w:type="dxa"/>
              <w:bottom w:w="80" w:type="dxa"/>
              <w:right w:w="80" w:type="dxa"/>
            </w:tcMar>
          </w:tcPr>
          <w:p>
            <w:pPr>
              <w:spacing w:after="60" w:line="276" w:lineRule="auto"/>
            </w:pPr>
            <w:r>
              <w:rPr>
                <w:b/>
              </w:rPr>
              <w:t>Include</w:t>
            </w:r>
          </w:p>
        </w:tc>
        <w:tc>
          <w:tcPr>
            <w:tcW w:type="dxa" w:w="4680"/>
            <w:shd w:fill="EFEFEF"/>
            <w:vAlign w:val="center"/>
            <w:tcMar>
              <w:top w:w="80" w:type="dxa"/>
              <w:left w:w="80" w:type="dxa"/>
              <w:bottom w:w="80" w:type="dxa"/>
              <w:right w:w="80" w:type="dxa"/>
            </w:tcMar>
          </w:tcPr>
          <w:p>
            <w:pPr>
              <w:spacing w:after="60" w:line="276" w:lineRule="auto"/>
            </w:pPr>
            <w:r>
              <w:rPr>
                <w:b/>
              </w:rPr>
              <w:t>Keep local or private</w:t>
            </w:r>
          </w:p>
        </w:tc>
      </w:tr>
      <w:tr>
        <w:trPr>
          <w:cantSplit/>
        </w:trPr>
        <w:tc>
          <w:tcPr>
            <w:tcW w:type="dxa" w:w="4680"/>
            <w:vAlign w:val="center"/>
            <w:tcMar>
              <w:top w:w="80" w:type="dxa"/>
              <w:left w:w="80" w:type="dxa"/>
              <w:bottom w:w="80" w:type="dxa"/>
              <w:right w:w="80" w:type="dxa"/>
            </w:tcMar>
          </w:tcPr>
          <w:p>
            <w:pPr>
              <w:spacing w:after="60" w:line="276" w:lineRule="auto"/>
            </w:pPr>
            <w:r>
              <w:t>README.md and .gitignore</w:t>
            </w:r>
          </w:p>
        </w:tc>
        <w:tc>
          <w:tcPr>
            <w:tcW w:type="dxa" w:w="4680"/>
            <w:vAlign w:val="center"/>
            <w:tcMar>
              <w:top w:w="80" w:type="dxa"/>
              <w:left w:w="80" w:type="dxa"/>
              <w:bottom w:w="80" w:type="dxa"/>
              <w:right w:w="80" w:type="dxa"/>
            </w:tcMar>
          </w:tcPr>
          <w:p>
            <w:r>
              <w:t>private, data/sample, original response paths and .work</w:t>
            </w:r>
          </w:p>
        </w:tc>
      </w:tr>
      <w:tr>
        <w:trPr>
          <w:cantSplit/>
        </w:trPr>
        <w:tc>
          <w:tcPr>
            <w:tcW w:type="dxa" w:w="4680"/>
            <w:vAlign w:val="center"/>
            <w:tcMar>
              <w:top w:w="80" w:type="dxa"/>
              <w:left w:w="80" w:type="dxa"/>
              <w:bottom w:w="80" w:type="dxa"/>
              <w:right w:w="80" w:type="dxa"/>
            </w:tcMar>
          </w:tcPr>
          <w:p>
            <w:pPr>
              <w:spacing w:after="60" w:line="276" w:lineRule="auto"/>
            </w:pPr>
            <w:r>
              <w:t>.vscode/extensions.json</w:t>
            </w:r>
          </w:p>
        </w:tc>
        <w:tc>
          <w:tcPr>
            <w:tcW w:type="dxa" w:w="4680"/>
            <w:vAlign w:val="center"/>
            <w:tcMar>
              <w:top w:w="80" w:type="dxa"/>
              <w:left w:w="80" w:type="dxa"/>
              <w:bottom w:w="80" w:type="dxa"/>
              <w:right w:w="80" w:type="dxa"/>
            </w:tcMar>
          </w:tcPr>
          <w:p>
            <w:pPr>
              <w:spacing w:after="60" w:line="276" w:lineRule="auto"/>
            </w:pPr>
            <w:r>
              <w:t>VS Code connection settings and credentials</w:t>
            </w:r>
          </w:p>
        </w:tc>
      </w:tr>
      <w:tr>
        <w:trPr>
          <w:cantSplit/>
        </w:trPr>
        <w:tc>
          <w:tcPr>
            <w:tcW w:type="dxa" w:w="4680"/>
            <w:vAlign w:val="center"/>
            <w:tcMar>
              <w:top w:w="80" w:type="dxa"/>
              <w:left w:w="80" w:type="dxa"/>
              <w:bottom w:w="80" w:type="dxa"/>
              <w:right w:w="80" w:type="dxa"/>
            </w:tcMar>
          </w:tcPr>
          <w:p>
            <w:pPr>
              <w:spacing w:after="60" w:line="276" w:lineRule="auto"/>
            </w:pPr>
            <w:r>
              <w:t>Synthetic workbook</w:t>
            </w:r>
          </w:p>
        </w:tc>
        <w:tc>
          <w:tcPr>
            <w:tcW w:type="dxa" w:w="4680"/>
            <w:vAlign w:val="center"/>
            <w:tcMar>
              <w:top w:w="80" w:type="dxa"/>
              <w:left w:w="80" w:type="dxa"/>
              <w:bottom w:w="80" w:type="dxa"/>
              <w:right w:w="80" w:type="dxa"/>
            </w:tcMar>
          </w:tcPr>
          <w:p>
            <w:pPr>
              <w:spacing w:after="60" w:line="276" w:lineRule="auto"/>
            </w:pPr>
            <w:r>
              <w:t>Original customer records</w:t>
            </w:r>
          </w:p>
        </w:tc>
      </w:tr>
      <w:tr>
        <w:trPr>
          <w:cantSplit/>
        </w:trPr>
        <w:tc>
          <w:tcPr>
            <w:tcW w:type="dxa" w:w="4680"/>
            <w:vAlign w:val="center"/>
            <w:tcMar>
              <w:top w:w="80" w:type="dxa"/>
              <w:left w:w="80" w:type="dxa"/>
              <w:bottom w:w="80" w:type="dxa"/>
              <w:right w:w="80" w:type="dxa"/>
            </w:tcMar>
          </w:tcPr>
          <w:p>
            <w:pPr>
              <w:spacing w:after="60" w:line="276" w:lineRule="auto"/>
            </w:pPr>
            <w:r>
              <w:t>BRD, Data Dictionary, Technical Documentation</w:t>
            </w:r>
          </w:p>
        </w:tc>
        <w:tc>
          <w:tcPr>
            <w:tcW w:type="dxa" w:w="4680"/>
            <w:vAlign w:val="center"/>
            <w:tcMar>
              <w:top w:w="80" w:type="dxa"/>
              <w:left w:w="80" w:type="dxa"/>
              <w:bottom w:w="80" w:type="dxa"/>
              <w:right w:w="80" w:type="dxa"/>
            </w:tcMar>
          </w:tcPr>
          <w:p>
            <w:pPr>
              <w:spacing w:after="60" w:line="276" w:lineRule="auto"/>
            </w:pPr>
            <w:r>
              <w:t>Blank final report; unfinished preliminary analysis</w:t>
            </w:r>
          </w:p>
        </w:tc>
      </w:tr>
      <w:tr>
        <w:trPr>
          <w:cantSplit/>
        </w:trPr>
        <w:tc>
          <w:tcPr>
            <w:tcW w:type="dxa" w:w="4680"/>
            <w:vAlign w:val="center"/>
            <w:tcMar>
              <w:top w:w="80" w:type="dxa"/>
              <w:left w:w="80" w:type="dxa"/>
              <w:bottom w:w="80" w:type="dxa"/>
              <w:right w:w="80" w:type="dxa"/>
            </w:tcMar>
          </w:tcPr>
          <w:p>
            <w:pPr>
              <w:spacing w:after="60" w:line="276" w:lineRule="auto"/>
            </w:pPr>
            <w:r>
              <w:t>Saved SQL scripts</w:t>
            </w:r>
          </w:p>
        </w:tc>
        <w:tc>
          <w:tcPr>
            <w:tcW w:type="dxa" w:w="4680"/>
            <w:vAlign w:val="center"/>
            <w:tcMar>
              <w:top w:w="80" w:type="dxa"/>
              <w:left w:w="80" w:type="dxa"/>
              <w:bottom w:w="80" w:type="dxa"/>
              <w:right w:w="80" w:type="dxa"/>
            </w:tcMar>
          </w:tcPr>
          <w:p>
            <w:pPr>
              <w:spacing w:after="60" w:line="276" w:lineRule="auto"/>
            </w:pPr>
            <w:r>
              <w:t>Passwords, tokens, keys and local environment files</w:t>
            </w:r>
          </w:p>
        </w:tc>
      </w:tr>
      <w:tr>
        <w:trPr>
          <w:cantSplit/>
        </w:trPr>
        <w:tc>
          <w:tcPr>
            <w:tcW w:type="dxa" w:w="4680"/>
            <w:vAlign w:val="center"/>
            <w:tcMar>
              <w:top w:w="80" w:type="dxa"/>
              <w:left w:w="80" w:type="dxa"/>
              <w:bottom w:w="80" w:type="dxa"/>
              <w:right w:w="80" w:type="dxa"/>
            </w:tcMar>
          </w:tcPr>
          <w:p>
            <w:pPr>
              <w:spacing w:after="60" w:line="276" w:lineRule="auto"/>
            </w:pPr>
            <w:r>
              <w:t>Reviewed ADF JSON and execution evidence</w:t>
            </w:r>
          </w:p>
        </w:tc>
        <w:tc>
          <w:tcPr>
            <w:tcW w:type="dxa" w:w="4680"/>
            <w:vAlign w:val="center"/>
            <w:tcMar>
              <w:top w:w="80" w:type="dxa"/>
              <w:left w:w="80" w:type="dxa"/>
              <w:bottom w:w="80" w:type="dxa"/>
              <w:right w:w="80" w:type="dxa"/>
            </w:tcMar>
          </w:tcPr>
          <w:p>
            <w:pPr>
              <w:spacing w:after="60" w:line="276" w:lineRule="auto"/>
            </w:pPr>
            <w:r>
              <w:t>Original unreviewed export and uncropped screenshots</w:t>
            </w:r>
          </w:p>
        </w:tc>
      </w:tr>
    </w:tbl>
    <w:p>
      <w:r>
        <w:t>1. In the VS Code terminal check git --version. Git is currently available on the computer. Open Source Control and select Initialize Repository for the P3 folder, or run Git Initialize Repository from the Command Palette.</w:t>
      </w:r>
    </w:p>
    <w:p>
      <w:r>
        <w:t>2. If Git asks for author details, configure a display name and the GitHub-provided noreply email for this repository. Author metadata is separate from authentication and is visible in public commits.</w:t>
      </w:r>
    </w:p>
    <w:p>
      <w:r>
        <w:t>3. Review .gitignore and Source Control. Original responses under data/sample, private history, working files, credentials and local settings are excluded. The preliminary-analysis template and empty final report are also excluded from Phase 1; remove those two exclusions when Phase 2 is ready. Stage only public deliverables and reviewed evidence. GitHub sign-in does not initialise this local repository.</w:t>
      </w:r>
    </w:p>
    <w:p>
      <w:r>
        <w:t>4. Use a commit message that matches the verified scope, such as Verify Azure ingestion and correct ADF dependencies. Use Complete Phase 1 ingestion and validation only after the final relationship and controlled rerun checks also pass.</w:t>
      </w:r>
    </w:p>
    <w:p>
      <w:r>
        <w:t>5. Run Publish to GitHub from the Command Palette. Complete GitHub sign-in yourself, choose the repository name and public visibility, and publish the reviewed commit. Verify the files and README on GitHub after upload.</w:t>
      </w:r>
    </w:p>
    <w:p>
      <w:r>
        <w:t>6. After verification, optionally create a GitHub release tagged v0.1.0 with a summary of validated Phase 1 behavior and planned Phase 2 work. GitHub hosts the source, documentation and evidence; it does not run these Azure resources.</w:t>
      </w:r>
    </w:p>
    <w:p>
      <w:r>
        <w:t>README.md remains intentionally empty for this stage. Do not replace it while preparing Phase 1. Keep one public docs folder. Earlier drafts and document revisions are stored under private; the former Documents folder has been moved there. SQL setup, validation and analysis have separate subfolders. powerbi is reserved for Phase 2, and reviewed ADF definitions belong in azure/adf. Empty placeholder folders contain .gitkeep so they appear in Git.</w:t>
      </w:r>
    </w:p>
    <w:p>
      <w:r>
        <w:t xml:space="preserve">VS Code guidance: </w:t>
      </w:r>
      <w:hyperlink r:id="rId18">
        <w:r>
          <w:rPr>
            <w:color w:val="000000"/>
            <w:u w:val="single"/>
          </w:rPr>
          <w:t>Initialize commit and publish from VS Code</w:t>
        </w:r>
      </w:hyperlink>
    </w:p>
    <w:p>
      <w:pPr>
        <w:pStyle w:val="Heading1"/>
      </w:pPr>
      <w:r>
        <w:t>13 Ingestion troubleshooting and verification</w:t>
      </w:r>
    </w:p>
    <w:p>
      <w:pPr>
        <w:pStyle w:val="Heading2"/>
      </w:pPr>
      <w:r>
        <w:t>Excel date encoding</w:t>
      </w:r>
    </w:p>
    <w:p>
      <w:pPr/>
      <w:r>
        <w:t>ADF rejected the original workbook with Requested value d was not found while parsing an Excel cell. The package contained 37,885 date cells with the OOXML type t="d". These were converted to numeric Excel dates while retaining their number formats and displayed wall-clock values. The repair preserved all other XML content, all 23,611 formulas and their cached results. Independent read-back checks confirmed unchanged logical values and financial control totals across all eight sheets.</w:t>
      </w:r>
    </w:p>
    <w:p>
      <w:pPr/>
      <w:r>
        <w:t>Overwrite the source blob with the corrected local workbook, retain the same file path and test Preview data before loading. Enable First row as header for each of the seven business sheets and leave Range blank. Parameters remains workbook support and is not loaded as an eighth business table.</w:t>
      </w:r>
    </w:p>
    <w:p>
      <w:pPr>
        <w:pStyle w:val="Heading2"/>
      </w:pPr>
      <w:r>
        <w:t>Activity execution order</w:t>
      </w:r>
    </w:p>
    <w:p>
      <w:pPr/>
      <w:r>
        <w:t>The supplied pipeline definition contained seven empty dependsOn arrays. This allowed Copy activities to start independently. Foreign-key failures occurred on bookings.broker_id and on the payments due_id and booking_id pair. Missing dependencies permit child inserts before parent loads finish, which is consistent with these errors. A later parent-table count can be correct because that copy may finish after the child activity has failed.</w:t>
      </w:r>
    </w:p>
    <w:p>
      <w:pPr/>
      <w:r>
        <w:t>The corrected pipeline adds six Succeeded dependencies in this order: cp_plots, cp_brokers, cp_bookings, cp_booking_buyers, cp_payment_schedule, cp_government_charges and cp_payments. The root activity has no predecessor. All 62 name-to-name column mappings and the seven Upsert key definitions were checked against the approved schema and retained. Only dependency arrays changed. Dataset worksheet selections and linked-service targets are separate definitions and must remain consistent with their dataset names.</w:t>
      </w:r>
    </w:p>
    <w:p>
      <w:pPr/>
      <w:r>
        <w:t>Apply the corrected definition, validate and publish it, then run the whole pipeline. Confirm the six green success connections on the canvas and the activity order in Monitor. Upsert inserts new keys and updates matching keys; it allows the authoritative Phase 1 snapshot to be rerun after a partial load. Keep foreign keys enabled and keep incompatible-row skipping disabled.</w:t>
      </w:r>
    </w:p>
    <w:p>
      <w:pPr>
        <w:pStyle w:val="Heading2"/>
      </w:pPr>
      <w:r>
        <w:t>VS Code query connection</w:t>
      </w:r>
    </w:p>
    <w:p>
      <w:pPr/>
      <w:r>
        <w:t>The VS Code PostgreSQL extension log recorded an unexpected connection closure and, later, No file corresponding to the given URI while switching SQL files. Direct psql execution subsequently completed validation, relationship verification and fingerprint capture in about three seconds. A separate server-session inspection found no other pgadmin sessions in suryavan at that moment. These checks do not establish the cause of the earlier disconnect. Run complete transaction scripts and reconnect the editor if its file context is lost.</w:t>
      </w:r>
    </w:p>
    <w:p>
      <w:pPr>
        <w:pStyle w:val="Heading2"/>
      </w:pPr>
      <w:r>
        <w:t>Ingestion acceptance results</w:t>
      </w:r>
    </w:p>
    <w:p>
      <w:pPr/>
      <w:r>
        <w:t>The connected Azure psql session executed the revised 02, 03 and 04 files on 17 October 2026. Saved CSV results confirm 124 checks with zero failures, fk_bookings_related validated=true and identical counts and fingerprints for all seven tables compared with 15 October. The already-exists notice is expected. The SQL hashes in the private verification record match the current files. No ADF rerun was performed on 17 October; the earlier rerun evidence remains distinct.</w:t>
      </w:r>
    </w:p>
    <w:p>
      <w:pPr>
        <w:pStyle w:val="Heading2"/>
      </w:pPr>
      <w:r>
        <w:t>Open Phase 1 checks</w:t>
      </w:r>
    </w:p>
    <w:p>
      <w:r>
        <w:t>Business rule: confirm the intended commission rate. The existing workbook, SQL controls and dictionary use 2 percent; a 10 percent requirement remains unresolved. Keep the current records intact until the business rule is settled. Passing ingestion checks does not approve that rule.</w:t>
      </w:r>
    </w:p>
    <w:p>
      <w:r>
        <w:t>Connections: the developer firewall rule was refreshed and PostgreSQL authentication was reset before the successful 17 October SQL run. Test ls_pg_suryavan with the current password, update it if needed, then publish changed ADF configuration. A successful psql connection does not test the ADF stored credential. Keep unrestricted access from any Azure service disabled.</w:t>
      </w:r>
    </w:p>
    <w:p>
      <w:r>
        <w:t>Configuration and evidence: save reviewed exports of the fourteen referenced datasets, two linked services and the integration runtime, together with the pipeline. Capture a successful ADF Monitor run and all seven activity outcomes. Keep original exports and uncropped screenshots private and remove credentials from public copies. Only the pipeline JSON and SQL evidence are currently saved publicly.</w:t>
      </w:r>
    </w:p>
    <w:p>
      <w:r>
        <w:t>Cloud review: compare an authenticated download of the raw Blob workbook with the local approved file. Review current storage and server settings, trial expiry, remaining credit and service usage in the portal. The original USD 200 trial credit does not establish the current balance. These checks were not refreshed during the 17 October SQL verification.</w:t>
      </w:r>
    </w:p>
    <w:p>
      <w:r>
        <w:t>Repository: Git is not initialized in P3. Review the public files and .gitignore, then initialize and publish from VS Code. The project intentionally retains an empty README. Analysis, reporting views, Power BI and operational booking alerts remain subsequent work.</w:t>
      </w:r>
    </w:p>
    <w:sectPr w:rsidR="00FC693F" w:rsidRPr="0006063C" w:rsidSect="00034616">
      <w:headerReference w:type="default" r:id="rId9"/>
      <w:footerReference w:type="default" r:id="rId10"/>
      <w:pgSz w:w="12240" w:h="15840"/>
      <w:pgMar w:top="1440" w:right="1440" w:bottom="1440" w:left="1440" w:header="648" w:footer="64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sz w:val="22"/>
      </w:rPr>
      <w:t xml:space="preserve">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line="276" w:lineRule="auto"/>
      <w:outlineLvl w:val="0"/>
    </w:pPr>
    <w:rPr>
      <w:rFonts w:asciiTheme="majorHAnsi" w:eastAsiaTheme="majorEastAsia" w:hAnsiTheme="majorHAnsi" w:cstheme="majorBidi" w:ascii="Calibri" w:hAnsi="Calibr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120" w:line="276" w:lineRule="auto"/>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76" w:lineRule="auto" w:before="240"/>
      <w:contextualSpacing/>
    </w:pPr>
    <w:rPr>
      <w:rFonts w:asciiTheme="majorHAnsi" w:eastAsiaTheme="majorEastAsia" w:hAnsiTheme="majorHAnsi" w:cstheme="majorBidi" w:ascii="Calibri" w:hAnsi="Calibri"/>
      <w:b w:val="0"/>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line="276" w:lineRule="auto"/>
    </w:pPr>
    <w:rPr>
      <w:rFonts w:ascii="Calibri" w:hAnsi="Calibri"/>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276" w:lineRule="auto" w:after="120"/>
      <w:contextualSpacing/>
    </w:pPr>
    <w:rPr>
      <w:rFonts w:ascii="Calibri" w:hAnsi="Calibri"/>
      <w:color w:val="000000"/>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276" w:lineRule="auto" w:after="120"/>
      <w:contextualSpacing/>
    </w:pPr>
    <w:rPr>
      <w:rFonts w:ascii="Calibri" w:hAnsi="Calibri"/>
      <w:color w:val="000000"/>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pPr>
      <w:keepNext w:val="0"/>
      <w:spacing w:line="240" w:lineRule="auto" w:after="40"/>
    </w:pPr>
    <w:rPr>
      <w:rFonts w:ascii="Consolas" w:hAnsi="Consolas"/>
      <w:color w:val="00000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learn.microsoft.com/en-us/azure/data-factory/connector-azure-blob-storage" TargetMode="External"/><Relationship Id="rId12" Type="http://schemas.openxmlformats.org/officeDocument/2006/relationships/hyperlink" Target="https://learn.microsoft.com/en-us/azure/postgresql/security/security-firewall-rules" TargetMode="External"/><Relationship Id="rId13" Type="http://schemas.openxmlformats.org/officeDocument/2006/relationships/hyperlink" Target="https://learn.microsoft.com/en-us/azure/data-factory/connector-azure-database-for-postgresql" TargetMode="External"/><Relationship Id="rId14" Type="http://schemas.openxmlformats.org/officeDocument/2006/relationships/hyperlink" Target="https://learn.microsoft.com/en-us/azure/data-factory/azure-integration-runtime-ip-addresses" TargetMode="External"/><Relationship Id="rId15" Type="http://schemas.openxmlformats.org/officeDocument/2006/relationships/hyperlink" Target="https://learn.microsoft.com/en-us/azure/data-factory/format-excel" TargetMode="External"/><Relationship Id="rId16" Type="http://schemas.openxmlformats.org/officeDocument/2006/relationships/hyperlink" Target="https://learn.microsoft.com/en-us/azure/data-factory/copy-activity-schema-and-type-mapping" TargetMode="External"/><Relationship Id="rId17" Type="http://schemas.openxmlformats.org/officeDocument/2006/relationships/hyperlink" Target="https://learn.microsoft.com/en-us/azure/data-factory/copy-clone-data-factory" TargetMode="External"/><Relationship Id="rId18" Type="http://schemas.openxmlformats.org/officeDocument/2006/relationships/hyperlink" Target="https://code.visualstudio.com/docs/sourcecontrol/quickstar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Suryavan Township Technical Documentation</dc:title>
  <dc:subject>Azure data foundation and implementation procedure</dc:subject>
  <dc:creator/>
  <cp:keywords>real estate, business intelligence, requirements, data dictionary</cp:keywords>
  <dc:description>generated by python-docx</dc:description>
  <cp:lastModifiedBy/>
  <cp:revision>1</cp:revision>
  <dcterms:created xsi:type="dcterms:W3CDTF">2013-12-23T23:15:00Z</dcterms:created>
  <dcterms:modified xsi:type="dcterms:W3CDTF">2013-12-23T23:15:00Z</dcterms:modified>
  <cp:category/>
</cp:coreProperties>
</file>