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right"/>
      </w:pPr>
      <w:r>
        <w:rPr>
          <w:rFonts w:ascii="Calibri" w:cs="Calibri" w:eastAsia="Calibri" w:hAnsi="Calibri"/>
          <w:b/>
          <w:bCs/>
          <w:color w:val="1F3A5F"/>
          <w:sz w:val="32"/>
          <w:szCs w:val="32"/>
        </w:rPr>
        <w:t xml:space="preserve">GovIQ</w:t>
      </w:r>
    </w:p>
    <w:p>
      <w:pPr>
        <w:spacing w:after="0" w:before="0"/>
        <w:jc w:val="right"/>
      </w:pPr>
      <w:r>
        <w:rPr>
          <w:rFonts w:ascii="Calibri" w:cs="Calibri" w:eastAsia="Calibri" w:hAnsi="Calibri"/>
          <w:color w:val="5A5A5A"/>
          <w:sz w:val="18"/>
          <w:szCs w:val="18"/>
        </w:rPr>
        <w:t xml:space="preserve">Public-sector procurement &amp; design review</w:t>
      </w:r>
    </w:p>
    <w:p>
      <w:pPr>
        <w:spacing w:after="240" w:before="0"/>
        <w:jc w:val="right"/>
      </w:pPr>
      <w:r>
        <w:rPr>
          <w:rFonts w:ascii="Calibri" w:cs="Calibri" w:eastAsia="Calibri" w:hAnsi="Calibri"/>
          <w:color w:val="5A5A5A"/>
          <w:sz w:val="18"/>
          <w:szCs w:val="18"/>
        </w:rPr>
        <w:t xml:space="preserve">liam@goviq.ie</w:t>
      </w:r>
    </w:p>
    <w:p>
      <w:pPr>
        <w:pBdr>
          <w:bottom w:val="single" w:color="1F3A5F" w:sz="8" w:space="1"/>
        </w:pBdr>
        <w:spacing w:after="120" w:before="120"/>
      </w:pPr>
      <w:r>
        <w:t xml:space="preserve"/>
      </w:r>
    </w:p>
    <w:p>
      <w:pPr>
        <w:spacing w:after="100" w:before="100"/>
      </w:pPr>
      <w:r>
        <w:rPr>
          <w:rFonts w:ascii="Calibri" w:cs="Calibri" w:eastAsia="Calibri" w:hAnsi="Calibri"/>
          <w:sz w:val="22"/>
          <w:szCs w:val="22"/>
        </w:rPr>
        <w:t xml:space="preserve">Wednesday, 27 May 2026</w:t>
      </w:r>
    </w:p>
    <w:p>
      <w:pPr>
        <w:spacing w:after="100" w:before="120"/>
      </w:pPr>
      <w:r>
        <w:rPr>
          <w:rFonts w:ascii="Calibri" w:cs="Calibri" w:eastAsia="Calibri" w:hAnsi="Calibri"/>
          <w:b/>
          <w:bCs/>
          <w:sz w:val="22"/>
          <w:szCs w:val="22"/>
        </w:rPr>
        <w:t xml:space="preserve">To: Contracting Authority</w:t>
      </w:r>
    </w:p>
    <w:p>
      <w:pPr>
        <w:spacing w:after="100" w:before="0"/>
      </w:pPr>
      <w:r>
        <w:rPr>
          <w:rFonts w:ascii="Calibri" w:cs="Calibri" w:eastAsia="Calibri" w:hAnsi="Calibri"/>
          <w:color w:val="5A5A5A"/>
          <w:sz w:val="20"/>
          <w:szCs w:val="20"/>
        </w:rPr>
        <w:t xml:space="preserve">Cc: Employer; Employer's Representative</w:t>
      </w:r>
    </w:p>
    <w:p>
      <w:pPr>
        <w:spacing w:after="100" w:before="240"/>
      </w:pPr>
      <w:r>
        <w:rPr>
          <w:rFonts w:ascii="Calibri" w:cs="Calibri" w:eastAsia="Calibri" w:hAnsi="Calibri"/>
          <w:b/>
          <w:bCs/>
          <w:sz w:val="24"/>
          <w:szCs w:val="24"/>
        </w:rPr>
        <w:t xml:space="preserve">Re: </w:t>
      </w:r>
      <w:r>
        <w:rPr>
          <w:rFonts w:ascii="Calibri" w:cs="Calibri" w:eastAsia="Calibri" w:hAnsi="Calibri"/>
          <w:b/>
          <w:bCs/>
          <w:sz w:val="24"/>
          <w:szCs w:val="24"/>
        </w:rPr>
        <w:t xml:space="preserve">57 Rathbeale Road / CRC Omni Unit 48A — Design Review Submission Route Confirmation</w:t>
      </w:r>
    </w:p>
    <w:p>
      <w:pPr>
        <w:spacing w:after="100" w:before="100"/>
      </w:pPr>
      <w:r>
        <w:rPr>
          <w:rFonts w:ascii="Calibri" w:cs="Calibri" w:eastAsia="Calibri" w:hAnsi="Calibri"/>
          <w:color w:val="5A5A5A"/>
          <w:sz w:val="20"/>
          <w:szCs w:val="20"/>
        </w:rPr>
        <w:t xml:space="preserve">Project ref: </w:t>
      </w:r>
      <w:r>
        <w:rPr>
          <w:rFonts w:ascii="Calibri" w:cs="Calibri" w:eastAsia="Calibri" w:hAnsi="Calibri"/>
          <w:sz w:val="20"/>
          <w:szCs w:val="20"/>
        </w:rPr>
        <w:t xml:space="preserve">RBR-CRC-48A</w:t>
      </w:r>
      <w:r>
        <w:rPr>
          <w:rFonts w:ascii="Calibri" w:cs="Calibri" w:eastAsia="Calibri" w:hAnsi="Calibri"/>
          <w:color w:val="5A5A5A"/>
          <w:sz w:val="20"/>
          <w:szCs w:val="20"/>
        </w:rPr>
        <w:t xml:space="preserve">    ·    Contract form: </w:t>
      </w:r>
      <w:r>
        <w:rPr>
          <w:rFonts w:ascii="Calibri" w:cs="Calibri" w:eastAsia="Calibri" w:hAnsi="Calibri"/>
          <w:sz w:val="20"/>
          <w:szCs w:val="20"/>
        </w:rPr>
        <w:t xml:space="preserve">PW-CF5 (Employer-Designed)</w:t>
      </w:r>
      <w:r>
        <w:rPr>
          <w:rFonts w:ascii="Calibri" w:cs="Calibri" w:eastAsia="Calibri" w:hAnsi="Calibri"/>
          <w:color w:val="5A5A5A"/>
          <w:sz w:val="20"/>
          <w:szCs w:val="20"/>
        </w:rPr>
        <w:t xml:space="preserve">    ·    Cut-off: </w:t>
      </w:r>
      <w:r>
        <w:rPr>
          <w:rFonts w:ascii="Calibri" w:cs="Calibri" w:eastAsia="Calibri" w:hAnsi="Calibri"/>
          <w:sz w:val="20"/>
          <w:szCs w:val="20"/>
        </w:rPr>
        <w:t xml:space="preserve">17:00, Wednesday 10 June 2026</w:t>
      </w:r>
    </w:p>
    <w:p>
      <w:pPr>
        <w:spacing w:after="100" w:before="240"/>
      </w:pPr>
      <w:r>
        <w:rPr>
          <w:rFonts w:ascii="Calibri" w:cs="Calibri" w:eastAsia="Calibri" w:hAnsi="Calibri"/>
          <w:sz w:val="22"/>
          <w:szCs w:val="22"/>
        </w:rPr>
        <w:t xml:space="preserve">Dear Sir / Madam,</w:t>
      </w:r>
    </w:p>
    <w:p>
      <w:pPr>
        <w:spacing w:after="100" w:before="100"/>
      </w:pPr>
      <w:r>
        <w:rPr>
          <w:rFonts w:ascii="Calibri" w:cs="Calibri" w:eastAsia="Calibri" w:hAnsi="Calibri"/>
          <w:sz w:val="22"/>
          <w:szCs w:val="22"/>
        </w:rPr>
        <w:t xml:space="preserve">We are commencing a full multi-disciplinary design review on the above tender pack today, Wednesday 27 May 2026. The review covers architectural, civil &amp; structural, mechanical (HVAC / plumbing / BMS / fire / medical-gas), electrical, quantity surveying (CWMF / ARM4) and contract administration (PW-CF lifecycle) disciplines, and is scheduled to conclude in time for the 17:00, Wednesday 10 June 2026 cut-off.</w:t>
      </w:r>
    </w:p>
    <w:p>
      <w:pPr>
        <w:spacing w:after="100" w:before="100"/>
      </w:pPr>
      <w:r>
        <w:rPr>
          <w:rFonts w:ascii="Calibri" w:cs="Calibri" w:eastAsia="Calibri" w:hAnsi="Calibri"/>
          <w:sz w:val="22"/>
          <w:szCs w:val="22"/>
        </w:rPr>
        <w:t xml:space="preserve">Before any review output is logged, we require written confirmation on a single procedural point. The submission route for the resulting discrepancy register materially affects its format, legal weight, recipient, and the document control trail that follows. The finding content is the same in either case; only the wrapper changes.</w:t>
      </w:r>
    </w:p>
    <w:p>
      <w:pPr>
        <w:pStyle w:val="Heading1"/>
        <w:spacing w:after="140" w:before="280"/>
      </w:pPr>
      <w:r>
        <w:rPr>
          <w:rFonts w:ascii="Calibri" w:cs="Calibri" w:eastAsia="Calibri" w:hAnsi="Calibri"/>
          <w:b/>
          <w:bCs/>
          <w:color w:val="1F3A5F"/>
          <w:sz w:val="28"/>
          <w:szCs w:val="28"/>
        </w:rPr>
        <w:t xml:space="preserve">The question</w:t>
      </w:r>
    </w:p>
    <w:p>
      <w:pPr>
        <w:spacing w:after="100" w:before="100"/>
      </w:pPr>
      <w:r>
        <w:rPr>
          <w:rFonts w:ascii="Calibri" w:cs="Calibri" w:eastAsia="Calibri" w:hAnsi="Calibri"/>
          <w:sz w:val="22"/>
          <w:szCs w:val="22"/>
        </w:rPr>
        <w:t xml:space="preserve">Is the CRC Omni Unit 48A tender pack:</w:t>
      </w:r>
    </w:p>
    <w:p>
      <w:pPr>
        <w:pStyle w:val="ListParagraph"/>
        <w:numPr>
          <w:ilvl w:val="0"/>
          <w:numId w:val="2"/>
        </w:numPr>
        <w:spacing w:after="40" w:before="40"/>
      </w:pPr>
      <w:r>
        <w:rPr>
          <w:rFonts w:ascii="Calibri" w:cs="Calibri" w:eastAsia="Calibri" w:hAnsi="Calibri"/>
          <w:sz w:val="22"/>
          <w:szCs w:val="22"/>
        </w:rPr>
        <w:t xml:space="preserve">still in pre-issue review, with corrections to be incorporated into the pack before it is issued to bidders; or</w:t>
      </w:r>
    </w:p>
    <w:p>
      <w:pPr>
        <w:pStyle w:val="ListParagraph"/>
        <w:numPr>
          <w:ilvl w:val="0"/>
          <w:numId w:val="2"/>
        </w:numPr>
        <w:spacing w:after="40" w:before="40"/>
      </w:pPr>
      <w:r>
        <w:rPr>
          <w:rFonts w:ascii="Calibri" w:cs="Calibri" w:eastAsia="Calibri" w:hAnsi="Calibri"/>
          <w:sz w:val="22"/>
          <w:szCs w:val="22"/>
        </w:rPr>
        <w:t xml:space="preserve">already issued and currently open for bidder queries via eTenders, with the 10 June cut-off being the formal query window closing date?</w:t>
      </w:r>
    </w:p>
    <w:p>
      <w:pPr>
        <w:pStyle w:val="Heading1"/>
        <w:spacing w:after="140" w:before="280"/>
      </w:pPr>
      <w:r>
        <w:rPr>
          <w:rFonts w:ascii="Calibri" w:cs="Calibri" w:eastAsia="Calibri" w:hAnsi="Calibri"/>
          <w:b/>
          <w:bCs/>
          <w:color w:val="1F3A5F"/>
          <w:sz w:val="28"/>
          <w:szCs w:val="28"/>
        </w:rPr>
        <w:t xml:space="preserve">Why this matters today</w:t>
      </w:r>
    </w:p>
    <w:p>
      <w:pPr>
        <w:spacing w:after="100" w:before="100"/>
      </w:pPr>
      <w:r>
        <w:rPr>
          <w:rFonts w:ascii="Calibri" w:cs="Calibri" w:eastAsia="Calibri" w:hAnsi="Calibri"/>
          <w:sz w:val="22"/>
          <w:szCs w:val="22"/>
        </w:rPr>
        <w:t xml:space="preserve">The two paths produce different deliverables — one a pre-issue change register addressed to the Employer / ER for incorporation into the issue pack, the other a formal RFI register submitted via the eTenders portal in accordance with the tender procedure. The finding identification work and the regulatory-basis analysis are identical in both cases; the format, numbering convention, addressee and submission mechanism differ.</w:t>
      </w:r>
    </w:p>
    <w:p>
      <w:pPr>
        <w:spacing w:after="100" w:before="100"/>
      </w:pPr>
      <w:r>
        <w:rPr>
          <w:rFonts w:ascii="Calibri" w:cs="Calibri" w:eastAsia="Calibri" w:hAnsi="Calibri"/>
          <w:sz w:val="22"/>
          <w:szCs w:val="22"/>
        </w:rPr>
        <w:t xml:space="preserve">The point at which the wrong assumption becomes expensive is end-of-day Friday 5 June 2026, at which point we consolidate the master register and start formatting outputs. Beyond that point, switching submission route consumes one of two remaining buffer days and risks the cut-off.</w:t>
      </w:r>
    </w:p>
    <w:p>
      <w:pPr>
        <w:pStyle w:val="Heading1"/>
        <w:spacing w:after="140" w:before="280"/>
      </w:pPr>
      <w:r>
        <w:rPr>
          <w:rFonts w:ascii="Calibri" w:cs="Calibri" w:eastAsia="Calibri" w:hAnsi="Calibri"/>
          <w:b/>
          <w:bCs/>
          <w:color w:val="1F3A5F"/>
          <w:sz w:val="28"/>
          <w:szCs w:val="28"/>
        </w:rPr>
        <w:t xml:space="preserve">Option comparison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573"/>
        <w:gridCol w:w="3573"/>
      </w:tblGrid>
      <w:tr>
        <w:trPr>
          <w:tblHeader/>
        </w:trPr>
        <w:tc>
          <w:tcPr>
            <w:tcW w:type="dxa" w:w="2600"/>
            <w:tcBorders>
              <w:top w:val="single" w:color="B4B4B4" w:sz="4"/>
              <w:left w:val="single" w:color="B4B4B4" w:sz="4"/>
              <w:bottom w:val="single" w:color="B4B4B4" w:sz="4"/>
              <w:right w:val="single" w:color="B4B4B4" w:sz="4"/>
            </w:tcBorders>
            <w:shd w:fill="1F3A5F"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
            </w:r>
          </w:p>
        </w:tc>
        <w:tc>
          <w:tcPr>
            <w:tcW w:type="dxa" w:w="3573"/>
            <w:tcBorders>
              <w:top w:val="single" w:color="B4B4B4" w:sz="4"/>
              <w:left w:val="single" w:color="B4B4B4" w:sz="4"/>
              <w:bottom w:val="single" w:color="B4B4B4" w:sz="4"/>
              <w:right w:val="single" w:color="B4B4B4" w:sz="4"/>
            </w:tcBorders>
            <w:shd w:fill="1F3A5F"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Option A — Pre-issue internal change</w:t>
            </w:r>
          </w:p>
        </w:tc>
        <w:tc>
          <w:tcPr>
            <w:tcW w:type="dxa" w:w="3573"/>
            <w:tcBorders>
              <w:top w:val="single" w:color="B4B4B4" w:sz="4"/>
              <w:left w:val="single" w:color="B4B4B4" w:sz="4"/>
              <w:bottom w:val="single" w:color="B4B4B4" w:sz="4"/>
              <w:right w:val="single" w:color="B4B4B4" w:sz="4"/>
            </w:tcBorders>
            <w:shd w:fill="1F3A5F"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Option B — Post-issue bidder RFI</w:t>
            </w:r>
          </w:p>
        </w:tc>
      </w:tr>
      <w:tr>
        <w:tc>
          <w:tcPr>
            <w:tcW w:type="dxa" w:w="2600"/>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Pack status</w:t>
            </w:r>
          </w:p>
        </w:tc>
        <w:tc>
          <w:tcPr>
            <w:tcW w:type="dxa" w:w="3573"/>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Tender pack not yet issued to bidders</w:t>
            </w:r>
          </w:p>
        </w:tc>
        <w:tc>
          <w:tcPr>
            <w:tcW w:type="dxa" w:w="3573"/>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Tender pack already issued; query window open until 17:00 10-Jun-2026</w:t>
            </w:r>
          </w:p>
        </w:tc>
      </w:tr>
      <w:tr>
        <w:tc>
          <w:tcPr>
            <w:tcW w:type="dxa" w:w="2600"/>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Recipient of register</w:t>
            </w:r>
          </w:p>
        </w:tc>
        <w:tc>
          <w:tcPr>
            <w:tcW w:type="dxa" w:w="3573"/>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Employer / ER for document control update</w:t>
            </w:r>
          </w:p>
        </w:tc>
        <w:tc>
          <w:tcPr>
            <w:tcW w:type="dxa" w:w="3573"/>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Contracting Authority via eTenders portal</w:t>
            </w:r>
          </w:p>
        </w:tc>
      </w:tr>
      <w:tr>
        <w:tc>
          <w:tcPr>
            <w:tcW w:type="dxa" w:w="2600"/>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Legal weight</w:t>
            </w:r>
          </w:p>
        </w:tc>
        <w:tc>
          <w:tcPr>
            <w:tcW w:type="dxa" w:w="3573"/>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Internal change instruction; corrections incorporated into issue pack</w:t>
            </w:r>
          </w:p>
        </w:tc>
        <w:tc>
          <w:tcPr>
            <w:tcW w:type="dxa" w:w="3573"/>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Formal RFI under tender procedure; CA response becomes addendum binding on all bidders</w:t>
            </w:r>
          </w:p>
        </w:tc>
      </w:tr>
      <w:tr>
        <w:tc>
          <w:tcPr>
            <w:tcW w:type="dxa" w:w="2600"/>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Submission route</w:t>
            </w:r>
          </w:p>
        </w:tc>
        <w:tc>
          <w:tcPr>
            <w:tcW w:type="dxa" w:w="3573"/>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Employer document control / ER</w:t>
            </w:r>
          </w:p>
        </w:tc>
        <w:tc>
          <w:tcPr>
            <w:tcW w:type="dxa" w:w="3573"/>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eTenders portal RFI module</w:t>
            </w:r>
          </w:p>
        </w:tc>
      </w:tr>
      <w:tr>
        <w:tc>
          <w:tcPr>
            <w:tcW w:type="dxa" w:w="2600"/>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Format</w:t>
            </w:r>
          </w:p>
        </w:tc>
        <w:tc>
          <w:tcPr>
            <w:tcW w:type="dxa" w:w="3573"/>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Register of proposed pack amendments with redline references</w:t>
            </w:r>
          </w:p>
        </w:tc>
        <w:tc>
          <w:tcPr>
            <w:tcW w:type="dxa" w:w="3573"/>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OGP / eTenders RFI register format with sequential numbering</w:t>
            </w:r>
          </w:p>
        </w:tc>
      </w:tr>
      <w:tr>
        <w:tc>
          <w:tcPr>
            <w:tcW w:type="dxa" w:w="2600"/>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Risk if wrong choice</w:t>
            </w:r>
          </w:p>
        </w:tc>
        <w:tc>
          <w:tcPr>
            <w:tcW w:type="dxa" w:w="3573"/>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Internal corrections issued without bidder visibility — bid-pack integrity compromised</w:t>
            </w:r>
          </w:p>
        </w:tc>
        <w:tc>
          <w:tcPr>
            <w:tcW w:type="dxa" w:w="3573"/>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Formal RFIs raised post-issue when corrections could have been made pre-issue — Employer carries variation exposure</w:t>
            </w:r>
          </w:p>
        </w:tc>
      </w:tr>
      <w:tr>
        <w:tc>
          <w:tcPr>
            <w:tcW w:type="dxa" w:w="2600"/>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Effect on review work</w:t>
            </w:r>
          </w:p>
        </w:tc>
        <w:tc>
          <w:tcPr>
            <w:tcW w:type="dxa" w:w="3573"/>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None — finding identification is identical; only submission route changes</w:t>
            </w:r>
          </w:p>
        </w:tc>
        <w:tc>
          <w:tcPr>
            <w:tcW w:type="dxa" w:w="3573"/>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None — finding identification is identical; only submission route changes</w:t>
            </w:r>
          </w:p>
        </w:tc>
      </w:tr>
    </w:tbl>
    <w:p>
      <w:pPr>
        <w:pStyle w:val="Heading1"/>
        <w:spacing w:after="140" w:before="280"/>
      </w:pPr>
      <w:r>
        <w:rPr>
          <w:rFonts w:ascii="Calibri" w:cs="Calibri" w:eastAsia="Calibri" w:hAnsi="Calibri"/>
          <w:b/>
          <w:bCs/>
          <w:color w:val="1F3A5F"/>
          <w:sz w:val="28"/>
          <w:szCs w:val="28"/>
        </w:rPr>
        <w:t xml:space="preserve">Action required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49B00" w:sz="16"/>
              <w:left w:val="single" w:color="D49B00" w:sz="16"/>
              <w:bottom w:val="single" w:color="D49B00" w:sz="4"/>
              <w:right w:val="single" w:color="D49B00" w:sz="4"/>
            </w:tcBorders>
            <w:shd w:fill="FFF4D6" w:val="clear"/>
            <w:tcMar>
              <w:top w:type="dxa" w:w="160"/>
              <w:left w:type="dxa" w:w="200"/>
              <w:bottom w:type="dxa" w:w="160"/>
              <w:right w:type="dxa" w:w="200"/>
            </w:tcMar>
          </w:tcPr>
          <w:p>
            <w:pPr>
              <w:spacing w:after="80" w:before="0"/>
            </w:pPr>
            <w:r>
              <w:rPr>
                <w:rFonts w:ascii="Calibri" w:cs="Calibri" w:eastAsia="Calibri" w:hAnsi="Calibri"/>
                <w:b/>
                <w:bCs/>
                <w:color w:val="1A1A1A"/>
                <w:sz w:val="22"/>
                <w:szCs w:val="22"/>
              </w:rPr>
              <w:t xml:space="preserve">Decision required by 17:00 Thursday 28-May-2026 (24-hour SLA)</w:t>
            </w:r>
          </w:p>
          <w:p>
            <w:pPr>
              <w:spacing w:after="40" w:before="40"/>
            </w:pPr>
            <w:r>
              <w:rPr>
                <w:rFonts w:ascii="Calibri" w:cs="Calibri" w:eastAsia="Calibri" w:hAnsi="Calibri"/>
                <w:sz w:val="22"/>
                <w:szCs w:val="22"/>
              </w:rPr>
              <w:t xml:space="preserve">Please confirm in writing (email reply to this note is sufficient):</w:t>
            </w:r>
          </w:p>
          <w:p>
            <w:pPr>
              <w:spacing w:after="40" w:before="40"/>
            </w:pPr>
            <w:r>
              <w:rPr>
                <w:rFonts w:ascii="Calibri" w:cs="Calibri" w:eastAsia="Calibri" w:hAnsi="Calibri"/>
                <w:sz w:val="22"/>
                <w:szCs w:val="22"/>
              </w:rPr>
              <w:t xml:space="preserve">  ☐  Option A — Pre-issue internal change register (tender pack not yet issued)</w:t>
            </w:r>
          </w:p>
          <w:p>
            <w:pPr>
              <w:spacing w:after="40" w:before="40"/>
            </w:pPr>
            <w:r>
              <w:rPr>
                <w:rFonts w:ascii="Calibri" w:cs="Calibri" w:eastAsia="Calibri" w:hAnsi="Calibri"/>
                <w:sz w:val="22"/>
                <w:szCs w:val="22"/>
              </w:rPr>
              <w:t xml:space="preserve">  ☐  Option B — Post-issue bidder RFI register via eTenders</w:t>
            </w:r>
          </w:p>
          <w:p>
            <w:pPr>
              <w:spacing w:after="0" w:before="80"/>
            </w:pPr>
            <w:r>
              <w:rPr>
                <w:rFonts w:ascii="Calibri" w:cs="Calibri" w:eastAsia="Calibri" w:hAnsi="Calibri"/>
                <w:i/>
                <w:iCs/>
                <w:color w:val="1A1A1A"/>
                <w:sz w:val="20"/>
                <w:szCs w:val="20"/>
              </w:rPr>
              <w:t xml:space="preserve">If no response is received by 17:00 Thursday 28-May-2026, we will default to Option A (pre-issue internal change register) and continue the review on that basis, on the understanding that this can be reversed on later instruction at no impact to finding content.</w:t>
            </w:r>
          </w:p>
        </w:tc>
      </w:tr>
    </w:tbl>
    <w:p>
      <w:pPr>
        <w:spacing w:after="100" w:before="200"/>
      </w:pPr>
      <w:r>
        <w:rPr>
          <w:rFonts w:ascii="Calibri" w:cs="Calibri" w:eastAsia="Calibri" w:hAnsi="Calibri"/>
          <w:sz w:val="22"/>
          <w:szCs w:val="22"/>
        </w:rPr>
        <w:t xml:space="preserve">Please note that the design review itself proceeds on the working assumption of Option A (pre-issue internal change register) from this morning, as that is the more conservative default and the finding work is unaffected by the choice. Confirmation of Option B simply changes the format and routing of the Day-9 and Day-10 outputs.</w:t>
      </w:r>
    </w:p>
    <w:p>
      <w:pPr>
        <w:spacing w:after="100" w:before="160"/>
      </w:pPr>
      <w:r>
        <w:rPr>
          <w:rFonts w:ascii="Calibri" w:cs="Calibri" w:eastAsia="Calibri" w:hAnsi="Calibri"/>
          <w:sz w:val="22"/>
          <w:szCs w:val="22"/>
        </w:rPr>
        <w:t xml:space="preserve">We remain available to discuss any aspect of the above by reply or by call.</w:t>
      </w:r>
    </w:p>
    <w:p>
      <w:pPr>
        <w:spacing w:after="100" w:before="240"/>
      </w:pPr>
      <w:r>
        <w:rPr>
          <w:rFonts w:ascii="Calibri" w:cs="Calibri" w:eastAsia="Calibri" w:hAnsi="Calibri"/>
          <w:sz w:val="22"/>
          <w:szCs w:val="22"/>
        </w:rPr>
        <w:t xml:space="preserve">Yours sincerely,</w:t>
      </w:r>
    </w:p>
    <w:p>
      <w:pPr>
        <w:spacing w:after="100" w:before="280"/>
      </w:pPr>
      <w:r>
        <w:rPr>
          <w:rFonts w:ascii="Calibri" w:cs="Calibri" w:eastAsia="Calibri" w:hAnsi="Calibri"/>
          <w:b/>
          <w:bCs/>
          <w:sz w:val="22"/>
          <w:szCs w:val="22"/>
        </w:rPr>
        <w:t xml:space="preserve">Liam Dunne</w:t>
      </w:r>
    </w:p>
    <w:p>
      <w:pPr>
        <w:spacing w:after="100" w:before="0"/>
      </w:pPr>
      <w:r>
        <w:rPr>
          <w:rFonts w:ascii="Calibri" w:cs="Calibri" w:eastAsia="Calibri" w:hAnsi="Calibri"/>
          <w:color w:val="5A5A5A"/>
          <w:sz w:val="20"/>
          <w:szCs w:val="20"/>
        </w:rPr>
        <w:t xml:space="preserve">Director, GovIQ</w:t>
      </w:r>
    </w:p>
    <w:p>
      <w:pPr>
        <w:spacing w:after="100" w:before="0"/>
      </w:pPr>
      <w:r>
        <w:rPr>
          <w:rFonts w:ascii="Calibri" w:cs="Calibri" w:eastAsia="Calibri" w:hAnsi="Calibri"/>
          <w:color w:val="5A5A5A"/>
          <w:sz w:val="20"/>
          <w:szCs w:val="20"/>
        </w:rPr>
        <w:t xml:space="preserve">liam@goviq.ie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Calibri" w:cs="Calibri" w:eastAsia="Calibri" w:hAnsi="Calibri"/>
        <w:color w:val="5A5A5A"/>
        <w:sz w:val="18"/>
        <w:szCs w:val="18"/>
      </w:rPr>
      <w:t xml:space="preserve">GovIQ · 27-May-2026 · Confidential</w:t>
    </w:r>
    <w:r>
      <w:rPr>
        <w:rFonts w:ascii="Calibri" w:cs="Calibri" w:eastAsia="Calibri" w:hAnsi="Calibri"/>
        <w:color w:val="5A5A5A"/>
        <w:sz w:val="18"/>
        <w:szCs w:val="18"/>
      </w:rPr>
      <w:t xml:space="preserve">	Page </w:t>
    </w:r>
    <w:r>
      <w:rPr>
        <w:rFonts w:ascii="Calibri" w:cs="Calibri" w:eastAsia="Calibri" w:hAnsi="Calibri"/>
        <w:color w:val="5A5A5A"/>
        <w:sz w:val="18"/>
        <w:szCs w:val="18"/>
      </w:rPr>
      <w:fldChar w:fldCharType="begin"/>
      <w:instrText xml:space="preserve">PAGE</w:instrText>
      <w:fldChar w:fldCharType="separate"/>
      <w:fldChar w:fldCharType="end"/>
    </w:r>
    <w:r>
      <w:rPr>
        <w:rFonts w:ascii="Calibri" w:cs="Calibri" w:eastAsia="Calibri" w:hAnsi="Calibri"/>
        <w:color w:val="5A5A5A"/>
        <w:sz w:val="18"/>
        <w:szCs w:val="18"/>
      </w:rPr>
      <w:t xml:space="preserve"> of </w:t>
    </w:r>
    <w:r>
      <w:rPr>
        <w:rFonts w:ascii="Calibri" w:cs="Calibri" w:eastAsia="Calibri" w:hAnsi="Calibri"/>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57 Rathbeale Road — CA Confirmation Note (RFI Direction)</dc:title>
  <dc:creator>GovIQ</dc:creator>
  <cp:lastModifiedBy>Un-named</cp:lastModifiedBy>
  <cp:revision>1</cp:revision>
  <dcterms:created xsi:type="dcterms:W3CDTF">2026-05-27T13:00:20.537Z</dcterms:created>
  <dcterms:modified xsi:type="dcterms:W3CDTF">2026-05-27T13:00:20.538Z</dcterms:modified>
</cp:coreProperties>
</file>

<file path=docProps/custom.xml><?xml version="1.0" encoding="utf-8"?>
<Properties xmlns="http://schemas.openxmlformats.org/officeDocument/2006/custom-properties" xmlns:vt="http://schemas.openxmlformats.org/officeDocument/2006/docPropsVTypes"/>
</file>