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rPr>
          <w:rFonts w:ascii="Calibri" w:cs="Calibri" w:eastAsia="Calibri" w:hAnsi="Calibri"/>
          <w:b/>
          <w:bCs/>
          <w:color w:val="0E3A6E"/>
          <w:sz w:val="64"/>
          <w:szCs w:val="64"/>
        </w:rPr>
        <w:t xml:space="preserve">VerifIQ</w:t>
      </w:r>
    </w:p>
    <w:p>
      <w:pPr>
        <w:spacing w:after="40" w:before="0"/>
      </w:pPr>
      <w:r>
        <w:rPr>
          <w:rFonts w:ascii="Calibri" w:cs="Calibri" w:eastAsia="Calibri" w:hAnsi="Calibri"/>
          <w:color w:val="1A1A1A"/>
          <w:sz w:val="28"/>
          <w:szCs w:val="28"/>
        </w:rPr>
        <w:t xml:space="preserve">Tender pack and design document checking system for the Irish construction market</w:t>
      </w:r>
    </w:p>
    <w:p>
      <w:pPr>
        <w:spacing w:after="120" w:before="0"/>
      </w:pPr>
      <w:r>
        <w:rPr>
          <w:rFonts w:ascii="Calibri" w:cs="Calibri" w:eastAsia="Calibri" w:hAnsi="Calibri"/>
          <w:i/>
          <w:iCs/>
          <w:color w:val="5A5A5A"/>
          <w:sz w:val="22"/>
          <w:szCs w:val="22"/>
        </w:rPr>
        <w:t xml:space="preserve">Feasibility Study and Business Plan — Version 0.1</w:t>
      </w:r>
    </w:p>
    <w:p>
      <w:pPr>
        <w:pBdr>
          <w:bottom w:val="single" w:color="0E3A6E" w:sz="8" w:space="1"/>
        </w:pBdr>
        <w:spacing w:after="200" w:before="0"/>
      </w:pPr>
      <w:r>
        <w:t xml:space="preserve"/>
      </w:r>
    </w:p>
    <w:p>
      <w:pPr>
        <w:spacing w:after="80" w:before="240"/>
      </w:pPr>
      <w:r>
        <w:rPr>
          <w:rFonts w:ascii="Calibri" w:cs="Calibri" w:eastAsia="Calibri" w:hAnsi="Calibri"/>
          <w:color w:val="5A5A5A"/>
          <w:sz w:val="20"/>
          <w:szCs w:val="20"/>
        </w:rPr>
        <w:t xml:space="preserve">Prepared by:</w:t>
      </w:r>
    </w:p>
    <w:p>
      <w:pPr>
        <w:spacing w:after="0" w:before="0"/>
      </w:pPr>
      <w:r>
        <w:rPr>
          <w:rFonts w:ascii="Calibri" w:cs="Calibri" w:eastAsia="Calibri" w:hAnsi="Calibri"/>
          <w:b/>
          <w:bCs/>
          <w:color w:val="1A1A1A"/>
          <w:sz w:val="22"/>
          <w:szCs w:val="22"/>
        </w:rPr>
        <w:t xml:space="preserve">Liam Dunne, GovIQ</w:t>
      </w:r>
    </w:p>
    <w:p>
      <w:pPr>
        <w:spacing w:after="200" w:before="0"/>
      </w:pPr>
      <w:r>
        <w:rPr>
          <w:rFonts w:ascii="Calibri" w:cs="Calibri" w:eastAsia="Calibri" w:hAnsi="Calibri"/>
          <w:color w:val="5A5A5A"/>
          <w:sz w:val="20"/>
          <w:szCs w:val="20"/>
        </w:rPr>
        <w:t xml:space="preserve">liam@goviq.ie</w:t>
      </w:r>
    </w:p>
    <w:p>
      <w:pPr>
        <w:spacing w:after="0" w:before="120"/>
      </w:pPr>
      <w:r>
        <w:rPr>
          <w:rFonts w:ascii="Calibri" w:cs="Calibri" w:eastAsia="Calibri" w:hAnsi="Calibri"/>
          <w:color w:val="5A5A5A"/>
          <w:sz w:val="20"/>
          <w:szCs w:val="20"/>
        </w:rPr>
        <w:t xml:space="preserve">Date: 27 May 2026</w:t>
      </w:r>
    </w:p>
    <w:p>
      <w:pPr>
        <w:spacing w:after="0" w:before="0"/>
      </w:pPr>
      <w:r>
        <w:rPr>
          <w:rFonts w:ascii="Calibri" w:cs="Calibri" w:eastAsia="Calibri" w:hAnsi="Calibri"/>
          <w:i/>
          <w:iCs/>
          <w:color w:val="5A5A5A"/>
          <w:sz w:val="20"/>
          <w:szCs w:val="20"/>
        </w:rPr>
        <w:t xml:space="preserve">Status: Working draft for internal use and pre-pilot conversations</w:t>
      </w:r>
    </w:p>
    <w:p>
      <w:r>
        <w:br w:type="page"/>
      </w:r>
    </w:p>
    <w:p>
      <w:pPr>
        <w:pStyle w:val="Heading1"/>
        <w:spacing w:after="200" w:before="400"/>
      </w:pPr>
      <w:r>
        <w:rPr>
          <w:rFonts w:ascii="Calibri" w:cs="Calibri" w:eastAsia="Calibri" w:hAnsi="Calibri"/>
          <w:b/>
          <w:bCs/>
          <w:color w:val="0E3A6E"/>
          <w:sz w:val="32"/>
          <w:szCs w:val="32"/>
        </w:rPr>
        <w:t xml:space="preserve">1. Executive Summary</w:t>
      </w:r>
    </w:p>
    <w:p>
      <w:pPr>
        <w:spacing w:after="80" w:before="80"/>
      </w:pPr>
      <w:r>
        <w:rPr>
          <w:rFonts w:ascii="Calibri" w:cs="Calibri" w:eastAsia="Calibri" w:hAnsi="Calibri"/>
          <w:sz w:val="22"/>
          <w:szCs w:val="22"/>
        </w:rPr>
        <w:t xml:space="preserve">VerifIQ is a checking system for tender packs, design specifications and drawing sets used in the Irish construction market. It is designed to help design teams, contractors and public-sector capital programmes identify where their documents are likely to have issues — outdated standards, cut-paste content from prior projects, missing schedules, incomplete sections, incorrect statutory references and similar — before those documents are issued, priced or signed off downstream.</w:t>
      </w:r>
    </w:p>
    <w:p>
      <w:pPr>
        <w:spacing w:after="80" w:before="80"/>
      </w:pPr>
      <w:r>
        <w:rPr>
          <w:rFonts w:ascii="Calibri" w:cs="Calibri" w:eastAsia="Calibri" w:hAnsi="Calibri"/>
          <w:sz w:val="22"/>
          <w:szCs w:val="22"/>
        </w:rPr>
        <w:t xml:space="preserve">VerifIQ is not a professional review service. It does not provide a chartered opinion. It does not issue any form of certification, ancillary certificate, design certificate or fitness-for-purpose statement. It does not carry professional indemnity exposure. It is a software tool that surfaces possible issues with a document set and presents them to the user, with evidence quotes and source references, so the user can verify the issue locally and decide what to do about it.</w:t>
      </w:r>
    </w:p>
    <w:p>
      <w:pPr>
        <w:pStyle w:val="Heading3"/>
        <w:spacing w:after="100" w:before="200"/>
      </w:pPr>
      <w:r>
        <w:rPr>
          <w:rFonts w:ascii="Calibri" w:cs="Calibri" w:eastAsia="Calibri" w:hAnsi="Calibri"/>
          <w:b/>
          <w:bCs/>
          <w:color w:val="0E3A6E"/>
          <w:sz w:val="22"/>
          <w:szCs w:val="22"/>
        </w:rPr>
        <w:t xml:space="preserve">1.1 The opportunity</w:t>
      </w:r>
    </w:p>
    <w:p>
      <w:pPr>
        <w:spacing w:after="80" w:before="80"/>
      </w:pPr>
      <w:r>
        <w:rPr>
          <w:rFonts w:ascii="Calibri" w:cs="Calibri" w:eastAsia="Calibri" w:hAnsi="Calibri"/>
          <w:sz w:val="22"/>
          <w:szCs w:val="22"/>
        </w:rPr>
        <w:t xml:space="preserve">The Irish construction industry operates within an intersecting set of frameworks (PW-CF Public Works Contracts, the Capital Works Management Framework, BCAR under SI 9/2014, FSC and DAC, sector-specific Health Building Notes and Health Technical Memoranda, Eurocodes with Irish National Annexes, IS, IS EN, BS, BS EN, TGD A–M, HSE Estates standards) that together produce one of the densest regulatory environments for built-environment design in Europe. Design teams use NBS Chorus and similar specification libraries to manage this complexity, but in practice those libraries are imported lightly, edited inconsistently, and rarely brought to current standards on each project. The result is a systemic document-quality problem that surfaces at tender, at award, at construction, at BCAR sign-off and at occupation.</w:t>
      </w:r>
    </w:p>
    <w:p>
      <w:pPr>
        <w:spacing w:after="80" w:before="80"/>
      </w:pPr>
      <w:r>
        <w:rPr>
          <w:rFonts w:ascii="Calibri" w:cs="Calibri" w:eastAsia="Calibri" w:hAnsi="Calibri"/>
          <w:sz w:val="22"/>
          <w:szCs w:val="22"/>
        </w:rPr>
        <w:t xml:space="preserve">This problem is provable. A single day of structured checking against one real Stage 2C tender pack in May 2026 surfaced 327 substantive findings, including:</w:t>
      </w:r>
    </w:p>
    <w:p>
      <w:pPr>
        <w:pStyle w:val="ListParagraph"/>
        <w:numPr>
          <w:ilvl w:val="0"/>
          <w:numId w:val="2"/>
        </w:numPr>
        <w:spacing w:after="30" w:before="30"/>
      </w:pPr>
      <w:r>
        <w:rPr>
          <w:rFonts w:ascii="Calibri" w:cs="Calibri" w:eastAsia="Calibri" w:hAnsi="Calibri"/>
          <w:sz w:val="22"/>
          <w:szCs w:val="22"/>
        </w:rPr>
        <w:t xml:space="preserve">File substitution errors in the Windows and Curtain Wall schedules (rendering stair-section content) worth an estimated €150-300k in unpriceable envelope at tender.</w:t>
      </w:r>
    </w:p>
    <w:p>
      <w:pPr>
        <w:pStyle w:val="ListParagraph"/>
        <w:numPr>
          <w:ilvl w:val="0"/>
          <w:numId w:val="2"/>
        </w:numPr>
        <w:spacing w:after="30" w:before="30"/>
      </w:pPr>
      <w:r>
        <w:rPr>
          <w:rFonts w:ascii="Calibri" w:cs="Calibri" w:eastAsia="Calibri" w:hAnsi="Calibri"/>
          <w:sz w:val="22"/>
          <w:szCs w:val="22"/>
        </w:rPr>
        <w:t xml:space="preserve">Systemic NBS-Chorus / wrong-project cut-paste across all four discipline specifications, including lightning protection text describing a school in County Mayo, residential apartment cabling, basement and underpinning specifications in a single-storey building, and 'Boiler House' references in an all-heat-pump project.</w:t>
      </w:r>
    </w:p>
    <w:p>
      <w:pPr>
        <w:pStyle w:val="ListParagraph"/>
        <w:numPr>
          <w:ilvl w:val="0"/>
          <w:numId w:val="2"/>
        </w:numPr>
        <w:spacing w:after="30" w:before="30"/>
      </w:pPr>
      <w:r>
        <w:rPr>
          <w:rFonts w:ascii="Calibri" w:cs="Calibri" w:eastAsia="Calibri" w:hAnsi="Calibri"/>
          <w:sz w:val="22"/>
          <w:szCs w:val="22"/>
        </w:rPr>
        <w:t xml:space="preserve">Outdated statutory citations including BS 476 Part 8:1972 (withdrawn), IS 3218:2013 (superseded by 2024 edition which the granted FSC mandates), BS 7671 (UK) instead of I.S. 10101:2020+A1:2024 (Irish), and absence of EU 2024/573 F-Gas obligations.</w:t>
      </w:r>
    </w:p>
    <w:p>
      <w:pPr>
        <w:pStyle w:val="ListParagraph"/>
        <w:numPr>
          <w:ilvl w:val="0"/>
          <w:numId w:val="2"/>
        </w:numPr>
        <w:spacing w:after="30" w:before="30"/>
      </w:pPr>
      <w:r>
        <w:rPr>
          <w:rFonts w:ascii="Calibri" w:cs="Calibri" w:eastAsia="Calibri" w:hAnsi="Calibri"/>
          <w:sz w:val="22"/>
          <w:szCs w:val="22"/>
        </w:rPr>
        <w:t xml:space="preserve">Pricing defects including VAT shown at 21% (the correct Irish standard rate has been 23% since 2024).</w:t>
      </w:r>
    </w:p>
    <w:p>
      <w:pPr>
        <w:pStyle w:val="ListParagraph"/>
        <w:numPr>
          <w:ilvl w:val="0"/>
          <w:numId w:val="2"/>
        </w:numPr>
        <w:spacing w:after="30" w:before="30"/>
      </w:pPr>
      <w:r>
        <w:rPr>
          <w:rFonts w:ascii="Calibri" w:cs="Calibri" w:eastAsia="Calibri" w:hAnsi="Calibri"/>
          <w:sz w:val="22"/>
          <w:szCs w:val="22"/>
        </w:rPr>
        <w:t xml:space="preserve">Drawing-register and revision-control failures across the architectural, civil-and-structural and mechanical-and-electrical packs, with three different issue dates across discipline packs and absent revision data on every C&amp;S drawing.</w:t>
      </w:r>
    </w:p>
    <w:p>
      <w:pPr>
        <w:spacing w:after="80" w:before="80"/>
      </w:pPr>
      <w:r>
        <w:rPr>
          <w:rFonts w:ascii="Calibri" w:cs="Calibri" w:eastAsia="Calibri" w:hAnsi="Calibri"/>
          <w:sz w:val="22"/>
          <w:szCs w:val="22"/>
        </w:rPr>
        <w:t xml:space="preserve">These issues are recurring patterns, not isolated to one pack or one design team. They are the predictable outcome of the way Irish design documents are produced today. VerifIQ is the tool that catches them before they become someone else's problem.</w:t>
      </w:r>
    </w:p>
    <w:p>
      <w:pPr>
        <w:pStyle w:val="Heading3"/>
        <w:spacing w:after="100" w:before="200"/>
      </w:pPr>
      <w:r>
        <w:rPr>
          <w:rFonts w:ascii="Calibri" w:cs="Calibri" w:eastAsia="Calibri" w:hAnsi="Calibri"/>
          <w:b/>
          <w:bCs/>
          <w:color w:val="0E3A6E"/>
          <w:sz w:val="22"/>
          <w:szCs w:val="22"/>
        </w:rPr>
        <w:t xml:space="preserve">1.2 The product</w:t>
      </w:r>
    </w:p>
    <w:p>
      <w:pPr>
        <w:spacing w:after="80" w:before="80"/>
      </w:pPr>
      <w:r>
        <w:rPr>
          <w:rFonts w:ascii="Calibri" w:cs="Calibri" w:eastAsia="Calibri" w:hAnsi="Calibri"/>
          <w:sz w:val="22"/>
          <w:szCs w:val="22"/>
        </w:rPr>
        <w:t xml:space="preserve">VerifIQ is a web-based SaaS application. The user uploads a tender pack (drawings, specifications, schedules, reports) into a secure project workspace. The system processes the pack against a library of Irish authority standards and known cut-paste / wrong-project / outdated-content patterns, and returns an indicative findings register identifying the locations where the pack appears to require verification. Each finding includes the source document, the location within that document, the verbatim quote that triggered the flag, the standard or pattern that suggested the issue, and a recommended user action: typically 'verify locally and update if applicable'.</w:t>
      </w:r>
    </w:p>
    <w:p>
      <w:pPr>
        <w:spacing w:after="80" w:before="80"/>
      </w:pPr>
      <w:r>
        <w:rPr>
          <w:rFonts w:ascii="Calibri" w:cs="Calibri" w:eastAsia="Calibri" w:hAnsi="Calibri"/>
          <w:sz w:val="22"/>
          <w:szCs w:val="22"/>
        </w:rPr>
        <w:t xml:space="preserve">The system never asserts that a finding is correct, never asserts that a document is non-compliant, never issues a sign-off, and never accepts responsibility for any decision the user makes based on its output. The terms of use disclaim every form of professional opinion, fitness-for-purpose statement and reliance. The system is a checking aid, not a decision.</w:t>
      </w:r>
    </w:p>
    <w:p>
      <w:pPr>
        <w:pStyle w:val="Heading3"/>
        <w:spacing w:after="100" w:before="200"/>
      </w:pPr>
      <w:r>
        <w:rPr>
          <w:rFonts w:ascii="Calibri" w:cs="Calibri" w:eastAsia="Calibri" w:hAnsi="Calibri"/>
          <w:b/>
          <w:bCs/>
          <w:color w:val="0E3A6E"/>
          <w:sz w:val="22"/>
          <w:szCs w:val="22"/>
        </w:rPr>
        <w:t xml:space="preserve">1.3 The market</w:t>
      </w:r>
    </w:p>
    <w:p>
      <w:pPr>
        <w:spacing w:after="80" w:before="80"/>
      </w:pPr>
      <w:r>
        <w:rPr>
          <w:rFonts w:ascii="Calibri" w:cs="Calibri" w:eastAsia="Calibri" w:hAnsi="Calibri"/>
          <w:sz w:val="22"/>
          <w:szCs w:val="22"/>
        </w:rPr>
        <w:t xml:space="preserve">The addressable Irish market comprises approximately 500 RIAI-registered design practices that participate in CWMF and Section 38/39 healthcare capital work; approximately 300 chartered C&amp;S, mechanical and electrical consultancies in the same lane; approximately 120 main contractors active on Irish public-sector projects; and approximately 30 Employer-side buyers (HSE Estates, OGP, Department of Education, Department of Health, Section 38/39 healthcare bodies, local authority capital teams). At a per-check pricing of €150–€800 across these segments and conservative usage assumptions, the steady-state Irish addressable market is estimated at €8-14m ARR. The same review logic, swapped to the UK corpus (BS EN, Approved Documents, Building Safety Act 2022, Hackitt-led BSR regime), addresses a market of approximately ten times that size.</w:t>
      </w:r>
    </w:p>
    <w:p>
      <w:pPr>
        <w:pStyle w:val="Heading3"/>
        <w:spacing w:after="100" w:before="200"/>
      </w:pPr>
      <w:r>
        <w:rPr>
          <w:rFonts w:ascii="Calibri" w:cs="Calibri" w:eastAsia="Calibri" w:hAnsi="Calibri"/>
          <w:b/>
          <w:bCs/>
          <w:color w:val="0E3A6E"/>
          <w:sz w:val="22"/>
          <w:szCs w:val="22"/>
        </w:rPr>
        <w:t xml:space="preserve">1.4 The business model</w:t>
      </w:r>
    </w:p>
    <w:p>
      <w:pPr>
        <w:spacing w:after="80" w:before="80"/>
      </w:pPr>
      <w:r>
        <w:rPr>
          <w:rFonts w:ascii="Calibri" w:cs="Calibri" w:eastAsia="Calibri" w:hAnsi="Calibri"/>
          <w:sz w:val="22"/>
          <w:szCs w:val="22"/>
        </w:rPr>
        <w:t xml:space="preserve">VerifIQ launches as a SaaS application with per-check and subscription pricing. There is no professional service tier, no chartered review, no liability tier. The product is operated entirely as a software product with terms of use that disclaim professional reliance. The cost structure is dominated by inference compute (variable) and product engineering (fixed). Gross margins are projected at 75-85% steady-state.</w:t>
      </w:r>
    </w:p>
    <w:p>
      <w:pPr>
        <w:pStyle w:val="Heading3"/>
        <w:spacing w:after="100" w:before="200"/>
      </w:pPr>
      <w:r>
        <w:rPr>
          <w:rFonts w:ascii="Calibri" w:cs="Calibri" w:eastAsia="Calibri" w:hAnsi="Calibri"/>
          <w:b/>
          <w:bCs/>
          <w:color w:val="0E3A6E"/>
          <w:sz w:val="22"/>
          <w:szCs w:val="22"/>
        </w:rPr>
        <w:t xml:space="preserve">1.5 The ask and the next steps</w:t>
      </w:r>
    </w:p>
    <w:p>
      <w:pPr>
        <w:spacing w:after="80" w:before="80"/>
      </w:pPr>
      <w:r>
        <w:rPr>
          <w:rFonts w:ascii="Calibri" w:cs="Calibri" w:eastAsia="Calibri" w:hAnsi="Calibri"/>
          <w:sz w:val="22"/>
          <w:szCs w:val="22"/>
        </w:rPr>
        <w:t xml:space="preserve">This document is a working feasibility study and business plan. It is intended to (a) define the product, market and business model with sufficient precision to commit a build, (b) provide the basis for first customer conversations with friendly pilot users, and (c) provide the framing for any subsequent capital raise, partnership conversation or commercial discussion. The next-90-day deliverables, set out in Section 14, are: complete the MVP build, sign three pilot customers, and validate the per-check unit economics on real-world packs.</w:t>
      </w:r>
    </w:p>
    <w:p>
      <w:r>
        <w:br w:type="page"/>
      </w:r>
    </w:p>
    <w:p>
      <w:pPr>
        <w:pStyle w:val="Heading1"/>
        <w:spacing w:after="200" w:before="400"/>
      </w:pPr>
      <w:r>
        <w:rPr>
          <w:rFonts w:ascii="Calibri" w:cs="Calibri" w:eastAsia="Calibri" w:hAnsi="Calibri"/>
          <w:b/>
          <w:bCs/>
          <w:color w:val="0E3A6E"/>
          <w:sz w:val="32"/>
          <w:szCs w:val="32"/>
        </w:rPr>
        <w:t xml:space="preserve">2. Product Positioning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D49B00" w:sz="16"/>
              <w:left w:val="single" w:color="D49B00" w:sz="16"/>
              <w:bottom w:val="single" w:color="D49B00" w:sz="4"/>
              <w:right w:val="single" w:color="D49B00" w:sz="4"/>
            </w:tcBorders>
            <w:shd w:fill="FFF4D6" w:val="clear"/>
            <w:tcMar>
              <w:top w:type="dxa" w:w="160"/>
              <w:left w:type="dxa" w:w="200"/>
              <w:bottom w:type="dxa" w:w="160"/>
              <w:right w:type="dxa" w:w="200"/>
            </w:tcMar>
          </w:tcPr>
          <w:p>
            <w:pPr>
              <w:spacing w:after="80" w:before="0"/>
            </w:pPr>
            <w:r>
              <w:rPr>
                <w:rFonts w:ascii="Calibri" w:cs="Calibri" w:eastAsia="Calibri" w:hAnsi="Calibri"/>
                <w:b/>
                <w:bCs/>
                <w:color w:val="1A1A1A"/>
                <w:sz w:val="22"/>
                <w:szCs w:val="22"/>
              </w:rPr>
              <w:t xml:space="preserve">Statement of positioning</w:t>
            </w:r>
          </w:p>
          <w:p>
            <w:pPr>
              <w:spacing w:after="40" w:before="40"/>
            </w:pPr>
            <w:r>
              <w:rPr>
                <w:rFonts w:ascii="Calibri" w:cs="Calibri" w:eastAsia="Calibri" w:hAnsi="Calibri"/>
                <w:sz w:val="20"/>
                <w:szCs w:val="20"/>
              </w:rPr>
              <w:t xml:space="preserve">VerifIQ is a checking system. It surfaces possible issues in tender packs and design documents and tells the user where to look.</w:t>
            </w:r>
          </w:p>
          <w:p>
            <w:pPr>
              <w:spacing w:after="40" w:before="40"/>
            </w:pPr>
            <w:r>
              <w:rPr>
                <w:rFonts w:ascii="Calibri" w:cs="Calibri" w:eastAsia="Calibri" w:hAnsi="Calibri"/>
                <w:sz w:val="20"/>
                <w:szCs w:val="20"/>
              </w:rPr>
              <w:t xml:space="preserve">VerifIQ is NOT a professional review service, NOT a certification body, NOT an opinion provider, and NOT a substitute for chartered design or BCAR sign-off.</w:t>
            </w:r>
          </w:p>
          <w:p>
            <w:pPr>
              <w:spacing w:after="40" w:before="40"/>
            </w:pPr>
            <w:r>
              <w:rPr>
                <w:rFonts w:ascii="Calibri" w:cs="Calibri" w:eastAsia="Calibri" w:hAnsi="Calibri"/>
                <w:sz w:val="20"/>
                <w:szCs w:val="20"/>
              </w:rPr>
              <w:t xml:space="preserve">Every output is indicative. The user is responsible for verifying, validating and acting on any finding. The terms of use disclaim every form of reliance, fitness, opinion or regulatory compliance.</w:t>
            </w:r>
          </w:p>
        </w:tc>
      </w:tr>
    </w:tbl>
    <w:p>
      <w:pPr>
        <w:pStyle w:val="Heading2"/>
        <w:spacing w:after="140" w:before="280"/>
      </w:pPr>
      <w:r>
        <w:rPr>
          <w:rFonts w:ascii="Calibri" w:cs="Calibri" w:eastAsia="Calibri" w:hAnsi="Calibri"/>
          <w:b/>
          <w:bCs/>
          <w:color w:val="1A1A1A"/>
          <w:sz w:val="26"/>
          <w:szCs w:val="26"/>
        </w:rPr>
        <w:t xml:space="preserve">2.1 What VerifIQ does</w:t>
      </w:r>
    </w:p>
    <w:p>
      <w:pPr>
        <w:spacing w:after="80" w:before="80"/>
      </w:pPr>
      <w:r>
        <w:rPr>
          <w:rFonts w:ascii="Calibri" w:cs="Calibri" w:eastAsia="Calibri" w:hAnsi="Calibri"/>
          <w:sz w:val="22"/>
          <w:szCs w:val="22"/>
        </w:rPr>
        <w:t xml:space="preserve">VerifIQ reads documents the user uploads and surfaces possible issues for the user to investigate. Specifically it flags:</w:t>
      </w:r>
    </w:p>
    <w:p>
      <w:pPr>
        <w:pStyle w:val="ListParagraph"/>
        <w:numPr>
          <w:ilvl w:val="0"/>
          <w:numId w:val="2"/>
        </w:numPr>
        <w:spacing w:after="30" w:before="30"/>
      </w:pPr>
      <w:r>
        <w:rPr>
          <w:rFonts w:ascii="Calibri" w:cs="Calibri" w:eastAsia="Calibri" w:hAnsi="Calibri"/>
          <w:sz w:val="22"/>
          <w:szCs w:val="22"/>
        </w:rPr>
        <w:t xml:space="preserve">References to outdated, withdrawn or superseded standards (for example BS 476 Pt 8:1972, IS 3218:2013, IEE 16th Edition).</w:t>
      </w:r>
    </w:p>
    <w:p>
      <w:pPr>
        <w:pStyle w:val="ListParagraph"/>
        <w:numPr>
          <w:ilvl w:val="0"/>
          <w:numId w:val="2"/>
        </w:numPr>
        <w:spacing w:after="30" w:before="30"/>
      </w:pPr>
      <w:r>
        <w:rPr>
          <w:rFonts w:ascii="Calibri" w:cs="Calibri" w:eastAsia="Calibri" w:hAnsi="Calibri"/>
          <w:sz w:val="22"/>
          <w:szCs w:val="22"/>
        </w:rPr>
        <w:t xml:space="preserve">Content that appears to be cut-paste from a prior project (wrong project name, wrong town, wrong building type, wrong room descriptions, multi-storey references in single-storey context, residential references in commercial context).</w:t>
      </w:r>
    </w:p>
    <w:p>
      <w:pPr>
        <w:pStyle w:val="ListParagraph"/>
        <w:numPr>
          <w:ilvl w:val="0"/>
          <w:numId w:val="2"/>
        </w:numPr>
        <w:spacing w:after="30" w:before="30"/>
      </w:pPr>
      <w:r>
        <w:rPr>
          <w:rFonts w:ascii="Calibri" w:cs="Calibri" w:eastAsia="Calibri" w:hAnsi="Calibri"/>
          <w:sz w:val="22"/>
          <w:szCs w:val="22"/>
        </w:rPr>
        <w:t xml:space="preserve">Sections or schedules that appear to be missing content, contain blank fields, or contain file substitution errors (such as a Windows schedule that renders stair-section content).</w:t>
      </w:r>
    </w:p>
    <w:p>
      <w:pPr>
        <w:pStyle w:val="ListParagraph"/>
        <w:numPr>
          <w:ilvl w:val="0"/>
          <w:numId w:val="2"/>
        </w:numPr>
        <w:spacing w:after="30" w:before="30"/>
      </w:pPr>
      <w:r>
        <w:rPr>
          <w:rFonts w:ascii="Calibri" w:cs="Calibri" w:eastAsia="Calibri" w:hAnsi="Calibri"/>
          <w:sz w:val="22"/>
          <w:szCs w:val="22"/>
        </w:rPr>
        <w:t xml:space="preserve">Documents that appear to reference jurisdictions other than Ireland (UK Approved Documents, NJUG, UK CDM, UK statutes).</w:t>
      </w:r>
    </w:p>
    <w:p>
      <w:pPr>
        <w:pStyle w:val="ListParagraph"/>
        <w:numPr>
          <w:ilvl w:val="0"/>
          <w:numId w:val="2"/>
        </w:numPr>
        <w:spacing w:after="30" w:before="30"/>
      </w:pPr>
      <w:r>
        <w:rPr>
          <w:rFonts w:ascii="Calibri" w:cs="Calibri" w:eastAsia="Calibri" w:hAnsi="Calibri"/>
          <w:sz w:val="22"/>
          <w:szCs w:val="22"/>
        </w:rPr>
        <w:t xml:space="preserve">Internal inconsistencies between drawings, specifications, schedules and reports within the same pack (different issue dates, different project descriptors, different revision codes across disciplines).</w:t>
      </w:r>
    </w:p>
    <w:p>
      <w:pPr>
        <w:pStyle w:val="ListParagraph"/>
        <w:numPr>
          <w:ilvl w:val="0"/>
          <w:numId w:val="2"/>
        </w:numPr>
        <w:spacing w:after="30" w:before="30"/>
      </w:pPr>
      <w:r>
        <w:rPr>
          <w:rFonts w:ascii="Calibri" w:cs="Calibri" w:eastAsia="Calibri" w:hAnsi="Calibri"/>
          <w:sz w:val="22"/>
          <w:szCs w:val="22"/>
        </w:rPr>
        <w:t xml:space="preserve">References to standards the user has indicated are in scope but appear to be absent from the pack (FSC condition propagation, EU 2024/573 F-Gas, GDSDS, BCAR Ancillary Cert allocation, healthcare-specific HBN/HTM coverage).</w:t>
      </w:r>
    </w:p>
    <w:p>
      <w:pPr>
        <w:pStyle w:val="ListParagraph"/>
        <w:numPr>
          <w:ilvl w:val="0"/>
          <w:numId w:val="2"/>
        </w:numPr>
        <w:spacing w:after="30" w:before="30"/>
      </w:pPr>
      <w:r>
        <w:rPr>
          <w:rFonts w:ascii="Calibri" w:cs="Calibri" w:eastAsia="Calibri" w:hAnsi="Calibri"/>
          <w:sz w:val="22"/>
          <w:szCs w:val="22"/>
        </w:rPr>
        <w:t xml:space="preserve">BoQ defects (VAT rates, contradictory pricing references, phantom line items for buildings other than the one being tendered).</w:t>
      </w:r>
    </w:p>
    <w:p>
      <w:pPr>
        <w:pStyle w:val="Heading2"/>
        <w:spacing w:after="140" w:before="280"/>
      </w:pPr>
      <w:r>
        <w:rPr>
          <w:rFonts w:ascii="Calibri" w:cs="Calibri" w:eastAsia="Calibri" w:hAnsi="Calibri"/>
          <w:b/>
          <w:bCs/>
          <w:color w:val="1A1A1A"/>
          <w:sz w:val="26"/>
          <w:szCs w:val="26"/>
        </w:rPr>
        <w:t xml:space="preserve">2.2 What VerifIQ does not do</w:t>
      </w:r>
    </w:p>
    <w:p>
      <w:pPr>
        <w:spacing w:after="80" w:before="80"/>
      </w:pPr>
      <w:r>
        <w:rPr>
          <w:rFonts w:ascii="Calibri" w:cs="Calibri" w:eastAsia="Calibri" w:hAnsi="Calibri"/>
          <w:sz w:val="22"/>
          <w:szCs w:val="22"/>
        </w:rPr>
        <w:t xml:space="preserve">VerifIQ does not:</w:t>
      </w:r>
    </w:p>
    <w:p>
      <w:pPr>
        <w:pStyle w:val="ListParagraph"/>
        <w:numPr>
          <w:ilvl w:val="0"/>
          <w:numId w:val="2"/>
        </w:numPr>
        <w:spacing w:after="30" w:before="30"/>
      </w:pPr>
      <w:r>
        <w:rPr>
          <w:rFonts w:ascii="Calibri" w:cs="Calibri" w:eastAsia="Calibri" w:hAnsi="Calibri"/>
          <w:sz w:val="22"/>
          <w:szCs w:val="22"/>
        </w:rPr>
        <w:t xml:space="preserve">Provide a professional design review or design opinion. The output is not a design report, not a BCAR Ancillary Certificate, not a design statement, not a fitness-for-purpose certificate.</w:t>
      </w:r>
    </w:p>
    <w:p>
      <w:pPr>
        <w:pStyle w:val="ListParagraph"/>
        <w:numPr>
          <w:ilvl w:val="0"/>
          <w:numId w:val="2"/>
        </w:numPr>
        <w:spacing w:after="30" w:before="30"/>
      </w:pPr>
      <w:r>
        <w:rPr>
          <w:rFonts w:ascii="Calibri" w:cs="Calibri" w:eastAsia="Calibri" w:hAnsi="Calibri"/>
          <w:sz w:val="22"/>
          <w:szCs w:val="22"/>
        </w:rPr>
        <w:t xml:space="preserve">Substitute for the work of the Assigned Certifier, Design Certifier, Lead Designer, RIAI Architect, Chartered Engineer, FSCSI/SCSI QS or any other designated professional.</w:t>
      </w:r>
    </w:p>
    <w:p>
      <w:pPr>
        <w:pStyle w:val="ListParagraph"/>
        <w:numPr>
          <w:ilvl w:val="0"/>
          <w:numId w:val="2"/>
        </w:numPr>
        <w:spacing w:after="30" w:before="30"/>
      </w:pPr>
      <w:r>
        <w:rPr>
          <w:rFonts w:ascii="Calibri" w:cs="Calibri" w:eastAsia="Calibri" w:hAnsi="Calibri"/>
          <w:sz w:val="22"/>
          <w:szCs w:val="22"/>
        </w:rPr>
        <w:t xml:space="preserve">Issue compliance opinions, code interpretation opinions or regulatory advice.</w:t>
      </w:r>
    </w:p>
    <w:p>
      <w:pPr>
        <w:pStyle w:val="ListParagraph"/>
        <w:numPr>
          <w:ilvl w:val="0"/>
          <w:numId w:val="2"/>
        </w:numPr>
        <w:spacing w:after="30" w:before="30"/>
      </w:pPr>
      <w:r>
        <w:rPr>
          <w:rFonts w:ascii="Calibri" w:cs="Calibri" w:eastAsia="Calibri" w:hAnsi="Calibri"/>
          <w:sz w:val="22"/>
          <w:szCs w:val="22"/>
        </w:rPr>
        <w:t xml:space="preserve">Carry any form of professional indemnity exposure for outputs that turn out to be incorrect, incomplete, or different from a chartered professional's view.</w:t>
      </w:r>
    </w:p>
    <w:p>
      <w:pPr>
        <w:pStyle w:val="ListParagraph"/>
        <w:numPr>
          <w:ilvl w:val="0"/>
          <w:numId w:val="2"/>
        </w:numPr>
        <w:spacing w:after="30" w:before="30"/>
      </w:pPr>
      <w:r>
        <w:rPr>
          <w:rFonts w:ascii="Calibri" w:cs="Calibri" w:eastAsia="Calibri" w:hAnsi="Calibri"/>
          <w:sz w:val="22"/>
          <w:szCs w:val="22"/>
        </w:rPr>
        <w:t xml:space="preserve">Replace any step in the BCAR pathway, the planning pathway, the FSC pathway, the DAC pathway, the Construction Contracts Act 2013 payment pathway, or any other regulatory or procurement pathway.</w:t>
      </w:r>
    </w:p>
    <w:p>
      <w:pPr>
        <w:pStyle w:val="ListParagraph"/>
        <w:numPr>
          <w:ilvl w:val="0"/>
          <w:numId w:val="2"/>
        </w:numPr>
        <w:spacing w:after="30" w:before="30"/>
      </w:pPr>
      <w:r>
        <w:rPr>
          <w:rFonts w:ascii="Calibri" w:cs="Calibri" w:eastAsia="Calibri" w:hAnsi="Calibri"/>
          <w:sz w:val="22"/>
          <w:szCs w:val="22"/>
        </w:rPr>
        <w:t xml:space="preserve">Endorse, certify, recommend, approve or reject any document, design, specification, drawing, contractor, designer or product manufacturer.</w:t>
      </w:r>
    </w:p>
    <w:p>
      <w:pPr>
        <w:pStyle w:val="Heading2"/>
        <w:spacing w:after="140" w:before="280"/>
      </w:pPr>
      <w:r>
        <w:rPr>
          <w:rFonts w:ascii="Calibri" w:cs="Calibri" w:eastAsia="Calibri" w:hAnsi="Calibri"/>
          <w:b/>
          <w:bCs/>
          <w:color w:val="1A1A1A"/>
          <w:sz w:val="26"/>
          <w:szCs w:val="26"/>
        </w:rPr>
        <w:t xml:space="preserve">2.3 The five-word marketing line</w:t>
      </w:r>
    </w:p>
    <w:p>
      <w:pPr>
        <w:spacing w:after="80" w:before="80"/>
        <w:jc w:val="center"/>
      </w:pPr>
      <w:r>
        <w:rPr>
          <w:rFonts w:ascii="Calibri" w:cs="Calibri" w:eastAsia="Calibri" w:hAnsi="Calibri"/>
          <w:b/>
          <w:bCs/>
          <w:sz w:val="28"/>
          <w:szCs w:val="28"/>
        </w:rPr>
        <w:t xml:space="preserve">Helps you find issues faster.</w:t>
      </w:r>
    </w:p>
    <w:p>
      <w:pPr>
        <w:spacing w:after="80" w:before="80"/>
        <w:jc w:val="center"/>
      </w:pPr>
      <w:r>
        <w:rPr>
          <w:rFonts w:ascii="Calibri" w:cs="Calibri" w:eastAsia="Calibri" w:hAnsi="Calibri"/>
          <w:i/>
          <w:iCs/>
          <w:sz w:val="22"/>
          <w:szCs w:val="22"/>
        </w:rPr>
        <w:t xml:space="preserve">That is the line. The product is a faster way to find the things a careful reviewer would find anyway. The output is a starting point, not an answer. The buyer pays for the time saved.</w:t>
      </w:r>
    </w:p>
    <w:p>
      <w:pPr>
        <w:pStyle w:val="Heading2"/>
        <w:spacing w:after="140" w:before="280"/>
      </w:pPr>
      <w:r>
        <w:rPr>
          <w:rFonts w:ascii="Calibri" w:cs="Calibri" w:eastAsia="Calibri" w:hAnsi="Calibri"/>
          <w:b/>
          <w:bCs/>
          <w:color w:val="1A1A1A"/>
          <w:sz w:val="26"/>
          <w:szCs w:val="26"/>
        </w:rPr>
        <w:t xml:space="preserve">2.4 Buyer motivations</w:t>
      </w:r>
    </w:p>
    <w:p>
      <w:pPr>
        <w:spacing w:after="80" w:before="80"/>
      </w:pPr>
      <w:r>
        <w:rPr>
          <w:rFonts w:ascii="Calibri" w:cs="Calibri" w:eastAsia="Calibri" w:hAnsi="Calibri"/>
          <w:sz w:val="22"/>
          <w:szCs w:val="22"/>
        </w:rPr>
        <w:t xml:space="preserve">Three buyer groups, three distinct motivations:</w:t>
      </w:r>
    </w:p>
    <w:p>
      <w:pPr>
        <w:pStyle w:val="Heading3"/>
        <w:spacing w:after="100" w:before="200"/>
      </w:pPr>
      <w:r>
        <w:rPr>
          <w:rFonts w:ascii="Calibri" w:cs="Calibri" w:eastAsia="Calibri" w:hAnsi="Calibri"/>
          <w:b/>
          <w:bCs/>
          <w:color w:val="0E3A6E"/>
          <w:sz w:val="22"/>
          <w:szCs w:val="22"/>
        </w:rPr>
        <w:t xml:space="preserve">Design teams</w:t>
      </w:r>
    </w:p>
    <w:p>
      <w:pPr>
        <w:spacing w:after="80" w:before="80"/>
      </w:pPr>
      <w:r>
        <w:rPr>
          <w:rFonts w:ascii="Calibri" w:cs="Calibri" w:eastAsia="Calibri" w:hAnsi="Calibri"/>
          <w:sz w:val="22"/>
          <w:szCs w:val="22"/>
        </w:rPr>
        <w:t xml:space="preserve">Save days of internal QA before issuing a pack. Catch the embarrassing cut-paste before the client does. Reduce the change orders that come back two weeks after issue. Defend against accusations of poor document quality. Reduce the time the partner spends red-marking trainee work.</w:t>
      </w:r>
    </w:p>
    <w:p>
      <w:pPr>
        <w:pStyle w:val="Heading3"/>
        <w:spacing w:after="100" w:before="200"/>
      </w:pPr>
      <w:r>
        <w:rPr>
          <w:rFonts w:ascii="Calibri" w:cs="Calibri" w:eastAsia="Calibri" w:hAnsi="Calibri"/>
          <w:b/>
          <w:bCs/>
          <w:color w:val="0E3A6E"/>
          <w:sz w:val="22"/>
          <w:szCs w:val="22"/>
        </w:rPr>
        <w:t xml:space="preserve">Contractors</w:t>
      </w:r>
    </w:p>
    <w:p>
      <w:pPr>
        <w:spacing w:after="80" w:before="80"/>
      </w:pPr>
      <w:r>
        <w:rPr>
          <w:rFonts w:ascii="Calibri" w:cs="Calibri" w:eastAsia="Calibri" w:hAnsi="Calibri"/>
          <w:sz w:val="22"/>
          <w:szCs w:val="22"/>
        </w:rPr>
        <w:t xml:space="preserve">Identify pricing risk in a tender pack before committing a bid. Spot the gaps that will become variations after award. Build a defensible record of what was unclear at tender for later claims. Validate the tender pack against the contract conditions for known defect patterns.</w:t>
      </w:r>
    </w:p>
    <w:p>
      <w:pPr>
        <w:pStyle w:val="Heading3"/>
        <w:spacing w:after="100" w:before="200"/>
      </w:pPr>
      <w:r>
        <w:rPr>
          <w:rFonts w:ascii="Calibri" w:cs="Calibri" w:eastAsia="Calibri" w:hAnsi="Calibri"/>
          <w:b/>
          <w:bCs/>
          <w:color w:val="0E3A6E"/>
          <w:sz w:val="22"/>
          <w:szCs w:val="22"/>
        </w:rPr>
        <w:t xml:space="preserve">Employer-side (HSE, OGP, Departments, Section 38/39, local authorities)</w:t>
      </w:r>
    </w:p>
    <w:p>
      <w:pPr>
        <w:spacing w:after="80" w:before="80"/>
      </w:pPr>
      <w:r>
        <w:rPr>
          <w:rFonts w:ascii="Calibri" w:cs="Calibri" w:eastAsia="Calibri" w:hAnsi="Calibri"/>
          <w:sz w:val="22"/>
          <w:szCs w:val="22"/>
        </w:rPr>
        <w:t xml:space="preserve">Check what your appointed design team has produced before it goes to tender. Reduce post-award variation exposure. Build a defensible record of pre-issue checking for audit, governance and capital-programme accountability. Improve framework-panel design-team performance management.</w:t>
      </w:r>
    </w:p>
    <w:p>
      <w:r>
        <w:br w:type="page"/>
      </w:r>
    </w:p>
    <w:p>
      <w:pPr>
        <w:pStyle w:val="Heading1"/>
        <w:spacing w:after="200" w:before="400"/>
      </w:pPr>
      <w:r>
        <w:rPr>
          <w:rFonts w:ascii="Calibri" w:cs="Calibri" w:eastAsia="Calibri" w:hAnsi="Calibri"/>
          <w:b/>
          <w:bCs/>
          <w:color w:val="0E3A6E"/>
          <w:sz w:val="32"/>
          <w:szCs w:val="32"/>
        </w:rPr>
        <w:t xml:space="preserve">3. Market Analysis</w:t>
      </w:r>
    </w:p>
    <w:p>
      <w:pPr>
        <w:pStyle w:val="Heading2"/>
        <w:spacing w:after="140" w:before="280"/>
      </w:pPr>
      <w:r>
        <w:rPr>
          <w:rFonts w:ascii="Calibri" w:cs="Calibri" w:eastAsia="Calibri" w:hAnsi="Calibri"/>
          <w:b/>
          <w:bCs/>
          <w:color w:val="1A1A1A"/>
          <w:sz w:val="26"/>
          <w:szCs w:val="26"/>
        </w:rPr>
        <w:t xml:space="preserve">3.1 The Irish construction market</w:t>
      </w:r>
    </w:p>
    <w:p>
      <w:pPr>
        <w:spacing w:after="80" w:before="80"/>
      </w:pPr>
      <w:r>
        <w:rPr>
          <w:rFonts w:ascii="Calibri" w:cs="Calibri" w:eastAsia="Calibri" w:hAnsi="Calibri"/>
          <w:sz w:val="22"/>
          <w:szCs w:val="22"/>
        </w:rPr>
        <w:t xml:space="preserve">Total Irish construction output in 2024 was approximately €38-40bn. The National Development Plan 2021-2030 commits €165bn over ten years, of which approximately €16.5bn per annum runs through the public-sector capital programmes that operate under the CWMF and PW-CF framework. The HSE capital plan alone is approximately €1.1bn per annum. The Department of Education capital programme is approximately €800m per annum. Local authority and social housing capital represents a further multi-billion-euro programme. These programmes are the primary source of CWMF-compliant tender packs in Ireland.</w:t>
      </w:r>
    </w:p>
    <w:p>
      <w:pPr>
        <w:spacing w:after="80" w:before="80"/>
      </w:pPr>
      <w:r>
        <w:rPr>
          <w:rFonts w:ascii="Calibri" w:cs="Calibri" w:eastAsia="Calibri" w:hAnsi="Calibri"/>
          <w:sz w:val="22"/>
          <w:szCs w:val="22"/>
        </w:rPr>
        <w:t xml:space="preserve">Design fees on these programmes typically represent 6-10% of construction cost, allocated approximately 3-5% to architecture, 1-2% to civil and structural, 1.5-3% to mechanical and electrical, and 0.5-1.5% to QS and project management. The implication is that the design-team segment supporting Irish public-sector capital represents a fee market in the order of €1-1.5bn per annum. This is the segment whose documents VerifIQ addresses.</w:t>
      </w:r>
    </w:p>
    <w:p>
      <w:pPr>
        <w:pStyle w:val="Heading2"/>
        <w:spacing w:after="140" w:before="280"/>
      </w:pPr>
      <w:r>
        <w:rPr>
          <w:rFonts w:ascii="Calibri" w:cs="Calibri" w:eastAsia="Calibri" w:hAnsi="Calibri"/>
          <w:b/>
          <w:bCs/>
          <w:color w:val="1A1A1A"/>
          <w:sz w:val="26"/>
          <w:szCs w:val="26"/>
        </w:rPr>
        <w:t xml:space="preserve">3.2 The regulatory pressure underpinning demand</w:t>
      </w:r>
    </w:p>
    <w:p>
      <w:pPr>
        <w:pStyle w:val="Heading3"/>
        <w:spacing w:after="100" w:before="200"/>
      </w:pPr>
      <w:r>
        <w:rPr>
          <w:rFonts w:ascii="Calibri" w:cs="Calibri" w:eastAsia="Calibri" w:hAnsi="Calibri"/>
          <w:b/>
          <w:bCs/>
          <w:color w:val="0E3A6E"/>
          <w:sz w:val="22"/>
          <w:szCs w:val="22"/>
        </w:rPr>
        <w:t xml:space="preserve">BCAR (SI 9/2014) and personal liability</w:t>
      </w:r>
    </w:p>
    <w:p>
      <w:pPr>
        <w:spacing w:after="80" w:before="80"/>
      </w:pPr>
      <w:r>
        <w:rPr>
          <w:rFonts w:ascii="Calibri" w:cs="Calibri" w:eastAsia="Calibri" w:hAnsi="Calibri"/>
          <w:sz w:val="22"/>
          <w:szCs w:val="22"/>
        </w:rPr>
        <w:t xml:space="preserve">Since the Building Control Amendment Regulations 2014, every building project requires assignment of a Design Certifier (who must be a chartered Architect, Chartered Engineer or Registered Building Surveyor) and an Assigned Certifier. These individuals carry personal liability for the certificates they sign. Post-Grenfell, post-RTÉ Mica defect coverage and post-Tracker Mortgage regulatory enforcement, the appetite for personal liability among Irish chartered professionals has hardened. Tools that help these individuals identify potential issues in documents before they sign anything are buying insurance, not buying software.</w:t>
      </w:r>
    </w:p>
    <w:p>
      <w:pPr>
        <w:pStyle w:val="Heading3"/>
        <w:spacing w:after="100" w:before="200"/>
      </w:pPr>
      <w:r>
        <w:rPr>
          <w:rFonts w:ascii="Calibri" w:cs="Calibri" w:eastAsia="Calibri" w:hAnsi="Calibri"/>
          <w:b/>
          <w:bCs/>
          <w:color w:val="0E3A6E"/>
          <w:sz w:val="22"/>
          <w:szCs w:val="22"/>
        </w:rPr>
        <w:t xml:space="preserve">PI insurance crisis</w:t>
      </w:r>
    </w:p>
    <w:p>
      <w:pPr>
        <w:spacing w:after="80" w:before="80"/>
      </w:pPr>
      <w:r>
        <w:rPr>
          <w:rFonts w:ascii="Calibri" w:cs="Calibri" w:eastAsia="Calibri" w:hAnsi="Calibri"/>
          <w:sz w:val="22"/>
          <w:szCs w:val="22"/>
        </w:rPr>
        <w:t xml:space="preserve">Professional indemnity premiums for Irish architects and engineers rose by 300-1000% between 2018 and 2024. Brokers (Allianz, Aviva, AXA Irish branches, specialist brokers including Lockton and JLT-Marsh) are now actively asking design practices what risk-management tools they use, and underwriters are differentiating premiums based on stated quality-assurance processes. A tool that demonstrably reduces the frequency of preventable claims has a co-selling channel with every PI broker in the market.</w:t>
      </w:r>
    </w:p>
    <w:p>
      <w:pPr>
        <w:pStyle w:val="Heading3"/>
        <w:spacing w:after="100" w:before="200"/>
      </w:pPr>
      <w:r>
        <w:rPr>
          <w:rFonts w:ascii="Calibri" w:cs="Calibri" w:eastAsia="Calibri" w:hAnsi="Calibri"/>
          <w:b/>
          <w:bCs/>
          <w:color w:val="0E3A6E"/>
          <w:sz w:val="22"/>
          <w:szCs w:val="22"/>
        </w:rPr>
        <w:t xml:space="preserve">CWMF and PW-CF prescriptiveness</w:t>
      </w:r>
    </w:p>
    <w:p>
      <w:pPr>
        <w:spacing w:after="80" w:before="80"/>
      </w:pPr>
      <w:r>
        <w:rPr>
          <w:rFonts w:ascii="Calibri" w:cs="Calibri" w:eastAsia="Calibri" w:hAnsi="Calibri"/>
          <w:sz w:val="22"/>
          <w:szCs w:val="22"/>
        </w:rPr>
        <w:t xml:space="preserve">The Capital Works Management Framework is one of the most prescriptive public-procurement frameworks in Europe. Its component documents (ARM4 + Supp1Iss2, CESMM4 Revised, TII Specification for Road Works, Form of Tender, Instructions to Tenderers, Conditions of Contract, Clause 15 Price Variation mechanics, SI 284/2016 standstill, Construction Contracts Act 2013) change frequently. Design teams and Employer-side bodies systematically fail to track these changes across all their active projects. The compliance burden is real and the manual-tracking failure mode is endemic.</w:t>
      </w:r>
    </w:p>
    <w:p>
      <w:pPr>
        <w:pStyle w:val="Heading3"/>
        <w:spacing w:after="100" w:before="200"/>
      </w:pPr>
      <w:r>
        <w:rPr>
          <w:rFonts w:ascii="Calibri" w:cs="Calibri" w:eastAsia="Calibri" w:hAnsi="Calibri"/>
          <w:b/>
          <w:bCs/>
          <w:color w:val="0E3A6E"/>
          <w:sz w:val="22"/>
          <w:szCs w:val="22"/>
        </w:rPr>
        <w:t xml:space="preserve">Standards currency</w:t>
      </w:r>
    </w:p>
    <w:p>
      <w:pPr>
        <w:spacing w:after="80" w:before="80"/>
      </w:pPr>
      <w:r>
        <w:rPr>
          <w:rFonts w:ascii="Calibri" w:cs="Calibri" w:eastAsia="Calibri" w:hAnsi="Calibri"/>
          <w:sz w:val="22"/>
          <w:szCs w:val="22"/>
        </w:rPr>
        <w:t xml:space="preserve">Irish design standards include IS, IS EN, EN with Irish National Annexes, BS, BS EN, TGD A through M, HSE Estates standards, HBN, HTM, and sector-specific HIQA standards. The currency of these standards changes regularly. IS 3218 went 2013 to 2024; IS 10101 went 2020 with A1:2024; EU 2024/573 F-Gas is recent; TGD-B Vol 1 and Vol 2 were updated in 2024; BS 8300-2 had its 2018 revision. NBS Chorus and similar specification libraries lag the standards by months to years. Design teams importing from NBS without manually updating to current Irish standards produce specs that fail at Assigned Certifier review.</w:t>
      </w:r>
    </w:p>
    <w:p>
      <w:pPr>
        <w:pStyle w:val="Heading2"/>
        <w:spacing w:after="140" w:before="280"/>
      </w:pPr>
      <w:r>
        <w:rPr>
          <w:rFonts w:ascii="Calibri" w:cs="Calibri" w:eastAsia="Calibri" w:hAnsi="Calibri"/>
          <w:b/>
          <w:bCs/>
          <w:color w:val="1A1A1A"/>
          <w:sz w:val="26"/>
          <w:szCs w:val="26"/>
        </w:rPr>
        <w:t xml:space="preserve">3.3 Addressable market sizing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0"/>
        <w:gridCol w:w="1700"/>
        <w:gridCol w:w="1700"/>
        <w:gridCol w:w="1700"/>
        <w:gridCol w:w="1646"/>
      </w:tblGrid>
      <w:tr>
        <w:trPr>
          <w:tblHeader/>
        </w:trPr>
        <w:tc>
          <w:tcPr>
            <w:tcW w:type="dxa" w:w="3000"/>
            <w:tcBorders>
              <w:top w:val="single" w:color="B4B4B4" w:sz="4"/>
              <w:left w:val="single" w:color="B4B4B4" w:sz="4"/>
              <w:bottom w:val="single" w:color="B4B4B4" w:sz="4"/>
              <w:right w:val="single" w:color="B4B4B4" w:sz="4"/>
            </w:tcBorders>
            <w:shd w:fill="0E3A6E" w:val="clear"/>
            <w:tcMar>
              <w:top w:type="dxa" w:w="100"/>
              <w:left w:type="dxa" w:w="140"/>
              <w:bottom w:type="dxa" w:w="100"/>
              <w:right w:type="dxa" w:w="140"/>
            </w:tcMar>
            <w:vAlign w:val="center"/>
          </w:tcPr>
          <w:p>
            <w:pPr>
              <w:spacing w:after="30" w:before="30"/>
            </w:pPr>
            <w:r>
              <w:rPr>
                <w:rFonts w:ascii="Calibri" w:cs="Calibri" w:eastAsia="Calibri" w:hAnsi="Calibri"/>
                <w:b/>
                <w:bCs/>
                <w:color w:val="FFFFFF"/>
                <w:sz w:val="20"/>
                <w:szCs w:val="20"/>
              </w:rPr>
              <w:t xml:space="preserve">Segment</w:t>
            </w:r>
          </w:p>
        </w:tc>
        <w:tc>
          <w:tcPr>
            <w:tcW w:type="dxa" w:w="1700"/>
            <w:tcBorders>
              <w:top w:val="single" w:color="B4B4B4" w:sz="4"/>
              <w:left w:val="single" w:color="B4B4B4" w:sz="4"/>
              <w:bottom w:val="single" w:color="B4B4B4" w:sz="4"/>
              <w:right w:val="single" w:color="B4B4B4" w:sz="4"/>
            </w:tcBorders>
            <w:shd w:fill="0E3A6E" w:val="clear"/>
            <w:tcMar>
              <w:top w:type="dxa" w:w="100"/>
              <w:left w:type="dxa" w:w="140"/>
              <w:bottom w:type="dxa" w:w="100"/>
              <w:right w:type="dxa" w:w="140"/>
            </w:tcMar>
            <w:vAlign w:val="center"/>
          </w:tcPr>
          <w:p>
            <w:pPr>
              <w:spacing w:after="30" w:before="30"/>
            </w:pPr>
            <w:r>
              <w:rPr>
                <w:rFonts w:ascii="Calibri" w:cs="Calibri" w:eastAsia="Calibri" w:hAnsi="Calibri"/>
                <w:b/>
                <w:bCs/>
                <w:color w:val="FFFFFF"/>
                <w:sz w:val="20"/>
                <w:szCs w:val="20"/>
              </w:rPr>
              <w:t xml:space="preserve">Active firms / bodies</w:t>
            </w:r>
          </w:p>
        </w:tc>
        <w:tc>
          <w:tcPr>
            <w:tcW w:type="dxa" w:w="1700"/>
            <w:tcBorders>
              <w:top w:val="single" w:color="B4B4B4" w:sz="4"/>
              <w:left w:val="single" w:color="B4B4B4" w:sz="4"/>
              <w:bottom w:val="single" w:color="B4B4B4" w:sz="4"/>
              <w:right w:val="single" w:color="B4B4B4" w:sz="4"/>
            </w:tcBorders>
            <w:shd w:fill="0E3A6E" w:val="clear"/>
            <w:tcMar>
              <w:top w:type="dxa" w:w="100"/>
              <w:left w:type="dxa" w:w="140"/>
              <w:bottom w:type="dxa" w:w="100"/>
              <w:right w:type="dxa" w:w="140"/>
            </w:tcMar>
            <w:vAlign w:val="center"/>
          </w:tcPr>
          <w:p>
            <w:pPr>
              <w:spacing w:after="30" w:before="30"/>
            </w:pPr>
            <w:r>
              <w:rPr>
                <w:rFonts w:ascii="Calibri" w:cs="Calibri" w:eastAsia="Calibri" w:hAnsi="Calibri"/>
                <w:b/>
                <w:bCs/>
                <w:color w:val="FFFFFF"/>
                <w:sz w:val="20"/>
                <w:szCs w:val="20"/>
              </w:rPr>
              <w:t xml:space="preserve">Avg checks / year per buyer</w:t>
            </w:r>
          </w:p>
        </w:tc>
        <w:tc>
          <w:tcPr>
            <w:tcW w:type="dxa" w:w="1700"/>
            <w:tcBorders>
              <w:top w:val="single" w:color="B4B4B4" w:sz="4"/>
              <w:left w:val="single" w:color="B4B4B4" w:sz="4"/>
              <w:bottom w:val="single" w:color="B4B4B4" w:sz="4"/>
              <w:right w:val="single" w:color="B4B4B4" w:sz="4"/>
            </w:tcBorders>
            <w:shd w:fill="0E3A6E" w:val="clear"/>
            <w:tcMar>
              <w:top w:type="dxa" w:w="100"/>
              <w:left w:type="dxa" w:w="140"/>
              <w:bottom w:type="dxa" w:w="100"/>
              <w:right w:type="dxa" w:w="140"/>
            </w:tcMar>
            <w:vAlign w:val="center"/>
          </w:tcPr>
          <w:p>
            <w:pPr>
              <w:spacing w:after="30" w:before="30"/>
            </w:pPr>
            <w:r>
              <w:rPr>
                <w:rFonts w:ascii="Calibri" w:cs="Calibri" w:eastAsia="Calibri" w:hAnsi="Calibri"/>
                <w:b/>
                <w:bCs/>
                <w:color w:val="FFFFFF"/>
                <w:sz w:val="20"/>
                <w:szCs w:val="20"/>
              </w:rPr>
              <w:t xml:space="preserve">Avg price per check</w:t>
            </w:r>
          </w:p>
        </w:tc>
        <w:tc>
          <w:tcPr>
            <w:tcW w:type="dxa" w:w="1646"/>
            <w:tcBorders>
              <w:top w:val="single" w:color="B4B4B4" w:sz="4"/>
              <w:left w:val="single" w:color="B4B4B4" w:sz="4"/>
              <w:bottom w:val="single" w:color="B4B4B4" w:sz="4"/>
              <w:right w:val="single" w:color="B4B4B4" w:sz="4"/>
            </w:tcBorders>
            <w:shd w:fill="0E3A6E" w:val="clear"/>
            <w:tcMar>
              <w:top w:type="dxa" w:w="100"/>
              <w:left w:type="dxa" w:w="140"/>
              <w:bottom w:type="dxa" w:w="100"/>
              <w:right w:type="dxa" w:w="140"/>
            </w:tcMar>
            <w:vAlign w:val="center"/>
          </w:tcPr>
          <w:p>
            <w:pPr>
              <w:spacing w:after="30" w:before="30"/>
            </w:pPr>
            <w:r>
              <w:rPr>
                <w:rFonts w:ascii="Calibri" w:cs="Calibri" w:eastAsia="Calibri" w:hAnsi="Calibri"/>
                <w:b/>
                <w:bCs/>
                <w:color w:val="FFFFFF"/>
                <w:sz w:val="20"/>
                <w:szCs w:val="20"/>
              </w:rPr>
              <w:t xml:space="preserve">Annual TAM</w:t>
            </w:r>
          </w:p>
        </w:tc>
      </w:tr>
      <w:tr>
        <w:tc>
          <w:tcPr>
            <w:tcW w:type="dxa" w:w="3000"/>
            <w:tcBorders>
              <w:top w:val="single" w:color="B4B4B4" w:sz="4"/>
              <w:left w:val="single" w:color="B4B4B4" w:sz="4"/>
              <w:bottom w:val="single" w:color="B4B4B4" w:sz="4"/>
              <w:right w:val="single" w:color="B4B4B4" w:sz="4"/>
            </w:tcBorders>
            <w:shd w:fill="F4F6F8" w:val="clear"/>
            <w:tcMar>
              <w:top w:type="dxa" w:w="100"/>
              <w:left w:type="dxa" w:w="140"/>
              <w:bottom w:type="dxa" w:w="100"/>
              <w:right w:type="dxa" w:w="140"/>
            </w:tcMar>
            <w:vAlign w:val="center"/>
          </w:tcPr>
          <w:p>
            <w:pPr>
              <w:spacing w:after="30" w:before="30"/>
            </w:pPr>
            <w:r>
              <w:rPr>
                <w:rFonts w:ascii="Calibri" w:cs="Calibri" w:eastAsia="Calibri" w:hAnsi="Calibri"/>
                <w:sz w:val="18"/>
                <w:szCs w:val="18"/>
              </w:rPr>
              <w:t xml:space="preserve">RIAI design practices (CWMF / Sec 38–39 / OGP work)</w:t>
            </w:r>
          </w:p>
        </w:tc>
        <w:tc>
          <w:tcPr>
            <w:tcW w:type="dxa" w:w="1700"/>
            <w:tcBorders>
              <w:top w:val="single" w:color="B4B4B4" w:sz="4"/>
              <w:left w:val="single" w:color="B4B4B4" w:sz="4"/>
              <w:bottom w:val="single" w:color="B4B4B4" w:sz="4"/>
              <w:right w:val="single" w:color="B4B4B4" w:sz="4"/>
            </w:tcBorders>
            <w:tcMar>
              <w:top w:type="dxa" w:w="100"/>
              <w:left w:type="dxa" w:w="140"/>
              <w:bottom w:type="dxa" w:w="100"/>
              <w:right w:type="dxa" w:w="140"/>
            </w:tcMar>
            <w:vAlign w:val="center"/>
          </w:tcPr>
          <w:p>
            <w:pPr>
              <w:spacing w:after="30" w:before="30"/>
              <w:jc w:val="center"/>
            </w:pPr>
            <w:r>
              <w:rPr>
                <w:rFonts w:ascii="Calibri" w:cs="Calibri" w:eastAsia="Calibri" w:hAnsi="Calibri"/>
                <w:sz w:val="18"/>
                <w:szCs w:val="18"/>
              </w:rPr>
              <w:t xml:space="preserve">500</w:t>
            </w:r>
          </w:p>
        </w:tc>
        <w:tc>
          <w:tcPr>
            <w:tcW w:type="dxa" w:w="1700"/>
            <w:tcBorders>
              <w:top w:val="single" w:color="B4B4B4" w:sz="4"/>
              <w:left w:val="single" w:color="B4B4B4" w:sz="4"/>
              <w:bottom w:val="single" w:color="B4B4B4" w:sz="4"/>
              <w:right w:val="single" w:color="B4B4B4" w:sz="4"/>
            </w:tcBorders>
            <w:tcMar>
              <w:top w:type="dxa" w:w="100"/>
              <w:left w:type="dxa" w:w="140"/>
              <w:bottom w:type="dxa" w:w="100"/>
              <w:right w:type="dxa" w:w="140"/>
            </w:tcMar>
            <w:vAlign w:val="center"/>
          </w:tcPr>
          <w:p>
            <w:pPr>
              <w:spacing w:after="30" w:before="30"/>
              <w:jc w:val="center"/>
            </w:pPr>
            <w:r>
              <w:rPr>
                <w:rFonts w:ascii="Calibri" w:cs="Calibri" w:eastAsia="Calibri" w:hAnsi="Calibri"/>
                <w:sz w:val="18"/>
                <w:szCs w:val="18"/>
              </w:rPr>
              <w:t xml:space="preserve">10-25</w:t>
            </w:r>
          </w:p>
        </w:tc>
        <w:tc>
          <w:tcPr>
            <w:tcW w:type="dxa" w:w="1700"/>
            <w:tcBorders>
              <w:top w:val="single" w:color="B4B4B4" w:sz="4"/>
              <w:left w:val="single" w:color="B4B4B4" w:sz="4"/>
              <w:bottom w:val="single" w:color="B4B4B4" w:sz="4"/>
              <w:right w:val="single" w:color="B4B4B4" w:sz="4"/>
            </w:tcBorders>
            <w:tcMar>
              <w:top w:type="dxa" w:w="100"/>
              <w:left w:type="dxa" w:w="140"/>
              <w:bottom w:type="dxa" w:w="100"/>
              <w:right w:type="dxa" w:w="140"/>
            </w:tcMar>
            <w:vAlign w:val="center"/>
          </w:tcPr>
          <w:p>
            <w:pPr>
              <w:spacing w:after="30" w:before="30"/>
              <w:jc w:val="center"/>
            </w:pPr>
            <w:r>
              <w:rPr>
                <w:rFonts w:ascii="Calibri" w:cs="Calibri" w:eastAsia="Calibri" w:hAnsi="Calibri"/>
                <w:sz w:val="18"/>
                <w:szCs w:val="18"/>
              </w:rPr>
              <w:t xml:space="preserve">€200-€600</w:t>
            </w:r>
          </w:p>
        </w:tc>
        <w:tc>
          <w:tcPr>
            <w:tcW w:type="dxa" w:w="1646"/>
            <w:tcBorders>
              <w:top w:val="single" w:color="B4B4B4" w:sz="4"/>
              <w:left w:val="single" w:color="B4B4B4" w:sz="4"/>
              <w:bottom w:val="single" w:color="B4B4B4" w:sz="4"/>
              <w:right w:val="single" w:color="B4B4B4" w:sz="4"/>
            </w:tcBorders>
            <w:tcMar>
              <w:top w:type="dxa" w:w="100"/>
              <w:left w:type="dxa" w:w="140"/>
              <w:bottom w:type="dxa" w:w="100"/>
              <w:right w:type="dxa" w:w="140"/>
            </w:tcMar>
            <w:vAlign w:val="center"/>
          </w:tcPr>
          <w:p>
            <w:pPr>
              <w:spacing w:after="30" w:before="30"/>
              <w:jc w:val="center"/>
            </w:pPr>
            <w:r>
              <w:rPr>
                <w:rFonts w:ascii="Calibri" w:cs="Calibri" w:eastAsia="Calibri" w:hAnsi="Calibri"/>
                <w:b/>
                <w:bCs/>
                <w:sz w:val="18"/>
                <w:szCs w:val="18"/>
              </w:rPr>
              <w:t xml:space="preserve">€1.5-7.5m</w:t>
            </w:r>
          </w:p>
        </w:tc>
      </w:tr>
      <w:tr>
        <w:tc>
          <w:tcPr>
            <w:tcBorders>
              <w:top w:val="single" w:color="B4B4B4" w:sz="4"/>
              <w:left w:val="single" w:color="B4B4B4" w:sz="4"/>
              <w:bottom w:val="single" w:color="B4B4B4" w:sz="4"/>
              <w:right w:val="single" w:color="B4B4B4" w:sz="4"/>
            </w:tcBorders>
            <w:tcMar>
              <w:top w:type="dxa" w:w="100"/>
              <w:left w:type="dxa" w:w="140"/>
              <w:bottom w:type="dxa" w:w="100"/>
              <w:right w:type="dxa" w:w="140"/>
            </w:tcMar>
            <w:vAlign w:val="center"/>
          </w:tcPr>
          <w:p>
            <w:pPr>
              <w:spacing w:after="30" w:before="30"/>
            </w:pPr>
            <w:r>
              <w:rPr>
                <w:rFonts w:ascii="Calibri" w:cs="Calibri" w:eastAsia="Calibri" w:hAnsi="Calibri"/>
                <w:sz w:val="18"/>
                <w:szCs w:val="18"/>
              </w:rPr>
              <w:t xml:space="preserve">C&amp;S / M&amp;E / EE consulting engineers (same lane)</w:t>
            </w:r>
          </w:p>
        </w:tc>
        <w:tc>
          <w:tcPr>
            <w:tcBorders>
              <w:top w:val="single" w:color="B4B4B4" w:sz="4"/>
              <w:left w:val="single" w:color="B4B4B4" w:sz="4"/>
              <w:bottom w:val="single" w:color="B4B4B4" w:sz="4"/>
              <w:right w:val="single" w:color="B4B4B4" w:sz="4"/>
            </w:tcBorders>
            <w:tcMar>
              <w:top w:type="dxa" w:w="100"/>
              <w:left w:type="dxa" w:w="140"/>
              <w:bottom w:type="dxa" w:w="100"/>
              <w:right w:type="dxa" w:w="140"/>
            </w:tcMar>
            <w:vAlign w:val="center"/>
          </w:tcPr>
          <w:p>
            <w:pPr>
              <w:spacing w:after="30" w:before="30"/>
              <w:jc w:val="center"/>
            </w:pPr>
            <w:r>
              <w:rPr>
                <w:rFonts w:ascii="Calibri" w:cs="Calibri" w:eastAsia="Calibri" w:hAnsi="Calibri"/>
                <w:sz w:val="18"/>
                <w:szCs w:val="18"/>
              </w:rPr>
              <w:t xml:space="preserve">300</w:t>
            </w:r>
          </w:p>
        </w:tc>
        <w:tc>
          <w:tcPr>
            <w:tcBorders>
              <w:top w:val="single" w:color="B4B4B4" w:sz="4"/>
              <w:left w:val="single" w:color="B4B4B4" w:sz="4"/>
              <w:bottom w:val="single" w:color="B4B4B4" w:sz="4"/>
              <w:right w:val="single" w:color="B4B4B4" w:sz="4"/>
            </w:tcBorders>
            <w:tcMar>
              <w:top w:type="dxa" w:w="100"/>
              <w:left w:type="dxa" w:w="140"/>
              <w:bottom w:type="dxa" w:w="100"/>
              <w:right w:type="dxa" w:w="140"/>
            </w:tcMar>
            <w:vAlign w:val="center"/>
          </w:tcPr>
          <w:p>
            <w:pPr>
              <w:spacing w:after="30" w:before="30"/>
              <w:jc w:val="center"/>
            </w:pPr>
            <w:r>
              <w:rPr>
                <w:rFonts w:ascii="Calibri" w:cs="Calibri" w:eastAsia="Calibri" w:hAnsi="Calibri"/>
                <w:sz w:val="18"/>
                <w:szCs w:val="18"/>
              </w:rPr>
              <w:t xml:space="preserve">8-15</w:t>
            </w:r>
          </w:p>
        </w:tc>
        <w:tc>
          <w:tcPr>
            <w:tcBorders>
              <w:top w:val="single" w:color="B4B4B4" w:sz="4"/>
              <w:left w:val="single" w:color="B4B4B4" w:sz="4"/>
              <w:bottom w:val="single" w:color="B4B4B4" w:sz="4"/>
              <w:right w:val="single" w:color="B4B4B4" w:sz="4"/>
            </w:tcBorders>
            <w:tcMar>
              <w:top w:type="dxa" w:w="100"/>
              <w:left w:type="dxa" w:w="140"/>
              <w:bottom w:type="dxa" w:w="100"/>
              <w:right w:type="dxa" w:w="140"/>
            </w:tcMar>
            <w:vAlign w:val="center"/>
          </w:tcPr>
          <w:p>
            <w:pPr>
              <w:spacing w:after="30" w:before="30"/>
              <w:jc w:val="center"/>
            </w:pPr>
            <w:r>
              <w:rPr>
                <w:rFonts w:ascii="Calibri" w:cs="Calibri" w:eastAsia="Calibri" w:hAnsi="Calibri"/>
                <w:sz w:val="18"/>
                <w:szCs w:val="18"/>
              </w:rPr>
              <w:t xml:space="preserve">€150-€500</w:t>
            </w:r>
          </w:p>
        </w:tc>
        <w:tc>
          <w:tcPr>
            <w:tcBorders>
              <w:top w:val="single" w:color="B4B4B4" w:sz="4"/>
              <w:left w:val="single" w:color="B4B4B4" w:sz="4"/>
              <w:bottom w:val="single" w:color="B4B4B4" w:sz="4"/>
              <w:right w:val="single" w:color="B4B4B4" w:sz="4"/>
            </w:tcBorders>
            <w:tcMar>
              <w:top w:type="dxa" w:w="100"/>
              <w:left w:type="dxa" w:w="140"/>
              <w:bottom w:type="dxa" w:w="100"/>
              <w:right w:type="dxa" w:w="140"/>
            </w:tcMar>
            <w:vAlign w:val="center"/>
          </w:tcPr>
          <w:p>
            <w:pPr>
              <w:spacing w:after="30" w:before="30"/>
              <w:jc w:val="center"/>
            </w:pPr>
            <w:r>
              <w:rPr>
                <w:rFonts w:ascii="Calibri" w:cs="Calibri" w:eastAsia="Calibri" w:hAnsi="Calibri"/>
                <w:b/>
                <w:bCs/>
                <w:sz w:val="18"/>
                <w:szCs w:val="18"/>
              </w:rPr>
              <w:t xml:space="preserve">€500k-€2.5m</w:t>
            </w:r>
          </w:p>
        </w:tc>
      </w:tr>
      <w:tr>
        <w:tc>
          <w:tcPr>
            <w:tcBorders>
              <w:top w:val="single" w:color="B4B4B4" w:sz="4"/>
              <w:left w:val="single" w:color="B4B4B4" w:sz="4"/>
              <w:bottom w:val="single" w:color="B4B4B4" w:sz="4"/>
              <w:right w:val="single" w:color="B4B4B4" w:sz="4"/>
            </w:tcBorders>
            <w:shd w:fill="F4F6F8" w:val="clear"/>
            <w:tcMar>
              <w:top w:type="dxa" w:w="100"/>
              <w:left w:type="dxa" w:w="140"/>
              <w:bottom w:type="dxa" w:w="100"/>
              <w:right w:type="dxa" w:w="140"/>
            </w:tcMar>
            <w:vAlign w:val="center"/>
          </w:tcPr>
          <w:p>
            <w:pPr>
              <w:spacing w:after="30" w:before="30"/>
            </w:pPr>
            <w:r>
              <w:rPr>
                <w:rFonts w:ascii="Calibri" w:cs="Calibri" w:eastAsia="Calibri" w:hAnsi="Calibri"/>
                <w:sz w:val="18"/>
                <w:szCs w:val="18"/>
              </w:rPr>
              <w:t xml:space="preserve">Main contractors (CWMF / PW-CF bids)</w:t>
            </w:r>
          </w:p>
        </w:tc>
        <w:tc>
          <w:tcPr>
            <w:tcBorders>
              <w:top w:val="single" w:color="B4B4B4" w:sz="4"/>
              <w:left w:val="single" w:color="B4B4B4" w:sz="4"/>
              <w:bottom w:val="single" w:color="B4B4B4" w:sz="4"/>
              <w:right w:val="single" w:color="B4B4B4" w:sz="4"/>
            </w:tcBorders>
            <w:shd w:fill="F4F6F8" w:val="clear"/>
            <w:tcMar>
              <w:top w:type="dxa" w:w="100"/>
              <w:left w:type="dxa" w:w="140"/>
              <w:bottom w:type="dxa" w:w="100"/>
              <w:right w:type="dxa" w:w="140"/>
            </w:tcMar>
            <w:vAlign w:val="center"/>
          </w:tcPr>
          <w:p>
            <w:pPr>
              <w:spacing w:after="30" w:before="30"/>
              <w:jc w:val="center"/>
            </w:pPr>
            <w:r>
              <w:rPr>
                <w:rFonts w:ascii="Calibri" w:cs="Calibri" w:eastAsia="Calibri" w:hAnsi="Calibri"/>
                <w:sz w:val="18"/>
                <w:szCs w:val="18"/>
              </w:rPr>
              <w:t xml:space="preserve">120</w:t>
            </w:r>
          </w:p>
        </w:tc>
        <w:tc>
          <w:tcPr>
            <w:tcBorders>
              <w:top w:val="single" w:color="B4B4B4" w:sz="4"/>
              <w:left w:val="single" w:color="B4B4B4" w:sz="4"/>
              <w:bottom w:val="single" w:color="B4B4B4" w:sz="4"/>
              <w:right w:val="single" w:color="B4B4B4" w:sz="4"/>
            </w:tcBorders>
            <w:shd w:fill="F4F6F8" w:val="clear"/>
            <w:tcMar>
              <w:top w:type="dxa" w:w="100"/>
              <w:left w:type="dxa" w:w="140"/>
              <w:bottom w:type="dxa" w:w="100"/>
              <w:right w:type="dxa" w:w="140"/>
            </w:tcMar>
            <w:vAlign w:val="center"/>
          </w:tcPr>
          <w:p>
            <w:pPr>
              <w:spacing w:after="30" w:before="30"/>
              <w:jc w:val="center"/>
            </w:pPr>
            <w:r>
              <w:rPr>
                <w:rFonts w:ascii="Calibri" w:cs="Calibri" w:eastAsia="Calibri" w:hAnsi="Calibri"/>
                <w:sz w:val="18"/>
                <w:szCs w:val="18"/>
              </w:rPr>
              <w:t xml:space="preserve">20-40</w:t>
            </w:r>
          </w:p>
        </w:tc>
        <w:tc>
          <w:tcPr>
            <w:tcBorders>
              <w:top w:val="single" w:color="B4B4B4" w:sz="4"/>
              <w:left w:val="single" w:color="B4B4B4" w:sz="4"/>
              <w:bottom w:val="single" w:color="B4B4B4" w:sz="4"/>
              <w:right w:val="single" w:color="B4B4B4" w:sz="4"/>
            </w:tcBorders>
            <w:shd w:fill="F4F6F8" w:val="clear"/>
            <w:tcMar>
              <w:top w:type="dxa" w:w="100"/>
              <w:left w:type="dxa" w:w="140"/>
              <w:bottom w:type="dxa" w:w="100"/>
              <w:right w:type="dxa" w:w="140"/>
            </w:tcMar>
            <w:vAlign w:val="center"/>
          </w:tcPr>
          <w:p>
            <w:pPr>
              <w:spacing w:after="30" w:before="30"/>
              <w:jc w:val="center"/>
            </w:pPr>
            <w:r>
              <w:rPr>
                <w:rFonts w:ascii="Calibri" w:cs="Calibri" w:eastAsia="Calibri" w:hAnsi="Calibri"/>
                <w:sz w:val="18"/>
                <w:szCs w:val="18"/>
              </w:rPr>
              <w:t xml:space="preserve">€100-€300</w:t>
            </w:r>
          </w:p>
        </w:tc>
        <w:tc>
          <w:tcPr>
            <w:tcBorders>
              <w:top w:val="single" w:color="B4B4B4" w:sz="4"/>
              <w:left w:val="single" w:color="B4B4B4" w:sz="4"/>
              <w:bottom w:val="single" w:color="B4B4B4" w:sz="4"/>
              <w:right w:val="single" w:color="B4B4B4" w:sz="4"/>
            </w:tcBorders>
            <w:shd w:fill="F4F6F8" w:val="clear"/>
            <w:tcMar>
              <w:top w:type="dxa" w:w="100"/>
              <w:left w:type="dxa" w:w="140"/>
              <w:bottom w:type="dxa" w:w="100"/>
              <w:right w:type="dxa" w:w="140"/>
            </w:tcMar>
            <w:vAlign w:val="center"/>
          </w:tcPr>
          <w:p>
            <w:pPr>
              <w:spacing w:after="30" w:before="30"/>
              <w:jc w:val="center"/>
            </w:pPr>
            <w:r>
              <w:rPr>
                <w:rFonts w:ascii="Calibri" w:cs="Calibri" w:eastAsia="Calibri" w:hAnsi="Calibri"/>
                <w:b/>
                <w:bCs/>
                <w:sz w:val="18"/>
                <w:szCs w:val="18"/>
              </w:rPr>
              <w:t xml:space="preserve">€400k-€1.5m</w:t>
            </w:r>
          </w:p>
        </w:tc>
      </w:tr>
      <w:tr>
        <w:tc>
          <w:tcPr>
            <w:tcBorders>
              <w:top w:val="single" w:color="B4B4B4" w:sz="4"/>
              <w:left w:val="single" w:color="B4B4B4" w:sz="4"/>
              <w:bottom w:val="single" w:color="B4B4B4" w:sz="4"/>
              <w:right w:val="single" w:color="B4B4B4" w:sz="4"/>
            </w:tcBorders>
            <w:tcMar>
              <w:top w:type="dxa" w:w="100"/>
              <w:left w:type="dxa" w:w="140"/>
              <w:bottom w:type="dxa" w:w="100"/>
              <w:right w:type="dxa" w:w="140"/>
            </w:tcMar>
            <w:vAlign w:val="center"/>
          </w:tcPr>
          <w:p>
            <w:pPr>
              <w:spacing w:after="30" w:before="30"/>
            </w:pPr>
            <w:r>
              <w:rPr>
                <w:rFonts w:ascii="Calibri" w:cs="Calibri" w:eastAsia="Calibri" w:hAnsi="Calibri"/>
                <w:sz w:val="18"/>
                <w:szCs w:val="18"/>
              </w:rPr>
              <w:t xml:space="preserve">Employer-side capital programmes (HSE, OGP, Dept, S.38/39, LAs)</w:t>
            </w:r>
          </w:p>
        </w:tc>
        <w:tc>
          <w:tcPr>
            <w:tcBorders>
              <w:top w:val="single" w:color="B4B4B4" w:sz="4"/>
              <w:left w:val="single" w:color="B4B4B4" w:sz="4"/>
              <w:bottom w:val="single" w:color="B4B4B4" w:sz="4"/>
              <w:right w:val="single" w:color="B4B4B4" w:sz="4"/>
            </w:tcBorders>
            <w:tcMar>
              <w:top w:type="dxa" w:w="100"/>
              <w:left w:type="dxa" w:w="140"/>
              <w:bottom w:type="dxa" w:w="100"/>
              <w:right w:type="dxa" w:w="140"/>
            </w:tcMar>
            <w:vAlign w:val="center"/>
          </w:tcPr>
          <w:p>
            <w:pPr>
              <w:spacing w:after="30" w:before="30"/>
              <w:jc w:val="center"/>
            </w:pPr>
            <w:r>
              <w:rPr>
                <w:rFonts w:ascii="Calibri" w:cs="Calibri" w:eastAsia="Calibri" w:hAnsi="Calibri"/>
                <w:sz w:val="18"/>
                <w:szCs w:val="18"/>
              </w:rPr>
              <w:t xml:space="preserve">30+</w:t>
            </w:r>
          </w:p>
        </w:tc>
        <w:tc>
          <w:tcPr>
            <w:tcBorders>
              <w:top w:val="single" w:color="B4B4B4" w:sz="4"/>
              <w:left w:val="single" w:color="B4B4B4" w:sz="4"/>
              <w:bottom w:val="single" w:color="B4B4B4" w:sz="4"/>
              <w:right w:val="single" w:color="B4B4B4" w:sz="4"/>
            </w:tcBorders>
            <w:tcMar>
              <w:top w:type="dxa" w:w="100"/>
              <w:left w:type="dxa" w:w="140"/>
              <w:bottom w:type="dxa" w:w="100"/>
              <w:right w:type="dxa" w:w="140"/>
            </w:tcMar>
            <w:vAlign w:val="center"/>
          </w:tcPr>
          <w:p>
            <w:pPr>
              <w:spacing w:after="30" w:before="30"/>
              <w:jc w:val="center"/>
            </w:pPr>
            <w:r>
              <w:rPr>
                <w:rFonts w:ascii="Calibri" w:cs="Calibri" w:eastAsia="Calibri" w:hAnsi="Calibri"/>
                <w:sz w:val="18"/>
                <w:szCs w:val="18"/>
              </w:rPr>
              <w:t xml:space="preserve">Programme retainer</w:t>
            </w:r>
          </w:p>
        </w:tc>
        <w:tc>
          <w:tcPr>
            <w:tcBorders>
              <w:top w:val="single" w:color="B4B4B4" w:sz="4"/>
              <w:left w:val="single" w:color="B4B4B4" w:sz="4"/>
              <w:bottom w:val="single" w:color="B4B4B4" w:sz="4"/>
              <w:right w:val="single" w:color="B4B4B4" w:sz="4"/>
            </w:tcBorders>
            <w:tcMar>
              <w:top w:type="dxa" w:w="100"/>
              <w:left w:type="dxa" w:w="140"/>
              <w:bottom w:type="dxa" w:w="100"/>
              <w:right w:type="dxa" w:w="140"/>
            </w:tcMar>
            <w:vAlign w:val="center"/>
          </w:tcPr>
          <w:p>
            <w:pPr>
              <w:spacing w:after="30" w:before="30"/>
              <w:jc w:val="center"/>
            </w:pPr>
            <w:r>
              <w:rPr>
                <w:rFonts w:ascii="Calibri" w:cs="Calibri" w:eastAsia="Calibri" w:hAnsi="Calibri"/>
                <w:sz w:val="18"/>
                <w:szCs w:val="18"/>
              </w:rPr>
              <w:t xml:space="preserve">€20k-€120k/yr</w:t>
            </w:r>
          </w:p>
        </w:tc>
        <w:tc>
          <w:tcPr>
            <w:tcBorders>
              <w:top w:val="single" w:color="B4B4B4" w:sz="4"/>
              <w:left w:val="single" w:color="B4B4B4" w:sz="4"/>
              <w:bottom w:val="single" w:color="B4B4B4" w:sz="4"/>
              <w:right w:val="single" w:color="B4B4B4" w:sz="4"/>
            </w:tcBorders>
            <w:tcMar>
              <w:top w:type="dxa" w:w="100"/>
              <w:left w:type="dxa" w:w="140"/>
              <w:bottom w:type="dxa" w:w="100"/>
              <w:right w:type="dxa" w:w="140"/>
            </w:tcMar>
            <w:vAlign w:val="center"/>
          </w:tcPr>
          <w:p>
            <w:pPr>
              <w:spacing w:after="30" w:before="30"/>
              <w:jc w:val="center"/>
            </w:pPr>
            <w:r>
              <w:rPr>
                <w:rFonts w:ascii="Calibri" w:cs="Calibri" w:eastAsia="Calibri" w:hAnsi="Calibri"/>
                <w:b/>
                <w:bCs/>
                <w:sz w:val="18"/>
                <w:szCs w:val="18"/>
              </w:rPr>
              <w:t xml:space="preserve">€600k-€3.5m</w:t>
            </w:r>
          </w:p>
        </w:tc>
      </w:tr>
      <w:tr>
        <w:tc>
          <w:tcPr>
            <w:tcBorders>
              <w:top w:val="single" w:color="B4B4B4" w:sz="4"/>
              <w:left w:val="single" w:color="B4B4B4" w:sz="4"/>
              <w:bottom w:val="single" w:color="B4B4B4" w:sz="4"/>
              <w:right w:val="single" w:color="B4B4B4" w:sz="4"/>
            </w:tcBorders>
            <w:shd w:fill="0E3A6E" w:val="clear"/>
            <w:tcMar>
              <w:top w:type="dxa" w:w="100"/>
              <w:left w:type="dxa" w:w="140"/>
              <w:bottom w:type="dxa" w:w="100"/>
              <w:right w:type="dxa" w:w="140"/>
            </w:tcMar>
            <w:vAlign w:val="center"/>
          </w:tcPr>
          <w:p>
            <w:pPr>
              <w:spacing w:after="30" w:before="30"/>
            </w:pPr>
            <w:r>
              <w:rPr>
                <w:rFonts w:ascii="Calibri" w:cs="Calibri" w:eastAsia="Calibri" w:hAnsi="Calibri"/>
                <w:b/>
                <w:bCs/>
                <w:sz w:val="18"/>
                <w:szCs w:val="18"/>
              </w:rPr>
              <w:t xml:space="preserve">Ireland total addressable market (steady-state)</w:t>
            </w:r>
          </w:p>
        </w:tc>
        <w:tc>
          <w:tcPr>
            <w:tcBorders>
              <w:top w:val="single" w:color="B4B4B4" w:sz="4"/>
              <w:left w:val="single" w:color="B4B4B4" w:sz="4"/>
              <w:bottom w:val="single" w:color="B4B4B4" w:sz="4"/>
              <w:right w:val="single" w:color="B4B4B4" w:sz="4"/>
            </w:tcBorders>
            <w:shd w:fill="0E3A6E" w:val="clear"/>
            <w:tcMar>
              <w:top w:type="dxa" w:w="100"/>
              <w:left w:type="dxa" w:w="140"/>
              <w:bottom w:type="dxa" w:w="100"/>
              <w:right w:type="dxa" w:w="140"/>
            </w:tcMar>
            <w:vAlign w:val="center"/>
          </w:tcPr>
          <w:p>
            <w:pPr>
              <w:spacing w:after="30" w:before="30"/>
            </w:pPr>
            <w:r>
              <w:rPr>
                <w:rFonts w:ascii="Calibri" w:cs="Calibri" w:eastAsia="Calibri" w:hAnsi="Calibri"/>
                <w:sz w:val="18"/>
                <w:szCs w:val="18"/>
              </w:rPr>
              <w:t xml:space="preserve"/>
            </w:r>
          </w:p>
        </w:tc>
        <w:tc>
          <w:tcPr>
            <w:tcBorders>
              <w:top w:val="single" w:color="B4B4B4" w:sz="4"/>
              <w:left w:val="single" w:color="B4B4B4" w:sz="4"/>
              <w:bottom w:val="single" w:color="B4B4B4" w:sz="4"/>
              <w:right w:val="single" w:color="B4B4B4" w:sz="4"/>
            </w:tcBorders>
            <w:shd w:fill="0E3A6E" w:val="clear"/>
            <w:tcMar>
              <w:top w:type="dxa" w:w="100"/>
              <w:left w:type="dxa" w:w="140"/>
              <w:bottom w:type="dxa" w:w="100"/>
              <w:right w:type="dxa" w:w="140"/>
            </w:tcMar>
            <w:vAlign w:val="center"/>
          </w:tcPr>
          <w:p>
            <w:pPr>
              <w:spacing w:after="30" w:before="30"/>
            </w:pPr>
            <w:r>
              <w:rPr>
                <w:rFonts w:ascii="Calibri" w:cs="Calibri" w:eastAsia="Calibri" w:hAnsi="Calibri"/>
                <w:sz w:val="18"/>
                <w:szCs w:val="18"/>
              </w:rPr>
              <w:t xml:space="preserve"/>
            </w:r>
          </w:p>
        </w:tc>
        <w:tc>
          <w:tcPr>
            <w:tcBorders>
              <w:top w:val="single" w:color="B4B4B4" w:sz="4"/>
              <w:left w:val="single" w:color="B4B4B4" w:sz="4"/>
              <w:bottom w:val="single" w:color="B4B4B4" w:sz="4"/>
              <w:right w:val="single" w:color="B4B4B4" w:sz="4"/>
            </w:tcBorders>
            <w:shd w:fill="0E3A6E" w:val="clear"/>
            <w:tcMar>
              <w:top w:type="dxa" w:w="100"/>
              <w:left w:type="dxa" w:w="140"/>
              <w:bottom w:type="dxa" w:w="100"/>
              <w:right w:type="dxa" w:w="140"/>
            </w:tcMar>
            <w:vAlign w:val="center"/>
          </w:tcPr>
          <w:p>
            <w:pPr>
              <w:spacing w:after="30" w:before="30"/>
            </w:pPr>
            <w:r>
              <w:rPr>
                <w:rFonts w:ascii="Calibri" w:cs="Calibri" w:eastAsia="Calibri" w:hAnsi="Calibri"/>
                <w:sz w:val="18"/>
                <w:szCs w:val="18"/>
              </w:rPr>
              <w:t xml:space="preserve"/>
            </w:r>
          </w:p>
        </w:tc>
        <w:tc>
          <w:tcPr>
            <w:tcBorders>
              <w:top w:val="single" w:color="B4B4B4" w:sz="4"/>
              <w:left w:val="single" w:color="B4B4B4" w:sz="4"/>
              <w:bottom w:val="single" w:color="B4B4B4" w:sz="4"/>
              <w:right w:val="single" w:color="B4B4B4" w:sz="4"/>
            </w:tcBorders>
            <w:shd w:fill="0E3A6E" w:val="clear"/>
            <w:tcMar>
              <w:top w:type="dxa" w:w="100"/>
              <w:left w:type="dxa" w:w="140"/>
              <w:bottom w:type="dxa" w:w="100"/>
              <w:right w:type="dxa" w:w="140"/>
            </w:tcMar>
            <w:vAlign w:val="center"/>
          </w:tcPr>
          <w:p>
            <w:pPr>
              <w:spacing w:after="30" w:before="30"/>
              <w:jc w:val="center"/>
            </w:pPr>
            <w:r>
              <w:rPr>
                <w:rFonts w:ascii="Calibri" w:cs="Calibri" w:eastAsia="Calibri" w:hAnsi="Calibri"/>
                <w:b/>
                <w:bCs/>
                <w:color w:val="FFFFFF"/>
                <w:sz w:val="22"/>
                <w:szCs w:val="22"/>
              </w:rPr>
              <w:t xml:space="preserve">€3-15m ARR</w:t>
            </w:r>
          </w:p>
        </w:tc>
      </w:tr>
    </w:tbl>
    <w:p>
      <w:pPr>
        <w:spacing w:after="80" w:before="200"/>
      </w:pPr>
      <w:r>
        <w:rPr>
          <w:rFonts w:ascii="Calibri" w:cs="Calibri" w:eastAsia="Calibri" w:hAnsi="Calibri"/>
          <w:sz w:val="22"/>
          <w:szCs w:val="22"/>
        </w:rPr>
        <w:t xml:space="preserve">The Ireland-only steady-state TAM is bounded. The UK extension multiplies by approximately 10x. EU multi-jurisdiction (PT, ES, IT, DE — each with national EN annexes and national building codes) multiplies further. The capital strategy assumes Ireland-first market dominance, followed by UK expansion once Irish product-market fit is proven.</w:t>
      </w:r>
    </w:p>
    <w:p>
      <w:pPr>
        <w:pStyle w:val="Heading2"/>
        <w:spacing w:after="140" w:before="280"/>
      </w:pPr>
      <w:r>
        <w:rPr>
          <w:rFonts w:ascii="Calibri" w:cs="Calibri" w:eastAsia="Calibri" w:hAnsi="Calibri"/>
          <w:b/>
          <w:bCs/>
          <w:color w:val="1A1A1A"/>
          <w:sz w:val="26"/>
          <w:szCs w:val="26"/>
        </w:rPr>
        <w:t xml:space="preserve">3.4 Why the market exists today and not five years ago</w:t>
      </w:r>
    </w:p>
    <w:p>
      <w:pPr>
        <w:spacing w:after="80" w:before="80"/>
      </w:pPr>
      <w:r>
        <w:rPr>
          <w:rFonts w:ascii="Calibri" w:cs="Calibri" w:eastAsia="Calibri" w:hAnsi="Calibri"/>
          <w:sz w:val="22"/>
          <w:szCs w:val="22"/>
        </w:rPr>
        <w:t xml:space="preserve">Three structural shifts made this product viable now:</w:t>
      </w:r>
    </w:p>
    <w:p>
      <w:pPr>
        <w:pStyle w:val="ListParagraph"/>
        <w:numPr>
          <w:ilvl w:val="0"/>
          <w:numId w:val="3"/>
        </w:numPr>
        <w:spacing w:after="30" w:before="30"/>
      </w:pPr>
      <w:r>
        <w:rPr>
          <w:rFonts w:ascii="Calibri" w:cs="Calibri" w:eastAsia="Calibri" w:hAnsi="Calibri"/>
          <w:sz w:val="22"/>
          <w:szCs w:val="22"/>
        </w:rPr>
        <w:t xml:space="preserve">Generative AI inference cost dropped 30-50% per year between 2023 and 2026 and continues to drop. Per-check token costs of €1-€10 are now compatible with €100-€800 retail pricing at healthy gross margin. This was not true in 2022.</w:t>
      </w:r>
    </w:p>
    <w:p>
      <w:pPr>
        <w:pStyle w:val="ListParagraph"/>
        <w:numPr>
          <w:ilvl w:val="0"/>
          <w:numId w:val="3"/>
        </w:numPr>
        <w:spacing w:after="30" w:before="30"/>
      </w:pPr>
      <w:r>
        <w:rPr>
          <w:rFonts w:ascii="Calibri" w:cs="Calibri" w:eastAsia="Calibri" w:hAnsi="Calibri"/>
          <w:sz w:val="22"/>
          <w:szCs w:val="22"/>
        </w:rPr>
        <w:t xml:space="preserve">BCAR personal liability matured. The 2014 regime is now mature enough that the design-sector workforce understands the exposure and is actively buying mitigations.</w:t>
      </w:r>
    </w:p>
    <w:p>
      <w:pPr>
        <w:pStyle w:val="ListParagraph"/>
        <w:numPr>
          <w:ilvl w:val="0"/>
          <w:numId w:val="3"/>
        </w:numPr>
        <w:spacing w:after="30" w:before="30"/>
      </w:pPr>
      <w:r>
        <w:rPr>
          <w:rFonts w:ascii="Calibri" w:cs="Calibri" w:eastAsia="Calibri" w:hAnsi="Calibri"/>
          <w:sz w:val="22"/>
          <w:szCs w:val="22"/>
        </w:rPr>
        <w:t xml:space="preserve">PI premium pressure forced design practices to look at quality-assurance technology. Underwriters are now positively differentiating premiums for firms with stated QA processes.</w:t>
      </w:r>
    </w:p>
    <w:p>
      <w:r>
        <w:br w:type="page"/>
      </w:r>
    </w:p>
    <w:p>
      <w:pPr>
        <w:pStyle w:val="Heading1"/>
        <w:spacing w:after="200" w:before="400"/>
      </w:pPr>
      <w:r>
        <w:rPr>
          <w:rFonts w:ascii="Calibri" w:cs="Calibri" w:eastAsia="Calibri" w:hAnsi="Calibri"/>
          <w:b/>
          <w:bCs/>
          <w:color w:val="0E3A6E"/>
          <w:sz w:val="32"/>
          <w:szCs w:val="32"/>
        </w:rPr>
        <w:t xml:space="preserve">4. Evidence Base — 27 May 2026 Validation Engagement</w:t>
      </w:r>
    </w:p>
    <w:p>
      <w:pPr>
        <w:spacing w:after="80" w:before="80"/>
      </w:pPr>
      <w:r>
        <w:rPr>
          <w:rFonts w:ascii="Calibri" w:cs="Calibri" w:eastAsia="Calibri" w:hAnsi="Calibri"/>
          <w:sz w:val="22"/>
          <w:szCs w:val="22"/>
        </w:rPr>
        <w:t xml:space="preserve">The product hypothesis was validated against a real Stage 2C tender pack on 27 May 2026. One operator, supported by AI tooling, processed the following pack within a single working day:</w:t>
      </w:r>
    </w:p>
    <w:p>
      <w:pPr>
        <w:pStyle w:val="ListParagraph"/>
        <w:numPr>
          <w:ilvl w:val="0"/>
          <w:numId w:val="2"/>
        </w:numPr>
        <w:spacing w:after="30" w:before="30"/>
      </w:pPr>
      <w:r>
        <w:rPr>
          <w:rFonts w:ascii="Calibri" w:cs="Calibri" w:eastAsia="Calibri" w:hAnsi="Calibri"/>
          <w:sz w:val="22"/>
          <w:szCs w:val="22"/>
        </w:rPr>
        <w:t xml:space="preserve">161 PDF files across 4 discipline appendices (Architectural, Civil and Structural, Mechanical and Electrical, Fire Consultant) totalling approximately 123 MB.</w:t>
      </w:r>
    </w:p>
    <w:p>
      <w:pPr>
        <w:pStyle w:val="ListParagraph"/>
        <w:numPr>
          <w:ilvl w:val="0"/>
          <w:numId w:val="2"/>
        </w:numPr>
        <w:spacing w:after="30" w:before="30"/>
      </w:pPr>
      <w:r>
        <w:rPr>
          <w:rFonts w:ascii="Calibri" w:cs="Calibri" w:eastAsia="Calibri" w:hAnsi="Calibri"/>
          <w:sz w:val="22"/>
          <w:szCs w:val="22"/>
        </w:rPr>
        <w:t xml:space="preserve">4 discipline specifications, totalling approximately 560 pages.</w:t>
      </w:r>
    </w:p>
    <w:p>
      <w:pPr>
        <w:pStyle w:val="ListParagraph"/>
        <w:numPr>
          <w:ilvl w:val="0"/>
          <w:numId w:val="2"/>
        </w:numPr>
        <w:spacing w:after="30" w:before="30"/>
      </w:pPr>
      <w:r>
        <w:rPr>
          <w:rFonts w:ascii="Calibri" w:cs="Calibri" w:eastAsia="Calibri" w:hAnsi="Calibri"/>
          <w:sz w:val="22"/>
          <w:szCs w:val="22"/>
        </w:rPr>
        <w:t xml:space="preserve">3 supporting C&amp;S calculation spreadsheets (Bending Schedule, Surface Water Attenuation, Foundation Mesh Calculator).</w:t>
      </w:r>
    </w:p>
    <w:p>
      <w:pPr>
        <w:pStyle w:val="ListParagraph"/>
        <w:numPr>
          <w:ilvl w:val="0"/>
          <w:numId w:val="2"/>
        </w:numPr>
        <w:spacing w:after="30" w:before="30"/>
      </w:pPr>
      <w:r>
        <w:rPr>
          <w:rFonts w:ascii="Calibri" w:cs="Calibri" w:eastAsia="Calibri" w:hAnsi="Calibri"/>
          <w:sz w:val="22"/>
          <w:szCs w:val="22"/>
        </w:rPr>
        <w:t xml:space="preserve">One ORS Fire Part B Compliance Report including the granted FSC and its 7 conditions.</w:t>
      </w:r>
    </w:p>
    <w:p>
      <w:pPr>
        <w:pStyle w:val="ListParagraph"/>
        <w:numPr>
          <w:ilvl w:val="0"/>
          <w:numId w:val="2"/>
        </w:numPr>
        <w:spacing w:after="30" w:before="30"/>
      </w:pPr>
      <w:r>
        <w:rPr>
          <w:rFonts w:ascii="Calibri" w:cs="Calibri" w:eastAsia="Calibri" w:hAnsi="Calibri"/>
          <w:sz w:val="22"/>
          <w:szCs w:val="22"/>
        </w:rPr>
        <w:t xml:space="preserve">Drawing registers and issue sheets for all four discipline packs.</w:t>
      </w:r>
    </w:p>
    <w:p>
      <w:pPr>
        <w:pStyle w:val="Heading2"/>
        <w:spacing w:after="140" w:before="280"/>
      </w:pPr>
      <w:r>
        <w:rPr>
          <w:rFonts w:ascii="Calibri" w:cs="Calibri" w:eastAsia="Calibri" w:hAnsi="Calibri"/>
          <w:b/>
          <w:bCs/>
          <w:color w:val="1A1A1A"/>
          <w:sz w:val="26"/>
          <w:szCs w:val="26"/>
        </w:rPr>
        <w:t xml:space="preserve">4.1 What the check surfaced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7546"/>
      </w:tblGrid>
      <w:tr>
        <w:trPr>
          <w:tblHeader/>
        </w:trPr>
        <w:tc>
          <w:tcPr>
            <w:tcW w:type="dxa" w:w="2200"/>
            <w:tcBorders>
              <w:top w:val="single" w:color="B4B4B4" w:sz="4"/>
              <w:left w:val="single" w:color="B4B4B4" w:sz="4"/>
              <w:bottom w:val="single" w:color="B4B4B4" w:sz="4"/>
              <w:right w:val="single" w:color="B4B4B4" w:sz="4"/>
            </w:tcBorders>
            <w:shd w:fill="0E3A6E" w:val="clear"/>
            <w:tcMar>
              <w:top w:type="dxa" w:w="100"/>
              <w:left w:type="dxa" w:w="140"/>
              <w:bottom w:type="dxa" w:w="100"/>
              <w:right w:type="dxa" w:w="140"/>
            </w:tcMar>
            <w:vAlign w:val="center"/>
          </w:tcPr>
          <w:p>
            <w:pPr>
              <w:spacing w:after="30" w:before="30"/>
            </w:pPr>
            <w:r>
              <w:rPr>
                <w:rFonts w:ascii="Calibri" w:cs="Calibri" w:eastAsia="Calibri" w:hAnsi="Calibri"/>
                <w:b/>
                <w:bCs/>
                <w:color w:val="FFFFFF"/>
                <w:sz w:val="20"/>
                <w:szCs w:val="20"/>
              </w:rPr>
              <w:t xml:space="preserve">Severity</w:t>
            </w:r>
          </w:p>
        </w:tc>
        <w:tc>
          <w:tcPr>
            <w:tcW w:type="dxa" w:w="7546"/>
            <w:tcBorders>
              <w:top w:val="single" w:color="B4B4B4" w:sz="4"/>
              <w:left w:val="single" w:color="B4B4B4" w:sz="4"/>
              <w:bottom w:val="single" w:color="B4B4B4" w:sz="4"/>
              <w:right w:val="single" w:color="B4B4B4" w:sz="4"/>
            </w:tcBorders>
            <w:shd w:fill="0E3A6E" w:val="clear"/>
            <w:tcMar>
              <w:top w:type="dxa" w:w="100"/>
              <w:left w:type="dxa" w:w="140"/>
              <w:bottom w:type="dxa" w:w="100"/>
              <w:right w:type="dxa" w:w="140"/>
            </w:tcMar>
            <w:vAlign w:val="center"/>
          </w:tcPr>
          <w:p>
            <w:pPr>
              <w:spacing w:after="30" w:before="30"/>
            </w:pPr>
            <w:r>
              <w:rPr>
                <w:rFonts w:ascii="Calibri" w:cs="Calibri" w:eastAsia="Calibri" w:hAnsi="Calibri"/>
                <w:b/>
                <w:bCs/>
                <w:color w:val="FFFFFF"/>
                <w:sz w:val="20"/>
                <w:szCs w:val="20"/>
              </w:rPr>
              <w:t xml:space="preserve">Findings logged</w:t>
            </w:r>
          </w:p>
        </w:tc>
      </w:tr>
      <w:tr>
        <w:tc>
          <w:tcPr>
            <w:tcW w:type="dxa" w:w="2200"/>
            <w:tcBorders>
              <w:top w:val="single" w:color="B4B4B4" w:sz="4"/>
              <w:left w:val="single" w:color="B4B4B4" w:sz="4"/>
              <w:bottom w:val="single" w:color="B4B4B4" w:sz="4"/>
              <w:right w:val="single" w:color="B4B4B4" w:sz="4"/>
            </w:tcBorders>
            <w:shd w:fill="F8D7DA" w:val="clear"/>
            <w:tcMar>
              <w:top w:type="dxa" w:w="100"/>
              <w:left w:type="dxa" w:w="140"/>
              <w:bottom w:type="dxa" w:w="100"/>
              <w:right w:type="dxa" w:w="140"/>
            </w:tcMar>
            <w:vAlign w:val="center"/>
          </w:tcPr>
          <w:p>
            <w:pPr>
              <w:spacing w:after="30" w:before="30"/>
              <w:jc w:val="center"/>
            </w:pPr>
            <w:r>
              <w:rPr>
                <w:rFonts w:ascii="Calibri" w:cs="Calibri" w:eastAsia="Calibri" w:hAnsi="Calibri"/>
                <w:b/>
                <w:bCs/>
                <w:color w:val="B00020"/>
                <w:sz w:val="20"/>
                <w:szCs w:val="20"/>
              </w:rPr>
              <w:t xml:space="preserve">CRITICAL</w:t>
            </w:r>
          </w:p>
        </w:tc>
        <w:tc>
          <w:tcPr>
            <w:tcW w:type="dxa" w:w="7546"/>
            <w:tcBorders>
              <w:top w:val="single" w:color="B4B4B4" w:sz="4"/>
              <w:left w:val="single" w:color="B4B4B4" w:sz="4"/>
              <w:bottom w:val="single" w:color="B4B4B4" w:sz="4"/>
              <w:right w:val="single" w:color="B4B4B4" w:sz="4"/>
            </w:tcBorders>
            <w:tcMar>
              <w:top w:type="dxa" w:w="100"/>
              <w:left w:type="dxa" w:w="140"/>
              <w:bottom w:type="dxa" w:w="100"/>
              <w:right w:type="dxa" w:w="140"/>
            </w:tcMar>
            <w:vAlign w:val="center"/>
          </w:tcPr>
          <w:p>
            <w:pPr>
              <w:spacing w:after="30" w:before="30"/>
              <w:jc w:val="center"/>
            </w:pPr>
            <w:r>
              <w:rPr>
                <w:rFonts w:ascii="Calibri" w:cs="Calibri" w:eastAsia="Calibri" w:hAnsi="Calibri"/>
                <w:b/>
                <w:bCs/>
                <w:sz w:val="22"/>
                <w:szCs w:val="22"/>
              </w:rPr>
              <w:t xml:space="preserve">30</w:t>
            </w:r>
          </w:p>
        </w:tc>
      </w:tr>
      <w:tr>
        <w:tc>
          <w:tcPr>
            <w:tcW w:type="dxa" w:w="2200"/>
            <w:tcBorders>
              <w:top w:val="single" w:color="B4B4B4" w:sz="4"/>
              <w:left w:val="single" w:color="B4B4B4" w:sz="4"/>
              <w:bottom w:val="single" w:color="B4B4B4" w:sz="4"/>
              <w:right w:val="single" w:color="B4B4B4" w:sz="4"/>
            </w:tcBorders>
            <w:shd w:fill="FFE5B4" w:val="clear"/>
            <w:tcMar>
              <w:top w:type="dxa" w:w="100"/>
              <w:left w:type="dxa" w:w="140"/>
              <w:bottom w:type="dxa" w:w="100"/>
              <w:right w:type="dxa" w:w="140"/>
            </w:tcMar>
            <w:vAlign w:val="center"/>
          </w:tcPr>
          <w:p>
            <w:pPr>
              <w:spacing w:after="30" w:before="30"/>
              <w:jc w:val="center"/>
            </w:pPr>
            <w:r>
              <w:rPr>
                <w:rFonts w:ascii="Calibri" w:cs="Calibri" w:eastAsia="Calibri" w:hAnsi="Calibri"/>
                <w:b/>
                <w:bCs/>
                <w:color w:val="C75300"/>
                <w:sz w:val="20"/>
                <w:szCs w:val="20"/>
              </w:rPr>
              <w:t xml:space="preserve">HIGH</w:t>
            </w:r>
          </w:p>
        </w:tc>
        <w:tc>
          <w:tcPr>
            <w:tcW w:type="dxa" w:w="7546"/>
            <w:tcBorders>
              <w:top w:val="single" w:color="B4B4B4" w:sz="4"/>
              <w:left w:val="single" w:color="B4B4B4" w:sz="4"/>
              <w:bottom w:val="single" w:color="B4B4B4" w:sz="4"/>
              <w:right w:val="single" w:color="B4B4B4" w:sz="4"/>
            </w:tcBorders>
            <w:tcMar>
              <w:top w:type="dxa" w:w="100"/>
              <w:left w:type="dxa" w:w="140"/>
              <w:bottom w:type="dxa" w:w="100"/>
              <w:right w:type="dxa" w:w="140"/>
            </w:tcMar>
            <w:vAlign w:val="center"/>
          </w:tcPr>
          <w:p>
            <w:pPr>
              <w:spacing w:after="30" w:before="30"/>
              <w:jc w:val="center"/>
            </w:pPr>
            <w:r>
              <w:rPr>
                <w:rFonts w:ascii="Calibri" w:cs="Calibri" w:eastAsia="Calibri" w:hAnsi="Calibri"/>
                <w:b/>
                <w:bCs/>
                <w:sz w:val="22"/>
                <w:szCs w:val="22"/>
              </w:rPr>
              <w:t xml:space="preserve">144</w:t>
            </w:r>
          </w:p>
        </w:tc>
      </w:tr>
      <w:tr>
        <w:tc>
          <w:tcPr>
            <w:tcW w:type="dxa" w:w="2200"/>
            <w:tcBorders>
              <w:top w:val="single" w:color="B4B4B4" w:sz="4"/>
              <w:left w:val="single" w:color="B4B4B4" w:sz="4"/>
              <w:bottom w:val="single" w:color="B4B4B4" w:sz="4"/>
              <w:right w:val="single" w:color="B4B4B4" w:sz="4"/>
            </w:tcBorders>
            <w:shd w:fill="FFF4D6" w:val="clear"/>
            <w:tcMar>
              <w:top w:type="dxa" w:w="100"/>
              <w:left w:type="dxa" w:w="140"/>
              <w:bottom w:type="dxa" w:w="100"/>
              <w:right w:type="dxa" w:w="140"/>
            </w:tcMar>
            <w:vAlign w:val="center"/>
          </w:tcPr>
          <w:p>
            <w:pPr>
              <w:spacing w:after="30" w:before="30"/>
              <w:jc w:val="center"/>
            </w:pPr>
            <w:r>
              <w:rPr>
                <w:rFonts w:ascii="Calibri" w:cs="Calibri" w:eastAsia="Calibri" w:hAnsi="Calibri"/>
                <w:b/>
                <w:bCs/>
                <w:sz w:val="20"/>
                <w:szCs w:val="20"/>
              </w:rPr>
              <w:t xml:space="preserve">MEDIUM</w:t>
            </w:r>
          </w:p>
        </w:tc>
        <w:tc>
          <w:tcPr>
            <w:tcW w:type="dxa" w:w="7546"/>
            <w:tcBorders>
              <w:top w:val="single" w:color="B4B4B4" w:sz="4"/>
              <w:left w:val="single" w:color="B4B4B4" w:sz="4"/>
              <w:bottom w:val="single" w:color="B4B4B4" w:sz="4"/>
              <w:right w:val="single" w:color="B4B4B4" w:sz="4"/>
            </w:tcBorders>
            <w:tcMar>
              <w:top w:type="dxa" w:w="100"/>
              <w:left w:type="dxa" w:w="140"/>
              <w:bottom w:type="dxa" w:w="100"/>
              <w:right w:type="dxa" w:w="140"/>
            </w:tcMar>
            <w:vAlign w:val="center"/>
          </w:tcPr>
          <w:p>
            <w:pPr>
              <w:spacing w:after="30" w:before="30"/>
              <w:jc w:val="center"/>
            </w:pPr>
            <w:r>
              <w:rPr>
                <w:rFonts w:ascii="Calibri" w:cs="Calibri" w:eastAsia="Calibri" w:hAnsi="Calibri"/>
                <w:b/>
                <w:bCs/>
                <w:sz w:val="22"/>
                <w:szCs w:val="22"/>
              </w:rPr>
              <w:t xml:space="preserve">116</w:t>
            </w:r>
          </w:p>
        </w:tc>
      </w:tr>
      <w:tr>
        <w:tc>
          <w:tcPr>
            <w:tcW w:type="dxa" w:w="2200"/>
            <w:tcBorders>
              <w:top w:val="single" w:color="B4B4B4" w:sz="4"/>
              <w:left w:val="single" w:color="B4B4B4" w:sz="4"/>
              <w:bottom w:val="single" w:color="B4B4B4" w:sz="4"/>
              <w:right w:val="single" w:color="B4B4B4" w:sz="4"/>
            </w:tcBorders>
            <w:shd w:fill="E2F0D9" w:val="clear"/>
            <w:tcMar>
              <w:top w:type="dxa" w:w="100"/>
              <w:left w:type="dxa" w:w="140"/>
              <w:bottom w:type="dxa" w:w="100"/>
              <w:right w:type="dxa" w:w="140"/>
            </w:tcMar>
            <w:vAlign w:val="center"/>
          </w:tcPr>
          <w:p>
            <w:pPr>
              <w:spacing w:after="30" w:before="30"/>
              <w:jc w:val="center"/>
            </w:pPr>
            <w:r>
              <w:rPr>
                <w:rFonts w:ascii="Calibri" w:cs="Calibri" w:eastAsia="Calibri" w:hAnsi="Calibri"/>
                <w:b/>
                <w:bCs/>
                <w:sz w:val="20"/>
                <w:szCs w:val="20"/>
              </w:rPr>
              <w:t xml:space="preserve">LOW</w:t>
            </w:r>
          </w:p>
        </w:tc>
        <w:tc>
          <w:tcPr>
            <w:tcW w:type="dxa" w:w="7546"/>
            <w:tcBorders>
              <w:top w:val="single" w:color="B4B4B4" w:sz="4"/>
              <w:left w:val="single" w:color="B4B4B4" w:sz="4"/>
              <w:bottom w:val="single" w:color="B4B4B4" w:sz="4"/>
              <w:right w:val="single" w:color="B4B4B4" w:sz="4"/>
            </w:tcBorders>
            <w:tcMar>
              <w:top w:type="dxa" w:w="100"/>
              <w:left w:type="dxa" w:w="140"/>
              <w:bottom w:type="dxa" w:w="100"/>
              <w:right w:type="dxa" w:w="140"/>
            </w:tcMar>
            <w:vAlign w:val="center"/>
          </w:tcPr>
          <w:p>
            <w:pPr>
              <w:spacing w:after="30" w:before="30"/>
              <w:jc w:val="center"/>
            </w:pPr>
            <w:r>
              <w:rPr>
                <w:rFonts w:ascii="Calibri" w:cs="Calibri" w:eastAsia="Calibri" w:hAnsi="Calibri"/>
                <w:b/>
                <w:bCs/>
                <w:sz w:val="22"/>
                <w:szCs w:val="22"/>
              </w:rPr>
              <w:t xml:space="preserve">37</w:t>
            </w:r>
          </w:p>
        </w:tc>
      </w:tr>
      <w:tr>
        <w:tc>
          <w:tcPr>
            <w:tcW w:type="dxa" w:w="2200"/>
            <w:tcBorders>
              <w:top w:val="single" w:color="B4B4B4" w:sz="4"/>
              <w:left w:val="single" w:color="B4B4B4" w:sz="4"/>
              <w:bottom w:val="single" w:color="B4B4B4" w:sz="4"/>
              <w:right w:val="single" w:color="B4B4B4" w:sz="4"/>
            </w:tcBorders>
            <w:shd w:fill="0E3A6E" w:val="clear"/>
            <w:tcMar>
              <w:top w:type="dxa" w:w="100"/>
              <w:left w:type="dxa" w:w="140"/>
              <w:bottom w:type="dxa" w:w="100"/>
              <w:right w:type="dxa" w:w="140"/>
            </w:tcMar>
            <w:vAlign w:val="center"/>
          </w:tcPr>
          <w:p>
            <w:pPr>
              <w:spacing w:after="30" w:before="30"/>
              <w:jc w:val="center"/>
            </w:pPr>
            <w:r>
              <w:rPr>
                <w:rFonts w:ascii="Calibri" w:cs="Calibri" w:eastAsia="Calibri" w:hAnsi="Calibri"/>
                <w:b/>
                <w:bCs/>
                <w:color w:val="FFFFFF"/>
                <w:sz w:val="20"/>
                <w:szCs w:val="20"/>
              </w:rPr>
              <w:t xml:space="preserve">TOTAL findings</w:t>
            </w:r>
          </w:p>
        </w:tc>
        <w:tc>
          <w:tcPr>
            <w:tcW w:type="dxa" w:w="7546"/>
            <w:tcBorders>
              <w:top w:val="single" w:color="B4B4B4" w:sz="4"/>
              <w:left w:val="single" w:color="B4B4B4" w:sz="4"/>
              <w:bottom w:val="single" w:color="B4B4B4" w:sz="4"/>
              <w:right w:val="single" w:color="B4B4B4" w:sz="4"/>
            </w:tcBorders>
            <w:tcMar>
              <w:top w:type="dxa" w:w="100"/>
              <w:left w:type="dxa" w:w="140"/>
              <w:bottom w:type="dxa" w:w="100"/>
              <w:right w:type="dxa" w:w="140"/>
            </w:tcMar>
            <w:vAlign w:val="center"/>
          </w:tcPr>
          <w:p>
            <w:pPr>
              <w:spacing w:after="30" w:before="30"/>
              <w:jc w:val="center"/>
            </w:pPr>
            <w:r>
              <w:rPr>
                <w:rFonts w:ascii="Calibri" w:cs="Calibri" w:eastAsia="Calibri" w:hAnsi="Calibri"/>
                <w:b/>
                <w:bCs/>
                <w:sz w:val="26"/>
                <w:szCs w:val="26"/>
              </w:rPr>
              <w:t xml:space="preserve">327</w:t>
            </w:r>
          </w:p>
        </w:tc>
      </w:tr>
    </w:tbl>
    <w:p>
      <w:pPr>
        <w:pStyle w:val="Heading2"/>
        <w:spacing w:after="140" w:before="280"/>
      </w:pPr>
      <w:r>
        <w:rPr>
          <w:rFonts w:ascii="Calibri" w:cs="Calibri" w:eastAsia="Calibri" w:hAnsi="Calibri"/>
          <w:b/>
          <w:bCs/>
          <w:color w:val="1A1A1A"/>
          <w:sz w:val="26"/>
          <w:szCs w:val="26"/>
        </w:rPr>
        <w:t xml:space="preserve">4.2 Representative finding patterns</w:t>
      </w:r>
    </w:p>
    <w:p>
      <w:pPr>
        <w:pStyle w:val="Heading3"/>
        <w:spacing w:after="100" w:before="200"/>
      </w:pPr>
      <w:r>
        <w:rPr>
          <w:rFonts w:ascii="Calibri" w:cs="Calibri" w:eastAsia="Calibri" w:hAnsi="Calibri"/>
          <w:b/>
          <w:bCs/>
          <w:color w:val="0E3A6E"/>
          <w:sz w:val="22"/>
          <w:szCs w:val="22"/>
        </w:rPr>
        <w:t xml:space="preserve">Pattern 1 — Document substitution at issue</w:t>
      </w:r>
    </w:p>
    <w:p>
      <w:pPr>
        <w:spacing w:after="80" w:before="80"/>
      </w:pPr>
      <w:r>
        <w:rPr>
          <w:rFonts w:ascii="Calibri" w:cs="Calibri" w:eastAsia="Calibri" w:hAnsi="Calibri"/>
          <w:sz w:val="22"/>
          <w:szCs w:val="22"/>
        </w:rPr>
        <w:t xml:space="preserve">Two architectural schedule PDFs (Windows and External Doors AR-40002, Curtain Walls AR-40003) were issued with stair-section content rather than the schedules their filenames promised. Bidders could not have priced windows, external doors or curtain walls from these files. Estimated cost exposure if undetected: €150-300k of envelope works at variation rate.</w:t>
      </w:r>
    </w:p>
    <w:p>
      <w:pPr>
        <w:pStyle w:val="Heading3"/>
        <w:spacing w:after="100" w:before="200"/>
      </w:pPr>
      <w:r>
        <w:rPr>
          <w:rFonts w:ascii="Calibri" w:cs="Calibri" w:eastAsia="Calibri" w:hAnsi="Calibri"/>
          <w:b/>
          <w:bCs/>
          <w:color w:val="0E3A6E"/>
          <w:sz w:val="22"/>
          <w:szCs w:val="22"/>
        </w:rPr>
        <w:t xml:space="preserve">Pattern 2 — Standards-currency failure</w:t>
      </w:r>
    </w:p>
    <w:p>
      <w:pPr>
        <w:spacing w:after="80" w:before="80"/>
      </w:pPr>
      <w:r>
        <w:rPr>
          <w:rFonts w:ascii="Calibri" w:cs="Calibri" w:eastAsia="Calibri" w:hAnsi="Calibri"/>
          <w:sz w:val="22"/>
          <w:szCs w:val="22"/>
        </w:rPr>
        <w:t xml:space="preserve">Mechanical fire dampers specified to BS 476 Part 8:1972 (a withdrawn standard, replaced by harmonised IS EN 15650 under the Construction Products Regulation EU 305/2011). Electrical fire alarm specified to 'IS 3218: 2013' and 'IS 3218 — Latest Edition' where the granted FSC Condition 2 mandates compliance with IS 3218:2024 specifically. Electrical installation referenced to BS 7671 (UK) where I.S. 10101:2020+A1:2024 is the Irish standard. None of these would survive an Assigned Certifier review.</w:t>
      </w:r>
    </w:p>
    <w:p>
      <w:pPr>
        <w:pStyle w:val="Heading3"/>
        <w:spacing w:after="100" w:before="200"/>
      </w:pPr>
      <w:r>
        <w:rPr>
          <w:rFonts w:ascii="Calibri" w:cs="Calibri" w:eastAsia="Calibri" w:hAnsi="Calibri"/>
          <w:b/>
          <w:bCs/>
          <w:color w:val="0E3A6E"/>
          <w:sz w:val="22"/>
          <w:szCs w:val="22"/>
        </w:rPr>
        <w:t xml:space="preserve">Pattern 3 — Wrong-project cut-paste</w:t>
      </w:r>
    </w:p>
    <w:p>
      <w:pPr>
        <w:spacing w:after="80" w:before="80"/>
      </w:pPr>
      <w:r>
        <w:rPr>
          <w:rFonts w:ascii="Calibri" w:cs="Calibri" w:eastAsia="Calibri" w:hAnsi="Calibri"/>
          <w:sz w:val="22"/>
          <w:szCs w:val="22"/>
        </w:rPr>
        <w:t xml:space="preserve">Electrical specification Section 12.20 Lightning Protection describes 'School Type Building at Convent Hill, Ballina, Co. Mayo, 2 storeys, 11.0m high' — wrong project, wrong building type, wrong building height. Mechanical specification contains residential-gas language ('boiler house', 'twin wall pressurised flue', 'for each dwelling') in an all-heat-pump single-storey project. C&amp;S specification contains six pages of underpinning procedure for a project with no underpinning anywhere on drawings. Architectural specification references UK Approved Documents K and M, the UK Weeds Act, NJUG, UK supplier addresses (Rockwool Bridgend, IG Swadlincote, Velux Glenrothes, Bauder Ipswich) — the spec is an under-localised NBS Chorus UK library export.</w:t>
      </w:r>
    </w:p>
    <w:p>
      <w:pPr>
        <w:pStyle w:val="Heading3"/>
        <w:spacing w:after="100" w:before="200"/>
      </w:pPr>
      <w:r>
        <w:rPr>
          <w:rFonts w:ascii="Calibri" w:cs="Calibri" w:eastAsia="Calibri" w:hAnsi="Calibri"/>
          <w:b/>
          <w:bCs/>
          <w:color w:val="0E3A6E"/>
          <w:sz w:val="22"/>
          <w:szCs w:val="22"/>
        </w:rPr>
        <w:t xml:space="preserve">Pattern 4 — Internal inconsistency</w:t>
      </w:r>
    </w:p>
    <w:p>
      <w:pPr>
        <w:spacing w:after="80" w:before="80"/>
      </w:pPr>
      <w:r>
        <w:rPr>
          <w:rFonts w:ascii="Calibri" w:cs="Calibri" w:eastAsia="Calibri" w:hAnsi="Calibri"/>
          <w:sz w:val="22"/>
          <w:szCs w:val="22"/>
        </w:rPr>
        <w:t xml:space="preserve">Project descriptor varies across the discipline packs (M&amp;E pack says 'HSE HEALTH CARE CENTRE RATHBEALE ROAD', Architectural register says 'Rathbeale Rd Day Care', Fire report says '57 Rathbeale Road, Swords'). Issue dates vary across the discipline packs (Fire 31/03/2026, C&amp;S 08/05/2026, M&amp;E 13/05/2026). Architectural drawings show status code P08-S which is not a tender-issue suitability.</w:t>
      </w:r>
    </w:p>
    <w:p>
      <w:pPr>
        <w:pStyle w:val="Heading3"/>
        <w:spacing w:after="100" w:before="200"/>
      </w:pPr>
      <w:r>
        <w:rPr>
          <w:rFonts w:ascii="Calibri" w:cs="Calibri" w:eastAsia="Calibri" w:hAnsi="Calibri"/>
          <w:b/>
          <w:bCs/>
          <w:color w:val="0E3A6E"/>
          <w:sz w:val="22"/>
          <w:szCs w:val="22"/>
        </w:rPr>
        <w:t xml:space="preserve">Pattern 5 — BoQ defect</w:t>
      </w:r>
    </w:p>
    <w:p>
      <w:pPr>
        <w:spacing w:after="80" w:before="80"/>
      </w:pPr>
      <w:r>
        <w:rPr>
          <w:rFonts w:ascii="Calibri" w:cs="Calibri" w:eastAsia="Calibri" w:hAnsi="Calibri"/>
          <w:sz w:val="22"/>
          <w:szCs w:val="22"/>
        </w:rPr>
        <w:t xml:space="preserve">Electrical Bill of Quantities shows VAT at 21%. The correct Irish standard rate is 23%, applicable to construction services since 2024. The Bill of Quantities also contains phantom items including fibre runs to a 'non-existent school', 'GP Hall', 'classrooms', and duplicate lines for intruder and refuge alarm.</w:t>
      </w:r>
    </w:p>
    <w:p>
      <w:pPr>
        <w:pStyle w:val="Heading2"/>
        <w:spacing w:after="140" w:before="280"/>
      </w:pPr>
      <w:r>
        <w:rPr>
          <w:rFonts w:ascii="Calibri" w:cs="Calibri" w:eastAsia="Calibri" w:hAnsi="Calibri"/>
          <w:b/>
          <w:bCs/>
          <w:color w:val="1A1A1A"/>
          <w:sz w:val="26"/>
          <w:szCs w:val="26"/>
        </w:rPr>
        <w:t xml:space="preserve">4.3 Operator-to-output ratio</w:t>
      </w:r>
    </w:p>
    <w:p>
      <w:pPr>
        <w:spacing w:after="80" w:before="80"/>
      </w:pPr>
      <w:r>
        <w:rPr>
          <w:rFonts w:ascii="Calibri" w:cs="Calibri" w:eastAsia="Calibri" w:hAnsi="Calibri"/>
          <w:sz w:val="22"/>
          <w:szCs w:val="22"/>
        </w:rPr>
        <w:t xml:space="preserve">One operator, one working day, 327 findings. By comparison, an independent peer review by a senior chartered professional at €1,500-€2,000 per day would take five to ten working days to surface a comparable density of findings; the human reviewer would find higher-confidence findings on a smaller subset of the pack, while the VerifIQ approach finds a larger surface area of indicative issues for the user to verify. The two approaches are complementary, not substitutes. VerifIQ is the first pass; the human review (if commissioned) is the depth pass.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D49B00" w:sz="16"/>
              <w:left w:val="single" w:color="D49B00" w:sz="16"/>
              <w:bottom w:val="single" w:color="D49B00" w:sz="4"/>
              <w:right w:val="single" w:color="D49B00" w:sz="4"/>
            </w:tcBorders>
            <w:shd w:fill="FFF4D6" w:val="clear"/>
            <w:tcMar>
              <w:top w:type="dxa" w:w="160"/>
              <w:left w:type="dxa" w:w="200"/>
              <w:bottom w:type="dxa" w:w="160"/>
              <w:right w:type="dxa" w:w="200"/>
            </w:tcMar>
          </w:tcPr>
          <w:p>
            <w:pPr>
              <w:spacing w:after="80" w:before="0"/>
            </w:pPr>
            <w:r>
              <w:rPr>
                <w:rFonts w:ascii="Calibri" w:cs="Calibri" w:eastAsia="Calibri" w:hAnsi="Calibri"/>
                <w:b/>
                <w:bCs/>
                <w:color w:val="1A1A1A"/>
                <w:sz w:val="22"/>
                <w:szCs w:val="22"/>
              </w:rPr>
              <w:t xml:space="preserve">Why this matters for the business plan</w:t>
            </w:r>
          </w:p>
          <w:p>
            <w:pPr>
              <w:spacing w:after="40" w:before="40"/>
            </w:pPr>
            <w:r>
              <w:rPr>
                <w:rFonts w:ascii="Calibri" w:cs="Calibri" w:eastAsia="Calibri" w:hAnsi="Calibri"/>
                <w:sz w:val="20"/>
                <w:szCs w:val="20"/>
              </w:rPr>
              <w:t xml:space="preserve">The validation engagement was not a marketing demo. It was a working review of a real Stage 2C tender pack scheduled for issue.</w:t>
            </w:r>
          </w:p>
          <w:p>
            <w:pPr>
              <w:spacing w:after="40" w:before="40"/>
            </w:pPr>
            <w:r>
              <w:rPr>
                <w:rFonts w:ascii="Calibri" w:cs="Calibri" w:eastAsia="Calibri" w:hAnsi="Calibri"/>
                <w:sz w:val="20"/>
                <w:szCs w:val="20"/>
              </w:rPr>
              <w:t xml:space="preserve">Every finding cited above has a verbatim source quote, source PDF page reference and standard citation in the underlying Excel register.</w:t>
            </w:r>
          </w:p>
          <w:p>
            <w:pPr>
              <w:spacing w:after="40" w:before="40"/>
            </w:pPr>
            <w:r>
              <w:rPr>
                <w:rFonts w:ascii="Calibri" w:cs="Calibri" w:eastAsia="Calibri" w:hAnsi="Calibri"/>
                <w:sz w:val="20"/>
                <w:szCs w:val="20"/>
              </w:rPr>
              <w:t xml:space="preserve">The output is the strongest single sales asset VerifIQ can produce: it demonstrates the value proposition with primary evidence rather than slideware.</w:t>
            </w:r>
          </w:p>
          <w:p>
            <w:pPr>
              <w:spacing w:after="40" w:before="40"/>
            </w:pPr>
            <w:r>
              <w:rPr>
                <w:rFonts w:ascii="Calibri" w:cs="Calibri" w:eastAsia="Calibri" w:hAnsi="Calibri"/>
                <w:sz w:val="20"/>
                <w:szCs w:val="20"/>
              </w:rPr>
              <w:t xml:space="preserve">The next step is to (a) obtain permission to use an anonymised version of the output as a public case study and (b) reproduce the workflow on a second, third and fourth pack to validate consistency.</w:t>
            </w:r>
          </w:p>
        </w:tc>
      </w:tr>
    </w:tbl>
    <w:p>
      <w:r>
        <w:br w:type="page"/>
      </w:r>
    </w:p>
    <w:p>
      <w:pPr>
        <w:pStyle w:val="Heading1"/>
        <w:spacing w:after="200" w:before="400"/>
      </w:pPr>
      <w:r>
        <w:rPr>
          <w:rFonts w:ascii="Calibri" w:cs="Calibri" w:eastAsia="Calibri" w:hAnsi="Calibri"/>
          <w:b/>
          <w:bCs/>
          <w:color w:val="0E3A6E"/>
          <w:sz w:val="32"/>
          <w:szCs w:val="32"/>
        </w:rPr>
        <w:t xml:space="preserve">5. Business Model</w:t>
      </w:r>
    </w:p>
    <w:p>
      <w:pPr>
        <w:pStyle w:val="Heading2"/>
        <w:spacing w:after="140" w:before="280"/>
      </w:pPr>
      <w:r>
        <w:rPr>
          <w:rFonts w:ascii="Calibri" w:cs="Calibri" w:eastAsia="Calibri" w:hAnsi="Calibri"/>
          <w:b/>
          <w:bCs/>
          <w:color w:val="1A1A1A"/>
          <w:sz w:val="26"/>
          <w:szCs w:val="26"/>
        </w:rPr>
        <w:t xml:space="preserve">5.1 SaaS-native, no professional service</w:t>
      </w:r>
    </w:p>
    <w:p>
      <w:pPr>
        <w:spacing w:after="80" w:before="80"/>
      </w:pPr>
      <w:r>
        <w:rPr>
          <w:rFonts w:ascii="Calibri" w:cs="Calibri" w:eastAsia="Calibri" w:hAnsi="Calibri"/>
          <w:sz w:val="22"/>
          <w:szCs w:val="22"/>
        </w:rPr>
        <w:t xml:space="preserve">VerifIQ launches as a SaaS application. There is no professional service tier, no chartered review service, no consulting service, no PI-bearing offering. The product is operated entirely as software-as-a-service with terms of use that disclaim every form of professional reliance, fitness for purpose, regulatory compliance and reliance on outputs.</w:t>
      </w:r>
    </w:p>
    <w:p>
      <w:pPr>
        <w:spacing w:after="80" w:before="80"/>
      </w:pPr>
      <w:r>
        <w:rPr>
          <w:rFonts w:ascii="Calibri" w:cs="Calibri" w:eastAsia="Calibri" w:hAnsi="Calibri"/>
          <w:sz w:val="22"/>
          <w:szCs w:val="22"/>
        </w:rPr>
        <w:t xml:space="preserve">This is a deliberate strategic choice and is the central distinction between VerifIQ and a service-based competitor. The implications:</w:t>
      </w:r>
    </w:p>
    <w:p>
      <w:pPr>
        <w:pStyle w:val="ListParagraph"/>
        <w:numPr>
          <w:ilvl w:val="0"/>
          <w:numId w:val="2"/>
        </w:numPr>
        <w:spacing w:after="30" w:before="30"/>
      </w:pPr>
      <w:r>
        <w:rPr>
          <w:rFonts w:ascii="Calibri" w:cs="Calibri" w:eastAsia="Calibri" w:hAnsi="Calibri"/>
          <w:sz w:val="22"/>
          <w:szCs w:val="22"/>
        </w:rPr>
        <w:t xml:space="preserve">No PI insurance requirement, eliminating €15-40k/year overhead at launch.</w:t>
      </w:r>
    </w:p>
    <w:p>
      <w:pPr>
        <w:pStyle w:val="ListParagraph"/>
        <w:numPr>
          <w:ilvl w:val="0"/>
          <w:numId w:val="2"/>
        </w:numPr>
        <w:spacing w:after="30" w:before="30"/>
      </w:pPr>
      <w:r>
        <w:rPr>
          <w:rFonts w:ascii="Calibri" w:cs="Calibri" w:eastAsia="Calibri" w:hAnsi="Calibri"/>
          <w:sz w:val="22"/>
          <w:szCs w:val="22"/>
        </w:rPr>
        <w:t xml:space="preserve">No chartered designation requirement, removing the 6-discipline reviewer-panel bottleneck.</w:t>
      </w:r>
    </w:p>
    <w:p>
      <w:pPr>
        <w:pStyle w:val="ListParagraph"/>
        <w:numPr>
          <w:ilvl w:val="0"/>
          <w:numId w:val="2"/>
        </w:numPr>
        <w:spacing w:after="30" w:before="30"/>
      </w:pPr>
      <w:r>
        <w:rPr>
          <w:rFonts w:ascii="Calibri" w:cs="Calibri" w:eastAsia="Calibri" w:hAnsi="Calibri"/>
          <w:sz w:val="22"/>
          <w:szCs w:val="22"/>
        </w:rPr>
        <w:t xml:space="preserve">Pricing is software-priced, not professional-service-priced — lower absolute price per use, much higher volume.</w:t>
      </w:r>
    </w:p>
    <w:p>
      <w:pPr>
        <w:pStyle w:val="ListParagraph"/>
        <w:numPr>
          <w:ilvl w:val="0"/>
          <w:numId w:val="2"/>
        </w:numPr>
        <w:spacing w:after="30" w:before="30"/>
      </w:pPr>
      <w:r>
        <w:rPr>
          <w:rFonts w:ascii="Calibri" w:cs="Calibri" w:eastAsia="Calibri" w:hAnsi="Calibri"/>
          <w:sz w:val="22"/>
          <w:szCs w:val="22"/>
        </w:rPr>
        <w:t xml:space="preserve">Buyer doesn't trust the tool; buyer uses the tool and trusts their own verification. The product never claims a professional opinion.</w:t>
      </w:r>
    </w:p>
    <w:p>
      <w:pPr>
        <w:pStyle w:val="ListParagraph"/>
        <w:numPr>
          <w:ilvl w:val="0"/>
          <w:numId w:val="2"/>
        </w:numPr>
        <w:spacing w:after="30" w:before="30"/>
      </w:pPr>
      <w:r>
        <w:rPr>
          <w:rFonts w:ascii="Calibri" w:cs="Calibri" w:eastAsia="Calibri" w:hAnsi="Calibri"/>
          <w:sz w:val="22"/>
          <w:szCs w:val="22"/>
        </w:rPr>
        <w:t xml:space="preserve">Liability sits with the user under standard SaaS Terms of Use, not with VerifIQ under a professional engagement.</w:t>
      </w:r>
    </w:p>
    <w:p>
      <w:pPr>
        <w:pStyle w:val="ListParagraph"/>
        <w:numPr>
          <w:ilvl w:val="0"/>
          <w:numId w:val="2"/>
        </w:numPr>
        <w:spacing w:after="30" w:before="30"/>
      </w:pPr>
      <w:r>
        <w:rPr>
          <w:rFonts w:ascii="Calibri" w:cs="Calibri" w:eastAsia="Calibri" w:hAnsi="Calibri"/>
          <w:sz w:val="22"/>
          <w:szCs w:val="22"/>
        </w:rPr>
        <w:t xml:space="preserve">Scaling is software-scaling, not service-scaling. Marginal cost of additional check is inference cost, not professional time.</w:t>
      </w:r>
    </w:p>
    <w:p>
      <w:pPr>
        <w:pStyle w:val="Heading2"/>
        <w:spacing w:after="140" w:before="280"/>
      </w:pPr>
      <w:r>
        <w:rPr>
          <w:rFonts w:ascii="Calibri" w:cs="Calibri" w:eastAsia="Calibri" w:hAnsi="Calibri"/>
          <w:b/>
          <w:bCs/>
          <w:color w:val="1A1A1A"/>
          <w:sz w:val="26"/>
          <w:szCs w:val="26"/>
        </w:rPr>
        <w:t xml:space="preserve">5.2 Pricing model</w:t>
      </w:r>
    </w:p>
    <w:p>
      <w:pPr>
        <w:pStyle w:val="Heading3"/>
        <w:spacing w:after="100" w:before="200"/>
      </w:pPr>
      <w:r>
        <w:rPr>
          <w:rFonts w:ascii="Calibri" w:cs="Calibri" w:eastAsia="Calibri" w:hAnsi="Calibri"/>
          <w:b/>
          <w:bCs/>
          <w:color w:val="0E3A6E"/>
          <w:sz w:val="22"/>
          <w:szCs w:val="22"/>
        </w:rPr>
        <w:t xml:space="preserve">Two-tier model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500"/>
        <w:gridCol w:w="3123"/>
        <w:gridCol w:w="3123"/>
      </w:tblGrid>
      <w:tr>
        <w:trPr>
          <w:tblHeader/>
        </w:trPr>
        <w:tc>
          <w:tcPr>
            <w:tcW w:type="dxa" w:w="3500"/>
            <w:tcBorders>
              <w:top w:val="single" w:color="B4B4B4" w:sz="4"/>
              <w:left w:val="single" w:color="B4B4B4" w:sz="4"/>
              <w:bottom w:val="single" w:color="B4B4B4" w:sz="4"/>
              <w:right w:val="single" w:color="B4B4B4" w:sz="4"/>
            </w:tcBorders>
            <w:shd w:fill="0E3A6E" w:val="clear"/>
            <w:tcMar>
              <w:top w:type="dxa" w:w="100"/>
              <w:left w:type="dxa" w:w="140"/>
              <w:bottom w:type="dxa" w:w="100"/>
              <w:right w:type="dxa" w:w="140"/>
            </w:tcMar>
            <w:vAlign w:val="center"/>
          </w:tcPr>
          <w:p>
            <w:pPr>
              <w:spacing w:after="30" w:before="30"/>
            </w:pPr>
            <w:r>
              <w:rPr>
                <w:rFonts w:ascii="Calibri" w:cs="Calibri" w:eastAsia="Calibri" w:hAnsi="Calibri"/>
                <w:b/>
                <w:bCs/>
                <w:color w:val="FFFFFF"/>
                <w:sz w:val="20"/>
                <w:szCs w:val="20"/>
              </w:rPr>
              <w:t xml:space="preserve"/>
            </w:r>
          </w:p>
        </w:tc>
        <w:tc>
          <w:tcPr>
            <w:tcW w:type="dxa" w:w="3123"/>
            <w:tcBorders>
              <w:top w:val="single" w:color="B4B4B4" w:sz="4"/>
              <w:left w:val="single" w:color="B4B4B4" w:sz="4"/>
              <w:bottom w:val="single" w:color="B4B4B4" w:sz="4"/>
              <w:right w:val="single" w:color="B4B4B4" w:sz="4"/>
            </w:tcBorders>
            <w:shd w:fill="0E3A6E" w:val="clear"/>
            <w:tcMar>
              <w:top w:type="dxa" w:w="100"/>
              <w:left w:type="dxa" w:w="140"/>
              <w:bottom w:type="dxa" w:w="100"/>
              <w:right w:type="dxa" w:w="140"/>
            </w:tcMar>
            <w:vAlign w:val="center"/>
          </w:tcPr>
          <w:p>
            <w:pPr>
              <w:spacing w:after="30" w:before="30"/>
            </w:pPr>
            <w:r>
              <w:rPr>
                <w:rFonts w:ascii="Calibri" w:cs="Calibri" w:eastAsia="Calibri" w:hAnsi="Calibri"/>
                <w:b/>
                <w:bCs/>
                <w:color w:val="FFFFFF"/>
                <w:sz w:val="20"/>
                <w:szCs w:val="20"/>
              </w:rPr>
              <w:t xml:space="preserve">Per-Check (pay-as-you-go)</w:t>
            </w:r>
          </w:p>
        </w:tc>
        <w:tc>
          <w:tcPr>
            <w:tcW w:type="dxa" w:w="3123"/>
            <w:tcBorders>
              <w:top w:val="single" w:color="B4B4B4" w:sz="4"/>
              <w:left w:val="single" w:color="B4B4B4" w:sz="4"/>
              <w:bottom w:val="single" w:color="B4B4B4" w:sz="4"/>
              <w:right w:val="single" w:color="B4B4B4" w:sz="4"/>
            </w:tcBorders>
            <w:shd w:fill="0E3A6E" w:val="clear"/>
            <w:tcMar>
              <w:top w:type="dxa" w:w="100"/>
              <w:left w:type="dxa" w:w="140"/>
              <w:bottom w:type="dxa" w:w="100"/>
              <w:right w:type="dxa" w:w="140"/>
            </w:tcMar>
            <w:vAlign w:val="center"/>
          </w:tcPr>
          <w:p>
            <w:pPr>
              <w:spacing w:after="30" w:before="30"/>
            </w:pPr>
            <w:r>
              <w:rPr>
                <w:rFonts w:ascii="Calibri" w:cs="Calibri" w:eastAsia="Calibri" w:hAnsi="Calibri"/>
                <w:b/>
                <w:bCs/>
                <w:color w:val="FFFFFF"/>
                <w:sz w:val="20"/>
                <w:szCs w:val="20"/>
              </w:rPr>
              <w:t xml:space="preserve">Subscription (recurring)</w:t>
            </w:r>
          </w:p>
        </w:tc>
      </w:tr>
      <w:tr>
        <w:tc>
          <w:tcPr>
            <w:tcW w:type="dxa" w:w="3500"/>
            <w:tcBorders>
              <w:top w:val="single" w:color="B4B4B4" w:sz="4"/>
              <w:left w:val="single" w:color="B4B4B4" w:sz="4"/>
              <w:bottom w:val="single" w:color="B4B4B4" w:sz="4"/>
              <w:right w:val="single" w:color="B4B4B4" w:sz="4"/>
            </w:tcBorders>
            <w:shd w:fill="F4F6F8" w:val="clear"/>
            <w:tcMar>
              <w:top w:type="dxa" w:w="100"/>
              <w:left w:type="dxa" w:w="140"/>
              <w:bottom w:type="dxa" w:w="100"/>
              <w:right w:type="dxa" w:w="140"/>
            </w:tcMar>
            <w:vAlign w:val="center"/>
          </w:tcPr>
          <w:p>
            <w:pPr>
              <w:spacing w:after="30" w:before="30"/>
            </w:pPr>
            <w:r>
              <w:rPr>
                <w:rFonts w:ascii="Calibri" w:cs="Calibri" w:eastAsia="Calibri" w:hAnsi="Calibri"/>
                <w:b/>
                <w:bCs/>
                <w:sz w:val="20"/>
                <w:szCs w:val="20"/>
              </w:rPr>
              <w:t xml:space="preserve">Buyer type</w:t>
            </w:r>
          </w:p>
        </w:tc>
        <w:tc>
          <w:tcPr>
            <w:tcW w:type="dxa" w:w="3123"/>
            <w:tcBorders>
              <w:top w:val="single" w:color="B4B4B4" w:sz="4"/>
              <w:left w:val="single" w:color="B4B4B4" w:sz="4"/>
              <w:bottom w:val="single" w:color="B4B4B4" w:sz="4"/>
              <w:right w:val="single" w:color="B4B4B4" w:sz="4"/>
            </w:tcBorders>
            <w:tcMar>
              <w:top w:type="dxa" w:w="100"/>
              <w:left w:type="dxa" w:w="140"/>
              <w:bottom w:type="dxa" w:w="100"/>
              <w:right w:type="dxa" w:w="140"/>
            </w:tcMar>
            <w:vAlign w:val="center"/>
          </w:tcPr>
          <w:p>
            <w:pPr>
              <w:spacing w:after="30" w:before="30"/>
            </w:pPr>
            <w:r>
              <w:rPr>
                <w:rFonts w:ascii="Calibri" w:cs="Calibri" w:eastAsia="Calibri" w:hAnsi="Calibri"/>
                <w:sz w:val="18"/>
                <w:szCs w:val="18"/>
              </w:rPr>
              <w:t xml:space="preserve">Occasional users, single-project firms, contractors checking individual tender packs</w:t>
            </w:r>
          </w:p>
        </w:tc>
        <w:tc>
          <w:tcPr>
            <w:tcW w:type="dxa" w:w="3123"/>
            <w:tcBorders>
              <w:top w:val="single" w:color="B4B4B4" w:sz="4"/>
              <w:left w:val="single" w:color="B4B4B4" w:sz="4"/>
              <w:bottom w:val="single" w:color="B4B4B4" w:sz="4"/>
              <w:right w:val="single" w:color="B4B4B4" w:sz="4"/>
            </w:tcBorders>
            <w:tcMar>
              <w:top w:type="dxa" w:w="100"/>
              <w:left w:type="dxa" w:w="140"/>
              <w:bottom w:type="dxa" w:w="100"/>
              <w:right w:type="dxa" w:w="140"/>
            </w:tcMar>
            <w:vAlign w:val="center"/>
          </w:tcPr>
          <w:p>
            <w:pPr>
              <w:spacing w:after="30" w:before="30"/>
            </w:pPr>
            <w:r>
              <w:rPr>
                <w:rFonts w:ascii="Calibri" w:cs="Calibri" w:eastAsia="Calibri" w:hAnsi="Calibri"/>
                <w:sz w:val="18"/>
                <w:szCs w:val="18"/>
              </w:rPr>
              <w:t xml:space="preserve">Design practices, contractors with continuous pipeline, Employer-side capital programmes</w:t>
            </w:r>
          </w:p>
        </w:tc>
      </w:tr>
      <w:tr>
        <w:tc>
          <w:tcPr>
            <w:tcBorders>
              <w:top w:val="single" w:color="B4B4B4" w:sz="4"/>
              <w:left w:val="single" w:color="B4B4B4" w:sz="4"/>
              <w:bottom w:val="single" w:color="B4B4B4" w:sz="4"/>
              <w:right w:val="single" w:color="B4B4B4" w:sz="4"/>
            </w:tcBorders>
            <w:tcMar>
              <w:top w:type="dxa" w:w="100"/>
              <w:left w:type="dxa" w:w="140"/>
              <w:bottom w:type="dxa" w:w="100"/>
              <w:right w:type="dxa" w:w="140"/>
            </w:tcMar>
            <w:vAlign w:val="center"/>
          </w:tcPr>
          <w:p>
            <w:pPr>
              <w:spacing w:after="30" w:before="30"/>
            </w:pPr>
            <w:r>
              <w:rPr>
                <w:rFonts w:ascii="Calibri" w:cs="Calibri" w:eastAsia="Calibri" w:hAnsi="Calibri"/>
                <w:b/>
                <w:bCs/>
                <w:sz w:val="20"/>
                <w:szCs w:val="20"/>
              </w:rPr>
              <w:t xml:space="preserve">Tier 1 — Small pack (&lt; 50 MB / &lt; 200 pages)</w:t>
            </w:r>
          </w:p>
        </w:tc>
        <w:tc>
          <w:tcPr>
            <w:tcBorders>
              <w:top w:val="single" w:color="B4B4B4" w:sz="4"/>
              <w:left w:val="single" w:color="B4B4B4" w:sz="4"/>
              <w:bottom w:val="single" w:color="B4B4B4" w:sz="4"/>
              <w:right w:val="single" w:color="B4B4B4" w:sz="4"/>
            </w:tcBorders>
            <w:tcMar>
              <w:top w:type="dxa" w:w="100"/>
              <w:left w:type="dxa" w:w="140"/>
              <w:bottom w:type="dxa" w:w="100"/>
              <w:right w:type="dxa" w:w="140"/>
            </w:tcMar>
            <w:vAlign w:val="center"/>
          </w:tcPr>
          <w:p>
            <w:pPr>
              <w:spacing w:after="30" w:before="30"/>
              <w:jc w:val="center"/>
            </w:pPr>
            <w:r>
              <w:rPr>
                <w:rFonts w:ascii="Calibri" w:cs="Calibri" w:eastAsia="Calibri" w:hAnsi="Calibri"/>
                <w:b/>
                <w:bCs/>
                <w:color w:val="0E3A6E"/>
                <w:sz w:val="20"/>
                <w:szCs w:val="20"/>
              </w:rPr>
              <w:t xml:space="preserve">€150 per check</w:t>
            </w:r>
          </w:p>
        </w:tc>
        <w:tc>
          <w:tcPr>
            <w:tcBorders>
              <w:top w:val="single" w:color="B4B4B4" w:sz="4"/>
              <w:left w:val="single" w:color="B4B4B4" w:sz="4"/>
              <w:bottom w:val="single" w:color="B4B4B4" w:sz="4"/>
              <w:right w:val="single" w:color="B4B4B4" w:sz="4"/>
            </w:tcBorders>
            <w:tcMar>
              <w:top w:type="dxa" w:w="100"/>
              <w:left w:type="dxa" w:w="140"/>
              <w:bottom w:type="dxa" w:w="100"/>
              <w:right w:type="dxa" w:w="140"/>
            </w:tcMar>
            <w:vAlign w:val="center"/>
          </w:tcPr>
          <w:p>
            <w:pPr>
              <w:spacing w:after="30" w:before="30"/>
              <w:jc w:val="center"/>
            </w:pPr>
            <w:r>
              <w:rPr>
                <w:rFonts w:ascii="Calibri" w:cs="Calibri" w:eastAsia="Calibri" w:hAnsi="Calibri"/>
                <w:sz w:val="18"/>
                <w:szCs w:val="18"/>
              </w:rPr>
              <w:t xml:space="preserve">Starter — €1,200/yr — up to 12 small checks</w:t>
            </w:r>
          </w:p>
        </w:tc>
      </w:tr>
      <w:tr>
        <w:tc>
          <w:tcPr>
            <w:tcBorders>
              <w:top w:val="single" w:color="B4B4B4" w:sz="4"/>
              <w:left w:val="single" w:color="B4B4B4" w:sz="4"/>
              <w:bottom w:val="single" w:color="B4B4B4" w:sz="4"/>
              <w:right w:val="single" w:color="B4B4B4" w:sz="4"/>
            </w:tcBorders>
            <w:shd w:fill="F4F6F8" w:val="clear"/>
            <w:tcMar>
              <w:top w:type="dxa" w:w="100"/>
              <w:left w:type="dxa" w:w="140"/>
              <w:bottom w:type="dxa" w:w="100"/>
              <w:right w:type="dxa" w:w="140"/>
            </w:tcMar>
            <w:vAlign w:val="center"/>
          </w:tcPr>
          <w:p>
            <w:pPr>
              <w:spacing w:after="30" w:before="30"/>
            </w:pPr>
            <w:r>
              <w:rPr>
                <w:rFonts w:ascii="Calibri" w:cs="Calibri" w:eastAsia="Calibri" w:hAnsi="Calibri"/>
                <w:b/>
                <w:bCs/>
                <w:sz w:val="20"/>
                <w:szCs w:val="20"/>
              </w:rPr>
              <w:t xml:space="preserve">Tier 2 — Mid pack (50-200 MB / 200-600 pages)</w:t>
            </w:r>
          </w:p>
        </w:tc>
        <w:tc>
          <w:tcPr>
            <w:tcBorders>
              <w:top w:val="single" w:color="B4B4B4" w:sz="4"/>
              <w:left w:val="single" w:color="B4B4B4" w:sz="4"/>
              <w:bottom w:val="single" w:color="B4B4B4" w:sz="4"/>
              <w:right w:val="single" w:color="B4B4B4" w:sz="4"/>
            </w:tcBorders>
            <w:shd w:fill="F4F6F8" w:val="clear"/>
            <w:tcMar>
              <w:top w:type="dxa" w:w="100"/>
              <w:left w:type="dxa" w:w="140"/>
              <w:bottom w:type="dxa" w:w="100"/>
              <w:right w:type="dxa" w:w="140"/>
            </w:tcMar>
            <w:vAlign w:val="center"/>
          </w:tcPr>
          <w:p>
            <w:pPr>
              <w:spacing w:after="30" w:before="30"/>
              <w:jc w:val="center"/>
            </w:pPr>
            <w:r>
              <w:rPr>
                <w:rFonts w:ascii="Calibri" w:cs="Calibri" w:eastAsia="Calibri" w:hAnsi="Calibri"/>
                <w:b/>
                <w:bCs/>
                <w:color w:val="0E3A6E"/>
                <w:sz w:val="20"/>
                <w:szCs w:val="20"/>
              </w:rPr>
              <w:t xml:space="preserve">€400 per check</w:t>
            </w:r>
          </w:p>
        </w:tc>
        <w:tc>
          <w:tcPr>
            <w:tcBorders>
              <w:top w:val="single" w:color="B4B4B4" w:sz="4"/>
              <w:left w:val="single" w:color="B4B4B4" w:sz="4"/>
              <w:bottom w:val="single" w:color="B4B4B4" w:sz="4"/>
              <w:right w:val="single" w:color="B4B4B4" w:sz="4"/>
            </w:tcBorders>
            <w:shd w:fill="F4F6F8" w:val="clear"/>
            <w:tcMar>
              <w:top w:type="dxa" w:w="100"/>
              <w:left w:type="dxa" w:w="140"/>
              <w:bottom w:type="dxa" w:w="100"/>
              <w:right w:type="dxa" w:w="140"/>
            </w:tcMar>
            <w:vAlign w:val="center"/>
          </w:tcPr>
          <w:p>
            <w:pPr>
              <w:spacing w:after="30" w:before="30"/>
              <w:jc w:val="center"/>
            </w:pPr>
            <w:r>
              <w:rPr>
                <w:rFonts w:ascii="Calibri" w:cs="Calibri" w:eastAsia="Calibri" w:hAnsi="Calibri"/>
                <w:sz w:val="18"/>
                <w:szCs w:val="18"/>
              </w:rPr>
              <w:t xml:space="preserve">Practice — €4,800/yr — up to 18 mid checks</w:t>
            </w:r>
          </w:p>
        </w:tc>
      </w:tr>
      <w:tr>
        <w:tc>
          <w:tcPr>
            <w:tcBorders>
              <w:top w:val="single" w:color="B4B4B4" w:sz="4"/>
              <w:left w:val="single" w:color="B4B4B4" w:sz="4"/>
              <w:bottom w:val="single" w:color="B4B4B4" w:sz="4"/>
              <w:right w:val="single" w:color="B4B4B4" w:sz="4"/>
            </w:tcBorders>
            <w:tcMar>
              <w:top w:type="dxa" w:w="100"/>
              <w:left w:type="dxa" w:w="140"/>
              <w:bottom w:type="dxa" w:w="100"/>
              <w:right w:type="dxa" w:w="140"/>
            </w:tcMar>
            <w:vAlign w:val="center"/>
          </w:tcPr>
          <w:p>
            <w:pPr>
              <w:spacing w:after="30" w:before="30"/>
            </w:pPr>
            <w:r>
              <w:rPr>
                <w:rFonts w:ascii="Calibri" w:cs="Calibri" w:eastAsia="Calibri" w:hAnsi="Calibri"/>
                <w:b/>
                <w:bCs/>
                <w:sz w:val="20"/>
                <w:szCs w:val="20"/>
              </w:rPr>
              <w:t xml:space="preserve">Tier 3 — Large pack (200-500 MB / 600-1500 pages)</w:t>
            </w:r>
          </w:p>
        </w:tc>
        <w:tc>
          <w:tcPr>
            <w:tcBorders>
              <w:top w:val="single" w:color="B4B4B4" w:sz="4"/>
              <w:left w:val="single" w:color="B4B4B4" w:sz="4"/>
              <w:bottom w:val="single" w:color="B4B4B4" w:sz="4"/>
              <w:right w:val="single" w:color="B4B4B4" w:sz="4"/>
            </w:tcBorders>
            <w:tcMar>
              <w:top w:type="dxa" w:w="100"/>
              <w:left w:type="dxa" w:w="140"/>
              <w:bottom w:type="dxa" w:w="100"/>
              <w:right w:type="dxa" w:w="140"/>
            </w:tcMar>
            <w:vAlign w:val="center"/>
          </w:tcPr>
          <w:p>
            <w:pPr>
              <w:spacing w:after="30" w:before="30"/>
              <w:jc w:val="center"/>
            </w:pPr>
            <w:r>
              <w:rPr>
                <w:rFonts w:ascii="Calibri" w:cs="Calibri" w:eastAsia="Calibri" w:hAnsi="Calibri"/>
                <w:b/>
                <w:bCs/>
                <w:color w:val="0E3A6E"/>
                <w:sz w:val="20"/>
                <w:szCs w:val="20"/>
              </w:rPr>
              <w:t xml:space="preserve">€800 per check</w:t>
            </w:r>
          </w:p>
        </w:tc>
        <w:tc>
          <w:tcPr>
            <w:tcBorders>
              <w:top w:val="single" w:color="B4B4B4" w:sz="4"/>
              <w:left w:val="single" w:color="B4B4B4" w:sz="4"/>
              <w:bottom w:val="single" w:color="B4B4B4" w:sz="4"/>
              <w:right w:val="single" w:color="B4B4B4" w:sz="4"/>
            </w:tcBorders>
            <w:tcMar>
              <w:top w:type="dxa" w:w="100"/>
              <w:left w:type="dxa" w:w="140"/>
              <w:bottom w:type="dxa" w:w="100"/>
              <w:right w:type="dxa" w:w="140"/>
            </w:tcMar>
            <w:vAlign w:val="center"/>
          </w:tcPr>
          <w:p>
            <w:pPr>
              <w:spacing w:after="30" w:before="30"/>
              <w:jc w:val="center"/>
            </w:pPr>
            <w:r>
              <w:rPr>
                <w:rFonts w:ascii="Calibri" w:cs="Calibri" w:eastAsia="Calibri" w:hAnsi="Calibri"/>
                <w:sz w:val="18"/>
                <w:szCs w:val="18"/>
              </w:rPr>
              <w:t xml:space="preserve">Enterprise — €18,000/yr — unlimited mid + 24 large</w:t>
            </w:r>
          </w:p>
        </w:tc>
      </w:tr>
      <w:tr>
        <w:tc>
          <w:tcPr>
            <w:tcBorders>
              <w:top w:val="single" w:color="B4B4B4" w:sz="4"/>
              <w:left w:val="single" w:color="B4B4B4" w:sz="4"/>
              <w:bottom w:val="single" w:color="B4B4B4" w:sz="4"/>
              <w:right w:val="single" w:color="B4B4B4" w:sz="4"/>
            </w:tcBorders>
            <w:shd w:fill="F4F6F8" w:val="clear"/>
            <w:tcMar>
              <w:top w:type="dxa" w:w="100"/>
              <w:left w:type="dxa" w:w="140"/>
              <w:bottom w:type="dxa" w:w="100"/>
              <w:right w:type="dxa" w:w="140"/>
            </w:tcMar>
            <w:vAlign w:val="center"/>
          </w:tcPr>
          <w:p>
            <w:pPr>
              <w:spacing w:after="30" w:before="30"/>
            </w:pPr>
            <w:r>
              <w:rPr>
                <w:rFonts w:ascii="Calibri" w:cs="Calibri" w:eastAsia="Calibri" w:hAnsi="Calibri"/>
                <w:b/>
                <w:bCs/>
                <w:sz w:val="20"/>
                <w:szCs w:val="20"/>
              </w:rPr>
              <w:t xml:space="preserve">Tier 4 — Programme (multiple packs per month)</w:t>
            </w:r>
          </w:p>
        </w:tc>
        <w:tc>
          <w:tcPr>
            <w:tcBorders>
              <w:top w:val="single" w:color="B4B4B4" w:sz="4"/>
              <w:left w:val="single" w:color="B4B4B4" w:sz="4"/>
              <w:bottom w:val="single" w:color="B4B4B4" w:sz="4"/>
              <w:right w:val="single" w:color="B4B4B4" w:sz="4"/>
            </w:tcBorders>
            <w:shd w:fill="F4F6F8" w:val="clear"/>
            <w:tcMar>
              <w:top w:type="dxa" w:w="100"/>
              <w:left w:type="dxa" w:w="140"/>
              <w:bottom w:type="dxa" w:w="100"/>
              <w:right w:type="dxa" w:w="140"/>
            </w:tcMar>
            <w:vAlign w:val="center"/>
          </w:tcPr>
          <w:p>
            <w:pPr>
              <w:spacing w:after="30" w:before="30"/>
              <w:jc w:val="center"/>
            </w:pPr>
            <w:r>
              <w:rPr>
                <w:rFonts w:ascii="Calibri" w:cs="Calibri" w:eastAsia="Calibri" w:hAnsi="Calibri"/>
                <w:sz w:val="18"/>
                <w:szCs w:val="18"/>
              </w:rPr>
              <w:t xml:space="preserve">Custom</w:t>
            </w:r>
          </w:p>
        </w:tc>
        <w:tc>
          <w:tcPr>
            <w:tcBorders>
              <w:top w:val="single" w:color="B4B4B4" w:sz="4"/>
              <w:left w:val="single" w:color="B4B4B4" w:sz="4"/>
              <w:bottom w:val="single" w:color="B4B4B4" w:sz="4"/>
              <w:right w:val="single" w:color="B4B4B4" w:sz="4"/>
            </w:tcBorders>
            <w:shd w:fill="F4F6F8" w:val="clear"/>
            <w:tcMar>
              <w:top w:type="dxa" w:w="100"/>
              <w:left w:type="dxa" w:w="140"/>
              <w:bottom w:type="dxa" w:w="100"/>
              <w:right w:type="dxa" w:w="140"/>
            </w:tcMar>
            <w:vAlign w:val="center"/>
          </w:tcPr>
          <w:p>
            <w:pPr>
              <w:spacing w:after="30" w:before="30"/>
              <w:jc w:val="center"/>
            </w:pPr>
            <w:r>
              <w:rPr>
                <w:rFonts w:ascii="Calibri" w:cs="Calibri" w:eastAsia="Calibri" w:hAnsi="Calibri"/>
                <w:sz w:val="18"/>
                <w:szCs w:val="18"/>
              </w:rPr>
              <w:t xml:space="preserve">Programme — €40,000-€120,000/yr — Employer-side</w:t>
            </w:r>
          </w:p>
        </w:tc>
      </w:tr>
    </w:tbl>
    <w:p>
      <w:pPr>
        <w:spacing w:after="80" w:before="200"/>
      </w:pPr>
      <w:r>
        <w:rPr>
          <w:rFonts w:ascii="Calibri" w:cs="Calibri" w:eastAsia="Calibri" w:hAnsi="Calibri"/>
          <w:sz w:val="22"/>
          <w:szCs w:val="22"/>
        </w:rPr>
        <w:t xml:space="preserve">Tier boundaries are set by input volume because token cost scales with input volume. Section 6 documents the underlying token economics that justify these price points.</w:t>
      </w:r>
    </w:p>
    <w:p>
      <w:pPr>
        <w:pStyle w:val="Heading2"/>
        <w:spacing w:after="140" w:before="280"/>
      </w:pPr>
      <w:r>
        <w:rPr>
          <w:rFonts w:ascii="Calibri" w:cs="Calibri" w:eastAsia="Calibri" w:hAnsi="Calibri"/>
          <w:b/>
          <w:bCs/>
          <w:color w:val="1A1A1A"/>
          <w:sz w:val="26"/>
          <w:szCs w:val="26"/>
        </w:rPr>
        <w:t xml:space="preserve">5.3 Phase progression</w:t>
      </w:r>
    </w:p>
    <w:p>
      <w:pPr>
        <w:pStyle w:val="Heading3"/>
        <w:spacing w:after="100" w:before="200"/>
      </w:pPr>
      <w:r>
        <w:rPr>
          <w:rFonts w:ascii="Calibri" w:cs="Calibri" w:eastAsia="Calibri" w:hAnsi="Calibri"/>
          <w:b/>
          <w:bCs/>
          <w:color w:val="0E3A6E"/>
          <w:sz w:val="22"/>
          <w:szCs w:val="22"/>
        </w:rPr>
        <w:t xml:space="preserve">Phase 1 — Launch (Months 0-6)</w:t>
      </w:r>
    </w:p>
    <w:p>
      <w:pPr>
        <w:spacing w:after="80" w:before="80"/>
      </w:pPr>
      <w:r>
        <w:rPr>
          <w:rFonts w:ascii="Calibri" w:cs="Calibri" w:eastAsia="Calibri" w:hAnsi="Calibri"/>
          <w:sz w:val="22"/>
          <w:szCs w:val="22"/>
        </w:rPr>
        <w:t xml:space="preserve">MVP SaaS application live, public landing page, self-serve signup, pay-as-you-go Tier 1 and Tier 2 pricing, manual support, one operator (Liam). Target 30-50 paying check transactions per month by month 6, supporting first revenue validation. Pilot with 3-5 friendly customers from the Irish design-team and contractor community.</w:t>
      </w:r>
    </w:p>
    <w:p>
      <w:pPr>
        <w:pStyle w:val="Heading3"/>
        <w:spacing w:after="100" w:before="200"/>
      </w:pPr>
      <w:r>
        <w:rPr>
          <w:rFonts w:ascii="Calibri" w:cs="Calibri" w:eastAsia="Calibri" w:hAnsi="Calibri"/>
          <w:b/>
          <w:bCs/>
          <w:color w:val="0E3A6E"/>
          <w:sz w:val="22"/>
          <w:szCs w:val="22"/>
        </w:rPr>
        <w:t xml:space="preserve">Phase 2 — Productisation (Months 6-12)</w:t>
      </w:r>
    </w:p>
    <w:p>
      <w:pPr>
        <w:spacing w:after="80" w:before="80"/>
      </w:pPr>
      <w:r>
        <w:rPr>
          <w:rFonts w:ascii="Calibri" w:cs="Calibri" w:eastAsia="Calibri" w:hAnsi="Calibri"/>
          <w:sz w:val="22"/>
          <w:szCs w:val="22"/>
        </w:rPr>
        <w:t xml:space="preserve">Subscription tiers go live. Customer dashboard with project history, team accounts, role-based access. Stripe billing automation. Tier 3 (large pack) processing optimised. Integration touchpoints (CDE-link import) explored. Target €25k-€60k MRR by month 12. Hire first product engineer.</w:t>
      </w:r>
    </w:p>
    <w:p>
      <w:pPr>
        <w:pStyle w:val="Heading3"/>
        <w:spacing w:after="100" w:before="200"/>
      </w:pPr>
      <w:r>
        <w:rPr>
          <w:rFonts w:ascii="Calibri" w:cs="Calibri" w:eastAsia="Calibri" w:hAnsi="Calibri"/>
          <w:b/>
          <w:bCs/>
          <w:color w:val="0E3A6E"/>
          <w:sz w:val="22"/>
          <w:szCs w:val="22"/>
        </w:rPr>
        <w:t xml:space="preserve">Phase 3 — Scale (Months 12-24)</w:t>
      </w:r>
    </w:p>
    <w:p>
      <w:pPr>
        <w:spacing w:after="80" w:before="80"/>
      </w:pPr>
      <w:r>
        <w:rPr>
          <w:rFonts w:ascii="Calibri" w:cs="Calibri" w:eastAsia="Calibri" w:hAnsi="Calibri"/>
          <w:sz w:val="22"/>
          <w:szCs w:val="22"/>
        </w:rPr>
        <w:t xml:space="preserve">Multi-tenant Enterprise tier, customer SSO, audit trail for buyer-side audit (Comptroller and Auditor General, internal audit, BCAR Code of Practice section 2.4 record-keeping). Programme-level Employer-side deals with HSE Estates, OGP framework holders. Channel partnership with one or more PI brokers (co-marketing, premium differentiation). Year-2 target €100k-€250k MRR. Hire second product engineer and dedicated customer success.</w:t>
      </w:r>
    </w:p>
    <w:p>
      <w:pPr>
        <w:pStyle w:val="Heading3"/>
        <w:spacing w:after="100" w:before="200"/>
      </w:pPr>
      <w:r>
        <w:rPr>
          <w:rFonts w:ascii="Calibri" w:cs="Calibri" w:eastAsia="Calibri" w:hAnsi="Calibri"/>
          <w:b/>
          <w:bCs/>
          <w:color w:val="0E3A6E"/>
          <w:sz w:val="22"/>
          <w:szCs w:val="22"/>
        </w:rPr>
        <w:t xml:space="preserve">Phase 4 — Expansion (Months 24+)</w:t>
      </w:r>
    </w:p>
    <w:p>
      <w:pPr>
        <w:spacing w:after="80" w:before="80"/>
      </w:pPr>
      <w:r>
        <w:rPr>
          <w:rFonts w:ascii="Calibri" w:cs="Calibri" w:eastAsia="Calibri" w:hAnsi="Calibri"/>
          <w:sz w:val="22"/>
          <w:szCs w:val="22"/>
        </w:rPr>
        <w:t xml:space="preserve">UK corpus library built and live. UK GTM launches in parallel to Ireland. Standards-corpus maintenance team established. Marketplace for vertical extensions (residential, retail, education, healthcare-specific check libraries). API for third-party CDE integrators. Year-3 target €500k-€1.5m MRR, opening Series A if capital strategy supports it.</w:t>
      </w:r>
    </w:p>
    <w:p>
      <w:r>
        <w:br w:type="page"/>
      </w:r>
    </w:p>
    <w:p>
      <w:pPr>
        <w:pStyle w:val="Heading1"/>
        <w:spacing w:after="200" w:before="400"/>
      </w:pPr>
      <w:r>
        <w:rPr>
          <w:rFonts w:ascii="Calibri" w:cs="Calibri" w:eastAsia="Calibri" w:hAnsi="Calibri"/>
          <w:b/>
          <w:bCs/>
          <w:color w:val="0E3A6E"/>
          <w:sz w:val="32"/>
          <w:szCs w:val="32"/>
        </w:rPr>
        <w:t xml:space="preserve">6. Token Economics &amp; Unit Cost</w:t>
      </w:r>
    </w:p>
    <w:p>
      <w:pPr>
        <w:spacing w:after="80" w:before="80"/>
      </w:pPr>
      <w:r>
        <w:rPr>
          <w:rFonts w:ascii="Calibri" w:cs="Calibri" w:eastAsia="Calibri" w:hAnsi="Calibri"/>
          <w:sz w:val="22"/>
          <w:szCs w:val="22"/>
        </w:rPr>
        <w:t xml:space="preserve">Token economics are the foundation of the pricing model. Inference cost per check determines the per-check price floor; pricing tiers are set by input volume because input volume is the primary cost driver. This section documents the input-to-token relationship, the cost-per-check at each tier, and the gross margin per check.</w:t>
      </w:r>
    </w:p>
    <w:p>
      <w:pPr>
        <w:pStyle w:val="Heading2"/>
        <w:spacing w:after="140" w:before="280"/>
      </w:pPr>
      <w:r>
        <w:rPr>
          <w:rFonts w:ascii="Calibri" w:cs="Calibri" w:eastAsia="Calibri" w:hAnsi="Calibri"/>
          <w:b/>
          <w:bCs/>
          <w:color w:val="1A1A1A"/>
          <w:sz w:val="26"/>
          <w:szCs w:val="26"/>
        </w:rPr>
        <w:t xml:space="preserve">6.1 Token consumption by document type</w:t>
      </w:r>
    </w:p>
    <w:p>
      <w:pPr>
        <w:spacing w:after="80" w:before="80"/>
      </w:pPr>
      <w:r>
        <w:rPr>
          <w:rFonts w:ascii="Calibri" w:cs="Calibri" w:eastAsia="Calibri" w:hAnsi="Calibri"/>
          <w:sz w:val="22"/>
          <w:szCs w:val="22"/>
        </w:rPr>
        <w:t xml:space="preserve">Empirical token consumption from the 27 May validation engagement, calibrated against current frontier-model pricing as of May 2026:</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800"/>
        <w:gridCol w:w="1800"/>
        <w:gridCol w:w="1800"/>
        <w:gridCol w:w="2346"/>
      </w:tblGrid>
      <w:tr>
        <w:trPr>
          <w:tblHeader/>
        </w:trPr>
        <w:tc>
          <w:tcPr>
            <w:tcW w:type="dxa" w:w="3800"/>
            <w:tcBorders>
              <w:top w:val="single" w:color="B4B4B4" w:sz="4"/>
              <w:left w:val="single" w:color="B4B4B4" w:sz="4"/>
              <w:bottom w:val="single" w:color="B4B4B4" w:sz="4"/>
              <w:right w:val="single" w:color="B4B4B4" w:sz="4"/>
            </w:tcBorders>
            <w:shd w:fill="0E3A6E" w:val="clear"/>
            <w:tcMar>
              <w:top w:type="dxa" w:w="100"/>
              <w:left w:type="dxa" w:w="140"/>
              <w:bottom w:type="dxa" w:w="100"/>
              <w:right w:type="dxa" w:w="140"/>
            </w:tcMar>
            <w:vAlign w:val="center"/>
          </w:tcPr>
          <w:p>
            <w:pPr>
              <w:spacing w:after="30" w:before="30"/>
            </w:pPr>
            <w:r>
              <w:rPr>
                <w:rFonts w:ascii="Calibri" w:cs="Calibri" w:eastAsia="Calibri" w:hAnsi="Calibri"/>
                <w:b/>
                <w:bCs/>
                <w:color w:val="FFFFFF"/>
                <w:sz w:val="20"/>
                <w:szCs w:val="20"/>
              </w:rPr>
              <w:t xml:space="preserve">Document type</w:t>
            </w:r>
          </w:p>
        </w:tc>
        <w:tc>
          <w:tcPr>
            <w:tcW w:type="dxa" w:w="1800"/>
            <w:tcBorders>
              <w:top w:val="single" w:color="B4B4B4" w:sz="4"/>
              <w:left w:val="single" w:color="B4B4B4" w:sz="4"/>
              <w:bottom w:val="single" w:color="B4B4B4" w:sz="4"/>
              <w:right w:val="single" w:color="B4B4B4" w:sz="4"/>
            </w:tcBorders>
            <w:shd w:fill="0E3A6E" w:val="clear"/>
            <w:tcMar>
              <w:top w:type="dxa" w:w="100"/>
              <w:left w:type="dxa" w:w="140"/>
              <w:bottom w:type="dxa" w:w="100"/>
              <w:right w:type="dxa" w:w="140"/>
            </w:tcMar>
            <w:vAlign w:val="center"/>
          </w:tcPr>
          <w:p>
            <w:pPr>
              <w:spacing w:after="30" w:before="30"/>
            </w:pPr>
            <w:r>
              <w:rPr>
                <w:rFonts w:ascii="Calibri" w:cs="Calibri" w:eastAsia="Calibri" w:hAnsi="Calibri"/>
                <w:b/>
                <w:bCs/>
                <w:color w:val="FFFFFF"/>
                <w:sz w:val="20"/>
                <w:szCs w:val="20"/>
              </w:rPr>
              <w:t xml:space="preserve">Avg tokens per page</w:t>
            </w:r>
          </w:p>
        </w:tc>
        <w:tc>
          <w:tcPr>
            <w:tcW w:type="dxa" w:w="1800"/>
            <w:tcBorders>
              <w:top w:val="single" w:color="B4B4B4" w:sz="4"/>
              <w:left w:val="single" w:color="B4B4B4" w:sz="4"/>
              <w:bottom w:val="single" w:color="B4B4B4" w:sz="4"/>
              <w:right w:val="single" w:color="B4B4B4" w:sz="4"/>
            </w:tcBorders>
            <w:shd w:fill="0E3A6E" w:val="clear"/>
            <w:tcMar>
              <w:top w:type="dxa" w:w="100"/>
              <w:left w:type="dxa" w:w="140"/>
              <w:bottom w:type="dxa" w:w="100"/>
              <w:right w:type="dxa" w:w="140"/>
            </w:tcMar>
            <w:vAlign w:val="center"/>
          </w:tcPr>
          <w:p>
            <w:pPr>
              <w:spacing w:after="30" w:before="30"/>
            </w:pPr>
            <w:r>
              <w:rPr>
                <w:rFonts w:ascii="Calibri" w:cs="Calibri" w:eastAsia="Calibri" w:hAnsi="Calibri"/>
                <w:b/>
                <w:bCs/>
                <w:color w:val="FFFFFF"/>
                <w:sz w:val="20"/>
                <w:szCs w:val="20"/>
              </w:rPr>
              <w:t xml:space="preserve">Pages per representative pack</w:t>
            </w:r>
          </w:p>
        </w:tc>
        <w:tc>
          <w:tcPr>
            <w:tcW w:type="dxa" w:w="2346"/>
            <w:tcBorders>
              <w:top w:val="single" w:color="B4B4B4" w:sz="4"/>
              <w:left w:val="single" w:color="B4B4B4" w:sz="4"/>
              <w:bottom w:val="single" w:color="B4B4B4" w:sz="4"/>
              <w:right w:val="single" w:color="B4B4B4" w:sz="4"/>
            </w:tcBorders>
            <w:shd w:fill="0E3A6E" w:val="clear"/>
            <w:tcMar>
              <w:top w:type="dxa" w:w="100"/>
              <w:left w:type="dxa" w:w="140"/>
              <w:bottom w:type="dxa" w:w="100"/>
              <w:right w:type="dxa" w:w="140"/>
            </w:tcMar>
            <w:vAlign w:val="center"/>
          </w:tcPr>
          <w:p>
            <w:pPr>
              <w:spacing w:after="30" w:before="30"/>
            </w:pPr>
            <w:r>
              <w:rPr>
                <w:rFonts w:ascii="Calibri" w:cs="Calibri" w:eastAsia="Calibri" w:hAnsi="Calibri"/>
                <w:b/>
                <w:bCs/>
                <w:color w:val="FFFFFF"/>
                <w:sz w:val="20"/>
                <w:szCs w:val="20"/>
              </w:rPr>
              <w:t xml:space="preserve">Token consumption per check</w:t>
            </w:r>
          </w:p>
        </w:tc>
      </w:tr>
      <w:tr>
        <w:tc>
          <w:tcPr>
            <w:tcBorders>
              <w:top w:val="single" w:color="B4B4B4" w:sz="4"/>
              <w:left w:val="single" w:color="B4B4B4" w:sz="4"/>
              <w:bottom w:val="single" w:color="B4B4B4" w:sz="4"/>
              <w:right w:val="single" w:color="B4B4B4" w:sz="4"/>
            </w:tcBorders>
            <w:tcMar>
              <w:top w:type="dxa" w:w="100"/>
              <w:left w:type="dxa" w:w="140"/>
              <w:bottom w:type="dxa" w:w="100"/>
              <w:right w:type="dxa" w:w="140"/>
            </w:tcMar>
            <w:vAlign w:val="center"/>
          </w:tcPr>
          <w:p>
            <w:pPr>
              <w:spacing w:after="30" w:before="30"/>
            </w:pPr>
            <w:r>
              <w:rPr>
                <w:rFonts w:ascii="Calibri" w:cs="Calibri" w:eastAsia="Calibri" w:hAnsi="Calibri"/>
                <w:sz w:val="20"/>
                <w:szCs w:val="20"/>
              </w:rPr>
              <w:t xml:space="preserve">Drawing register / issue sheet (text-heavy 2-page table)</w:t>
            </w:r>
          </w:p>
        </w:tc>
        <w:tc>
          <w:tcPr>
            <w:tcBorders>
              <w:top w:val="single" w:color="B4B4B4" w:sz="4"/>
              <w:left w:val="single" w:color="B4B4B4" w:sz="4"/>
              <w:bottom w:val="single" w:color="B4B4B4" w:sz="4"/>
              <w:right w:val="single" w:color="B4B4B4" w:sz="4"/>
            </w:tcBorders>
            <w:tcMar>
              <w:top w:type="dxa" w:w="100"/>
              <w:left w:type="dxa" w:w="140"/>
              <w:bottom w:type="dxa" w:w="100"/>
              <w:right w:type="dxa" w:w="140"/>
            </w:tcMar>
            <w:vAlign w:val="center"/>
          </w:tcPr>
          <w:p>
            <w:pPr>
              <w:spacing w:after="30" w:before="30"/>
              <w:jc w:val="center"/>
            </w:pPr>
            <w:r>
              <w:rPr>
                <w:rFonts w:ascii="Calibri" w:cs="Calibri" w:eastAsia="Calibri" w:hAnsi="Calibri"/>
                <w:sz w:val="20"/>
                <w:szCs w:val="20"/>
              </w:rPr>
              <w:t xml:space="preserve">3,000-5,000</w:t>
            </w:r>
          </w:p>
        </w:tc>
        <w:tc>
          <w:tcPr>
            <w:tcBorders>
              <w:top w:val="single" w:color="B4B4B4" w:sz="4"/>
              <w:left w:val="single" w:color="B4B4B4" w:sz="4"/>
              <w:bottom w:val="single" w:color="B4B4B4" w:sz="4"/>
              <w:right w:val="single" w:color="B4B4B4" w:sz="4"/>
            </w:tcBorders>
            <w:tcMar>
              <w:top w:type="dxa" w:w="100"/>
              <w:left w:type="dxa" w:w="140"/>
              <w:bottom w:type="dxa" w:w="100"/>
              <w:right w:type="dxa" w:w="140"/>
            </w:tcMar>
            <w:vAlign w:val="center"/>
          </w:tcPr>
          <w:p>
            <w:pPr>
              <w:spacing w:after="30" w:before="30"/>
              <w:jc w:val="center"/>
            </w:pPr>
            <w:r>
              <w:rPr>
                <w:rFonts w:ascii="Calibri" w:cs="Calibri" w:eastAsia="Calibri" w:hAnsi="Calibri"/>
                <w:sz w:val="20"/>
                <w:szCs w:val="20"/>
              </w:rPr>
              <w:t xml:space="preserve">4-8</w:t>
            </w:r>
          </w:p>
        </w:tc>
        <w:tc>
          <w:tcPr>
            <w:tcBorders>
              <w:top w:val="single" w:color="B4B4B4" w:sz="4"/>
              <w:left w:val="single" w:color="B4B4B4" w:sz="4"/>
              <w:bottom w:val="single" w:color="B4B4B4" w:sz="4"/>
              <w:right w:val="single" w:color="B4B4B4" w:sz="4"/>
            </w:tcBorders>
            <w:tcMar>
              <w:top w:type="dxa" w:w="100"/>
              <w:left w:type="dxa" w:w="140"/>
              <w:bottom w:type="dxa" w:w="100"/>
              <w:right w:type="dxa" w:w="140"/>
            </w:tcMar>
            <w:vAlign w:val="center"/>
          </w:tcPr>
          <w:p>
            <w:pPr>
              <w:spacing w:after="30" w:before="30"/>
              <w:jc w:val="center"/>
            </w:pPr>
            <w:r>
              <w:rPr>
                <w:rFonts w:ascii="Calibri" w:cs="Calibri" w:eastAsia="Calibri" w:hAnsi="Calibri"/>
                <w:b/>
                <w:bCs/>
                <w:sz w:val="20"/>
                <w:szCs w:val="20"/>
              </w:rPr>
              <w:t xml:space="preserve">12k-40k</w:t>
            </w:r>
          </w:p>
        </w:tc>
      </w:tr>
      <w:tr>
        <w:tc>
          <w:tcPr>
            <w:tcBorders>
              <w:top w:val="single" w:color="B4B4B4" w:sz="4"/>
              <w:left w:val="single" w:color="B4B4B4" w:sz="4"/>
              <w:bottom w:val="single" w:color="B4B4B4" w:sz="4"/>
              <w:right w:val="single" w:color="B4B4B4" w:sz="4"/>
            </w:tcBorders>
            <w:shd w:fill="F4F6F8" w:val="clear"/>
            <w:tcMar>
              <w:top w:type="dxa" w:w="100"/>
              <w:left w:type="dxa" w:w="140"/>
              <w:bottom w:type="dxa" w:w="100"/>
              <w:right w:type="dxa" w:w="140"/>
            </w:tcMar>
            <w:vAlign w:val="center"/>
          </w:tcPr>
          <w:p>
            <w:pPr>
              <w:spacing w:after="30" w:before="30"/>
            </w:pPr>
            <w:r>
              <w:rPr>
                <w:rFonts w:ascii="Calibri" w:cs="Calibri" w:eastAsia="Calibri" w:hAnsi="Calibri"/>
                <w:sz w:val="20"/>
                <w:szCs w:val="20"/>
              </w:rPr>
              <w:t xml:space="preserve">Specification body (NBS-style clause text)</w:t>
            </w:r>
          </w:p>
        </w:tc>
        <w:tc>
          <w:tcPr>
            <w:tcBorders>
              <w:top w:val="single" w:color="B4B4B4" w:sz="4"/>
              <w:left w:val="single" w:color="B4B4B4" w:sz="4"/>
              <w:bottom w:val="single" w:color="B4B4B4" w:sz="4"/>
              <w:right w:val="single" w:color="B4B4B4" w:sz="4"/>
            </w:tcBorders>
            <w:shd w:fill="F4F6F8" w:val="clear"/>
            <w:tcMar>
              <w:top w:type="dxa" w:w="100"/>
              <w:left w:type="dxa" w:w="140"/>
              <w:bottom w:type="dxa" w:w="100"/>
              <w:right w:type="dxa" w:w="140"/>
            </w:tcMar>
            <w:vAlign w:val="center"/>
          </w:tcPr>
          <w:p>
            <w:pPr>
              <w:spacing w:after="30" w:before="30"/>
              <w:jc w:val="center"/>
            </w:pPr>
            <w:r>
              <w:rPr>
                <w:rFonts w:ascii="Calibri" w:cs="Calibri" w:eastAsia="Calibri" w:hAnsi="Calibri"/>
                <w:sz w:val="20"/>
                <w:szCs w:val="20"/>
              </w:rPr>
              <w:t xml:space="preserve">2,000-3,500</w:t>
            </w:r>
          </w:p>
        </w:tc>
        <w:tc>
          <w:tcPr>
            <w:tcBorders>
              <w:top w:val="single" w:color="B4B4B4" w:sz="4"/>
              <w:left w:val="single" w:color="B4B4B4" w:sz="4"/>
              <w:bottom w:val="single" w:color="B4B4B4" w:sz="4"/>
              <w:right w:val="single" w:color="B4B4B4" w:sz="4"/>
            </w:tcBorders>
            <w:shd w:fill="F4F6F8" w:val="clear"/>
            <w:tcMar>
              <w:top w:type="dxa" w:w="100"/>
              <w:left w:type="dxa" w:w="140"/>
              <w:bottom w:type="dxa" w:w="100"/>
              <w:right w:type="dxa" w:w="140"/>
            </w:tcMar>
            <w:vAlign w:val="center"/>
          </w:tcPr>
          <w:p>
            <w:pPr>
              <w:spacing w:after="30" w:before="30"/>
              <w:jc w:val="center"/>
            </w:pPr>
            <w:r>
              <w:rPr>
                <w:rFonts w:ascii="Calibri" w:cs="Calibri" w:eastAsia="Calibri" w:hAnsi="Calibri"/>
                <w:sz w:val="20"/>
                <w:szCs w:val="20"/>
              </w:rPr>
              <w:t xml:space="preserve">400-700</w:t>
            </w:r>
          </w:p>
        </w:tc>
        <w:tc>
          <w:tcPr>
            <w:tcBorders>
              <w:top w:val="single" w:color="B4B4B4" w:sz="4"/>
              <w:left w:val="single" w:color="B4B4B4" w:sz="4"/>
              <w:bottom w:val="single" w:color="B4B4B4" w:sz="4"/>
              <w:right w:val="single" w:color="B4B4B4" w:sz="4"/>
            </w:tcBorders>
            <w:shd w:fill="F4F6F8" w:val="clear"/>
            <w:tcMar>
              <w:top w:type="dxa" w:w="100"/>
              <w:left w:type="dxa" w:w="140"/>
              <w:bottom w:type="dxa" w:w="100"/>
              <w:right w:type="dxa" w:w="140"/>
            </w:tcMar>
            <w:vAlign w:val="center"/>
          </w:tcPr>
          <w:p>
            <w:pPr>
              <w:spacing w:after="30" w:before="30"/>
              <w:jc w:val="center"/>
            </w:pPr>
            <w:r>
              <w:rPr>
                <w:rFonts w:ascii="Calibri" w:cs="Calibri" w:eastAsia="Calibri" w:hAnsi="Calibri"/>
                <w:b/>
                <w:bCs/>
                <w:sz w:val="20"/>
                <w:szCs w:val="20"/>
              </w:rPr>
              <w:t xml:space="preserve">800k-2.5m</w:t>
            </w:r>
          </w:p>
        </w:tc>
      </w:tr>
      <w:tr>
        <w:tc>
          <w:tcPr>
            <w:tcBorders>
              <w:top w:val="single" w:color="B4B4B4" w:sz="4"/>
              <w:left w:val="single" w:color="B4B4B4" w:sz="4"/>
              <w:bottom w:val="single" w:color="B4B4B4" w:sz="4"/>
              <w:right w:val="single" w:color="B4B4B4" w:sz="4"/>
            </w:tcBorders>
            <w:tcMar>
              <w:top w:type="dxa" w:w="100"/>
              <w:left w:type="dxa" w:w="140"/>
              <w:bottom w:type="dxa" w:w="100"/>
              <w:right w:type="dxa" w:w="140"/>
            </w:tcMar>
            <w:vAlign w:val="center"/>
          </w:tcPr>
          <w:p>
            <w:pPr>
              <w:spacing w:after="30" w:before="30"/>
            </w:pPr>
            <w:r>
              <w:rPr>
                <w:rFonts w:ascii="Calibri" w:cs="Calibri" w:eastAsia="Calibri" w:hAnsi="Calibri"/>
                <w:sz w:val="20"/>
                <w:szCs w:val="20"/>
              </w:rPr>
              <w:t xml:space="preserve">General arrangement drawing (image, no text extraction)</w:t>
            </w:r>
          </w:p>
        </w:tc>
        <w:tc>
          <w:tcPr>
            <w:tcBorders>
              <w:top w:val="single" w:color="B4B4B4" w:sz="4"/>
              <w:left w:val="single" w:color="B4B4B4" w:sz="4"/>
              <w:bottom w:val="single" w:color="B4B4B4" w:sz="4"/>
              <w:right w:val="single" w:color="B4B4B4" w:sz="4"/>
            </w:tcBorders>
            <w:tcMar>
              <w:top w:type="dxa" w:w="100"/>
              <w:left w:type="dxa" w:w="140"/>
              <w:bottom w:type="dxa" w:w="100"/>
              <w:right w:type="dxa" w:w="140"/>
            </w:tcMar>
            <w:vAlign w:val="center"/>
          </w:tcPr>
          <w:p>
            <w:pPr>
              <w:spacing w:after="30" w:before="30"/>
              <w:jc w:val="center"/>
            </w:pPr>
            <w:r>
              <w:rPr>
                <w:rFonts w:ascii="Calibri" w:cs="Calibri" w:eastAsia="Calibri" w:hAnsi="Calibri"/>
                <w:sz w:val="20"/>
                <w:szCs w:val="20"/>
              </w:rPr>
              <w:t xml:space="preserve">1,500-3,000 (vision)</w:t>
            </w:r>
          </w:p>
        </w:tc>
        <w:tc>
          <w:tcPr>
            <w:tcBorders>
              <w:top w:val="single" w:color="B4B4B4" w:sz="4"/>
              <w:left w:val="single" w:color="B4B4B4" w:sz="4"/>
              <w:bottom w:val="single" w:color="B4B4B4" w:sz="4"/>
              <w:right w:val="single" w:color="B4B4B4" w:sz="4"/>
            </w:tcBorders>
            <w:tcMar>
              <w:top w:type="dxa" w:w="100"/>
              <w:left w:type="dxa" w:w="140"/>
              <w:bottom w:type="dxa" w:w="100"/>
              <w:right w:type="dxa" w:w="140"/>
            </w:tcMar>
            <w:vAlign w:val="center"/>
          </w:tcPr>
          <w:p>
            <w:pPr>
              <w:spacing w:after="30" w:before="30"/>
              <w:jc w:val="center"/>
            </w:pPr>
            <w:r>
              <w:rPr>
                <w:rFonts w:ascii="Calibri" w:cs="Calibri" w:eastAsia="Calibri" w:hAnsi="Calibri"/>
                <w:sz w:val="20"/>
                <w:szCs w:val="20"/>
              </w:rPr>
              <w:t xml:space="preserve">20-80</w:t>
            </w:r>
          </w:p>
        </w:tc>
        <w:tc>
          <w:tcPr>
            <w:tcBorders>
              <w:top w:val="single" w:color="B4B4B4" w:sz="4"/>
              <w:left w:val="single" w:color="B4B4B4" w:sz="4"/>
              <w:bottom w:val="single" w:color="B4B4B4" w:sz="4"/>
              <w:right w:val="single" w:color="B4B4B4" w:sz="4"/>
            </w:tcBorders>
            <w:tcMar>
              <w:top w:type="dxa" w:w="100"/>
              <w:left w:type="dxa" w:w="140"/>
              <w:bottom w:type="dxa" w:w="100"/>
              <w:right w:type="dxa" w:w="140"/>
            </w:tcMar>
            <w:vAlign w:val="center"/>
          </w:tcPr>
          <w:p>
            <w:pPr>
              <w:spacing w:after="30" w:before="30"/>
              <w:jc w:val="center"/>
            </w:pPr>
            <w:r>
              <w:rPr>
                <w:rFonts w:ascii="Calibri" w:cs="Calibri" w:eastAsia="Calibri" w:hAnsi="Calibri"/>
                <w:b/>
                <w:bCs/>
                <w:sz w:val="20"/>
                <w:szCs w:val="20"/>
              </w:rPr>
              <w:t xml:space="preserve">30k-240k</w:t>
            </w:r>
          </w:p>
        </w:tc>
      </w:tr>
      <w:tr>
        <w:tc>
          <w:tcPr>
            <w:tcBorders>
              <w:top w:val="single" w:color="B4B4B4" w:sz="4"/>
              <w:left w:val="single" w:color="B4B4B4" w:sz="4"/>
              <w:bottom w:val="single" w:color="B4B4B4" w:sz="4"/>
              <w:right w:val="single" w:color="B4B4B4" w:sz="4"/>
            </w:tcBorders>
            <w:shd w:fill="F4F6F8" w:val="clear"/>
            <w:tcMar>
              <w:top w:type="dxa" w:w="100"/>
              <w:left w:type="dxa" w:w="140"/>
              <w:bottom w:type="dxa" w:w="100"/>
              <w:right w:type="dxa" w:w="140"/>
            </w:tcMar>
            <w:vAlign w:val="center"/>
          </w:tcPr>
          <w:p>
            <w:pPr>
              <w:spacing w:after="30" w:before="30"/>
            </w:pPr>
            <w:r>
              <w:rPr>
                <w:rFonts w:ascii="Calibri" w:cs="Calibri" w:eastAsia="Calibri" w:hAnsi="Calibri"/>
                <w:sz w:val="20"/>
                <w:szCs w:val="20"/>
              </w:rPr>
              <w:t xml:space="preserve">Detail drawing (image + dimension text)</w:t>
            </w:r>
          </w:p>
        </w:tc>
        <w:tc>
          <w:tcPr>
            <w:tcBorders>
              <w:top w:val="single" w:color="B4B4B4" w:sz="4"/>
              <w:left w:val="single" w:color="B4B4B4" w:sz="4"/>
              <w:bottom w:val="single" w:color="B4B4B4" w:sz="4"/>
              <w:right w:val="single" w:color="B4B4B4" w:sz="4"/>
            </w:tcBorders>
            <w:shd w:fill="F4F6F8" w:val="clear"/>
            <w:tcMar>
              <w:top w:type="dxa" w:w="100"/>
              <w:left w:type="dxa" w:w="140"/>
              <w:bottom w:type="dxa" w:w="100"/>
              <w:right w:type="dxa" w:w="140"/>
            </w:tcMar>
            <w:vAlign w:val="center"/>
          </w:tcPr>
          <w:p>
            <w:pPr>
              <w:spacing w:after="30" w:before="30"/>
              <w:jc w:val="center"/>
            </w:pPr>
            <w:r>
              <w:rPr>
                <w:rFonts w:ascii="Calibri" w:cs="Calibri" w:eastAsia="Calibri" w:hAnsi="Calibri"/>
                <w:sz w:val="20"/>
                <w:szCs w:val="20"/>
              </w:rPr>
              <w:t xml:space="preserve">2,500-4,500 (vision)</w:t>
            </w:r>
          </w:p>
        </w:tc>
        <w:tc>
          <w:tcPr>
            <w:tcBorders>
              <w:top w:val="single" w:color="B4B4B4" w:sz="4"/>
              <w:left w:val="single" w:color="B4B4B4" w:sz="4"/>
              <w:bottom w:val="single" w:color="B4B4B4" w:sz="4"/>
              <w:right w:val="single" w:color="B4B4B4" w:sz="4"/>
            </w:tcBorders>
            <w:shd w:fill="F4F6F8" w:val="clear"/>
            <w:tcMar>
              <w:top w:type="dxa" w:w="100"/>
              <w:left w:type="dxa" w:w="140"/>
              <w:bottom w:type="dxa" w:w="100"/>
              <w:right w:type="dxa" w:w="140"/>
            </w:tcMar>
            <w:vAlign w:val="center"/>
          </w:tcPr>
          <w:p>
            <w:pPr>
              <w:spacing w:after="30" w:before="30"/>
              <w:jc w:val="center"/>
            </w:pPr>
            <w:r>
              <w:rPr>
                <w:rFonts w:ascii="Calibri" w:cs="Calibri" w:eastAsia="Calibri" w:hAnsi="Calibri"/>
                <w:sz w:val="20"/>
                <w:szCs w:val="20"/>
              </w:rPr>
              <w:t xml:space="preserve">30-120</w:t>
            </w:r>
          </w:p>
        </w:tc>
        <w:tc>
          <w:tcPr>
            <w:tcBorders>
              <w:top w:val="single" w:color="B4B4B4" w:sz="4"/>
              <w:left w:val="single" w:color="B4B4B4" w:sz="4"/>
              <w:bottom w:val="single" w:color="B4B4B4" w:sz="4"/>
              <w:right w:val="single" w:color="B4B4B4" w:sz="4"/>
            </w:tcBorders>
            <w:shd w:fill="F4F6F8" w:val="clear"/>
            <w:tcMar>
              <w:top w:type="dxa" w:w="100"/>
              <w:left w:type="dxa" w:w="140"/>
              <w:bottom w:type="dxa" w:w="100"/>
              <w:right w:type="dxa" w:w="140"/>
            </w:tcMar>
            <w:vAlign w:val="center"/>
          </w:tcPr>
          <w:p>
            <w:pPr>
              <w:spacing w:after="30" w:before="30"/>
              <w:jc w:val="center"/>
            </w:pPr>
            <w:r>
              <w:rPr>
                <w:rFonts w:ascii="Calibri" w:cs="Calibri" w:eastAsia="Calibri" w:hAnsi="Calibri"/>
                <w:b/>
                <w:bCs/>
                <w:sz w:val="20"/>
                <w:szCs w:val="20"/>
              </w:rPr>
              <w:t xml:space="preserve">75k-540k</w:t>
            </w:r>
          </w:p>
        </w:tc>
      </w:tr>
      <w:tr>
        <w:tc>
          <w:tcPr>
            <w:tcBorders>
              <w:top w:val="single" w:color="B4B4B4" w:sz="4"/>
              <w:left w:val="single" w:color="B4B4B4" w:sz="4"/>
              <w:bottom w:val="single" w:color="B4B4B4" w:sz="4"/>
              <w:right w:val="single" w:color="B4B4B4" w:sz="4"/>
            </w:tcBorders>
            <w:tcMar>
              <w:top w:type="dxa" w:w="100"/>
              <w:left w:type="dxa" w:w="140"/>
              <w:bottom w:type="dxa" w:w="100"/>
              <w:right w:type="dxa" w:w="140"/>
            </w:tcMar>
            <w:vAlign w:val="center"/>
          </w:tcPr>
          <w:p>
            <w:pPr>
              <w:spacing w:after="30" w:before="30"/>
            </w:pPr>
            <w:r>
              <w:rPr>
                <w:rFonts w:ascii="Calibri" w:cs="Calibri" w:eastAsia="Calibri" w:hAnsi="Calibri"/>
                <w:sz w:val="20"/>
                <w:szCs w:val="20"/>
              </w:rPr>
              <w:t xml:space="preserve">Schedule sheet (data-dense table)</w:t>
            </w:r>
          </w:p>
        </w:tc>
        <w:tc>
          <w:tcPr>
            <w:tcBorders>
              <w:top w:val="single" w:color="B4B4B4" w:sz="4"/>
              <w:left w:val="single" w:color="B4B4B4" w:sz="4"/>
              <w:bottom w:val="single" w:color="B4B4B4" w:sz="4"/>
              <w:right w:val="single" w:color="B4B4B4" w:sz="4"/>
            </w:tcBorders>
            <w:tcMar>
              <w:top w:type="dxa" w:w="100"/>
              <w:left w:type="dxa" w:w="140"/>
              <w:bottom w:type="dxa" w:w="100"/>
              <w:right w:type="dxa" w:w="140"/>
            </w:tcMar>
            <w:vAlign w:val="center"/>
          </w:tcPr>
          <w:p>
            <w:pPr>
              <w:spacing w:after="30" w:before="30"/>
              <w:jc w:val="center"/>
            </w:pPr>
            <w:r>
              <w:rPr>
                <w:rFonts w:ascii="Calibri" w:cs="Calibri" w:eastAsia="Calibri" w:hAnsi="Calibri"/>
                <w:sz w:val="20"/>
                <w:szCs w:val="20"/>
              </w:rPr>
              <w:t xml:space="preserve">4,000-7,000</w:t>
            </w:r>
          </w:p>
        </w:tc>
        <w:tc>
          <w:tcPr>
            <w:tcBorders>
              <w:top w:val="single" w:color="B4B4B4" w:sz="4"/>
              <w:left w:val="single" w:color="B4B4B4" w:sz="4"/>
              <w:bottom w:val="single" w:color="B4B4B4" w:sz="4"/>
              <w:right w:val="single" w:color="B4B4B4" w:sz="4"/>
            </w:tcBorders>
            <w:tcMar>
              <w:top w:type="dxa" w:w="100"/>
              <w:left w:type="dxa" w:w="140"/>
              <w:bottom w:type="dxa" w:w="100"/>
              <w:right w:type="dxa" w:w="140"/>
            </w:tcMar>
            <w:vAlign w:val="center"/>
          </w:tcPr>
          <w:p>
            <w:pPr>
              <w:spacing w:after="30" w:before="30"/>
              <w:jc w:val="center"/>
            </w:pPr>
            <w:r>
              <w:rPr>
                <w:rFonts w:ascii="Calibri" w:cs="Calibri" w:eastAsia="Calibri" w:hAnsi="Calibri"/>
                <w:sz w:val="20"/>
                <w:szCs w:val="20"/>
              </w:rPr>
              <w:t xml:space="preserve">10-30</w:t>
            </w:r>
          </w:p>
        </w:tc>
        <w:tc>
          <w:tcPr>
            <w:tcBorders>
              <w:top w:val="single" w:color="B4B4B4" w:sz="4"/>
              <w:left w:val="single" w:color="B4B4B4" w:sz="4"/>
              <w:bottom w:val="single" w:color="B4B4B4" w:sz="4"/>
              <w:right w:val="single" w:color="B4B4B4" w:sz="4"/>
            </w:tcBorders>
            <w:tcMar>
              <w:top w:type="dxa" w:w="100"/>
              <w:left w:type="dxa" w:w="140"/>
              <w:bottom w:type="dxa" w:w="100"/>
              <w:right w:type="dxa" w:w="140"/>
            </w:tcMar>
            <w:vAlign w:val="center"/>
          </w:tcPr>
          <w:p>
            <w:pPr>
              <w:spacing w:after="30" w:before="30"/>
              <w:jc w:val="center"/>
            </w:pPr>
            <w:r>
              <w:rPr>
                <w:rFonts w:ascii="Calibri" w:cs="Calibri" w:eastAsia="Calibri" w:hAnsi="Calibri"/>
                <w:b/>
                <w:bCs/>
                <w:sz w:val="20"/>
                <w:szCs w:val="20"/>
              </w:rPr>
              <w:t xml:space="preserve">40k-210k</w:t>
            </w:r>
          </w:p>
        </w:tc>
      </w:tr>
      <w:tr>
        <w:tc>
          <w:tcPr>
            <w:tcBorders>
              <w:top w:val="single" w:color="B4B4B4" w:sz="4"/>
              <w:left w:val="single" w:color="B4B4B4" w:sz="4"/>
              <w:bottom w:val="single" w:color="B4B4B4" w:sz="4"/>
              <w:right w:val="single" w:color="B4B4B4" w:sz="4"/>
            </w:tcBorders>
            <w:shd w:fill="F4F6F8" w:val="clear"/>
            <w:tcMar>
              <w:top w:type="dxa" w:w="100"/>
              <w:left w:type="dxa" w:w="140"/>
              <w:bottom w:type="dxa" w:w="100"/>
              <w:right w:type="dxa" w:w="140"/>
            </w:tcMar>
            <w:vAlign w:val="center"/>
          </w:tcPr>
          <w:p>
            <w:pPr>
              <w:spacing w:after="30" w:before="30"/>
            </w:pPr>
            <w:r>
              <w:rPr>
                <w:rFonts w:ascii="Calibri" w:cs="Calibri" w:eastAsia="Calibri" w:hAnsi="Calibri"/>
                <w:sz w:val="20"/>
                <w:szCs w:val="20"/>
              </w:rPr>
              <w:t xml:space="preserve">Report (Fire Part B, structural design report)</w:t>
            </w:r>
          </w:p>
        </w:tc>
        <w:tc>
          <w:tcPr>
            <w:tcBorders>
              <w:top w:val="single" w:color="B4B4B4" w:sz="4"/>
              <w:left w:val="single" w:color="B4B4B4" w:sz="4"/>
              <w:bottom w:val="single" w:color="B4B4B4" w:sz="4"/>
              <w:right w:val="single" w:color="B4B4B4" w:sz="4"/>
            </w:tcBorders>
            <w:shd w:fill="F4F6F8" w:val="clear"/>
            <w:tcMar>
              <w:top w:type="dxa" w:w="100"/>
              <w:left w:type="dxa" w:w="140"/>
              <w:bottom w:type="dxa" w:w="100"/>
              <w:right w:type="dxa" w:w="140"/>
            </w:tcMar>
            <w:vAlign w:val="center"/>
          </w:tcPr>
          <w:p>
            <w:pPr>
              <w:spacing w:after="30" w:before="30"/>
              <w:jc w:val="center"/>
            </w:pPr>
            <w:r>
              <w:rPr>
                <w:rFonts w:ascii="Calibri" w:cs="Calibri" w:eastAsia="Calibri" w:hAnsi="Calibri"/>
                <w:sz w:val="20"/>
                <w:szCs w:val="20"/>
              </w:rPr>
              <w:t xml:space="preserve">2,500-4,000</w:t>
            </w:r>
          </w:p>
        </w:tc>
        <w:tc>
          <w:tcPr>
            <w:tcBorders>
              <w:top w:val="single" w:color="B4B4B4" w:sz="4"/>
              <w:left w:val="single" w:color="B4B4B4" w:sz="4"/>
              <w:bottom w:val="single" w:color="B4B4B4" w:sz="4"/>
              <w:right w:val="single" w:color="B4B4B4" w:sz="4"/>
            </w:tcBorders>
            <w:shd w:fill="F4F6F8" w:val="clear"/>
            <w:tcMar>
              <w:top w:type="dxa" w:w="100"/>
              <w:left w:type="dxa" w:w="140"/>
              <w:bottom w:type="dxa" w:w="100"/>
              <w:right w:type="dxa" w:w="140"/>
            </w:tcMar>
            <w:vAlign w:val="center"/>
          </w:tcPr>
          <w:p>
            <w:pPr>
              <w:spacing w:after="30" w:before="30"/>
              <w:jc w:val="center"/>
            </w:pPr>
            <w:r>
              <w:rPr>
                <w:rFonts w:ascii="Calibri" w:cs="Calibri" w:eastAsia="Calibri" w:hAnsi="Calibri"/>
                <w:sz w:val="20"/>
                <w:szCs w:val="20"/>
              </w:rPr>
              <w:t xml:space="preserve">5-50</w:t>
            </w:r>
          </w:p>
        </w:tc>
        <w:tc>
          <w:tcPr>
            <w:tcBorders>
              <w:top w:val="single" w:color="B4B4B4" w:sz="4"/>
              <w:left w:val="single" w:color="B4B4B4" w:sz="4"/>
              <w:bottom w:val="single" w:color="B4B4B4" w:sz="4"/>
              <w:right w:val="single" w:color="B4B4B4" w:sz="4"/>
            </w:tcBorders>
            <w:shd w:fill="F4F6F8" w:val="clear"/>
            <w:tcMar>
              <w:top w:type="dxa" w:w="100"/>
              <w:left w:type="dxa" w:w="140"/>
              <w:bottom w:type="dxa" w:w="100"/>
              <w:right w:type="dxa" w:w="140"/>
            </w:tcMar>
            <w:vAlign w:val="center"/>
          </w:tcPr>
          <w:p>
            <w:pPr>
              <w:spacing w:after="30" w:before="30"/>
              <w:jc w:val="center"/>
            </w:pPr>
            <w:r>
              <w:rPr>
                <w:rFonts w:ascii="Calibri" w:cs="Calibri" w:eastAsia="Calibri" w:hAnsi="Calibri"/>
                <w:b/>
                <w:bCs/>
                <w:sz w:val="20"/>
                <w:szCs w:val="20"/>
              </w:rPr>
              <w:t xml:space="preserve">12k-200k</w:t>
            </w:r>
          </w:p>
        </w:tc>
      </w:tr>
      <w:tr>
        <w:tc>
          <w:tcPr>
            <w:tcBorders>
              <w:top w:val="single" w:color="B4B4B4" w:sz="4"/>
              <w:left w:val="single" w:color="B4B4B4" w:sz="4"/>
              <w:bottom w:val="single" w:color="B4B4B4" w:sz="4"/>
              <w:right w:val="single" w:color="B4B4B4" w:sz="4"/>
            </w:tcBorders>
            <w:tcMar>
              <w:top w:type="dxa" w:w="100"/>
              <w:left w:type="dxa" w:w="140"/>
              <w:bottom w:type="dxa" w:w="100"/>
              <w:right w:type="dxa" w:w="140"/>
            </w:tcMar>
            <w:vAlign w:val="center"/>
          </w:tcPr>
          <w:p>
            <w:pPr>
              <w:spacing w:after="30" w:before="30"/>
            </w:pPr>
            <w:r>
              <w:rPr>
                <w:rFonts w:ascii="Calibri" w:cs="Calibri" w:eastAsia="Calibri" w:hAnsi="Calibri"/>
                <w:sz w:val="20"/>
                <w:szCs w:val="20"/>
              </w:rPr>
              <w:t xml:space="preserve">Reasoning / output tokens (orchestration + findings)</w:t>
            </w:r>
          </w:p>
        </w:tc>
        <w:tc>
          <w:tcPr>
            <w:tcBorders>
              <w:top w:val="single" w:color="B4B4B4" w:sz="4"/>
              <w:left w:val="single" w:color="B4B4B4" w:sz="4"/>
              <w:bottom w:val="single" w:color="B4B4B4" w:sz="4"/>
              <w:right w:val="single" w:color="B4B4B4" w:sz="4"/>
            </w:tcBorders>
            <w:tcMar>
              <w:top w:type="dxa" w:w="100"/>
              <w:left w:type="dxa" w:w="140"/>
              <w:bottom w:type="dxa" w:w="100"/>
              <w:right w:type="dxa" w:w="140"/>
            </w:tcMar>
            <w:vAlign w:val="center"/>
          </w:tcPr>
          <w:p>
            <w:pPr>
              <w:spacing w:after="30" w:before="30"/>
              <w:jc w:val="center"/>
            </w:pPr>
            <w:r>
              <w:rPr>
                <w:rFonts w:ascii="Calibri" w:cs="Calibri" w:eastAsia="Calibri" w:hAnsi="Calibri"/>
                <w:sz w:val="20"/>
                <w:szCs w:val="20"/>
              </w:rPr>
              <w:t xml:space="preserve">—</w:t>
            </w:r>
          </w:p>
        </w:tc>
        <w:tc>
          <w:tcPr>
            <w:tcBorders>
              <w:top w:val="single" w:color="B4B4B4" w:sz="4"/>
              <w:left w:val="single" w:color="B4B4B4" w:sz="4"/>
              <w:bottom w:val="single" w:color="B4B4B4" w:sz="4"/>
              <w:right w:val="single" w:color="B4B4B4" w:sz="4"/>
            </w:tcBorders>
            <w:tcMar>
              <w:top w:type="dxa" w:w="100"/>
              <w:left w:type="dxa" w:w="140"/>
              <w:bottom w:type="dxa" w:w="100"/>
              <w:right w:type="dxa" w:w="140"/>
            </w:tcMar>
            <w:vAlign w:val="center"/>
          </w:tcPr>
          <w:p>
            <w:pPr>
              <w:spacing w:after="30" w:before="30"/>
              <w:jc w:val="center"/>
            </w:pPr>
            <w:r>
              <w:rPr>
                <w:rFonts w:ascii="Calibri" w:cs="Calibri" w:eastAsia="Calibri" w:hAnsi="Calibri"/>
                <w:sz w:val="20"/>
                <w:szCs w:val="20"/>
              </w:rPr>
              <w:t xml:space="preserve">Variable</w:t>
            </w:r>
          </w:p>
        </w:tc>
        <w:tc>
          <w:tcPr>
            <w:tcBorders>
              <w:top w:val="single" w:color="B4B4B4" w:sz="4"/>
              <w:left w:val="single" w:color="B4B4B4" w:sz="4"/>
              <w:bottom w:val="single" w:color="B4B4B4" w:sz="4"/>
              <w:right w:val="single" w:color="B4B4B4" w:sz="4"/>
            </w:tcBorders>
            <w:tcMar>
              <w:top w:type="dxa" w:w="100"/>
              <w:left w:type="dxa" w:w="140"/>
              <w:bottom w:type="dxa" w:w="100"/>
              <w:right w:type="dxa" w:w="140"/>
            </w:tcMar>
            <w:vAlign w:val="center"/>
          </w:tcPr>
          <w:p>
            <w:pPr>
              <w:spacing w:after="30" w:before="30"/>
              <w:jc w:val="center"/>
            </w:pPr>
            <w:r>
              <w:rPr>
                <w:rFonts w:ascii="Calibri" w:cs="Calibri" w:eastAsia="Calibri" w:hAnsi="Calibri"/>
                <w:b/>
                <w:bCs/>
                <w:sz w:val="20"/>
                <w:szCs w:val="20"/>
              </w:rPr>
              <w:t xml:space="preserve">Add 30-50% on top of input</w:t>
            </w:r>
          </w:p>
        </w:tc>
      </w:tr>
    </w:tbl>
    <w:p>
      <w:pPr>
        <w:pStyle w:val="Heading2"/>
        <w:spacing w:after="140" w:before="280"/>
      </w:pPr>
      <w:r>
        <w:rPr>
          <w:rFonts w:ascii="Calibri" w:cs="Calibri" w:eastAsia="Calibri" w:hAnsi="Calibri"/>
          <w:b/>
          <w:bCs/>
          <w:color w:val="1A1A1A"/>
          <w:sz w:val="26"/>
          <w:szCs w:val="26"/>
        </w:rPr>
        <w:t xml:space="preserve">6.2 Cost per check by tier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1700"/>
        <w:gridCol w:w="1700"/>
        <w:gridCol w:w="2446"/>
      </w:tblGrid>
      <w:tr>
        <w:trPr>
          <w:tblHeader/>
        </w:trPr>
        <w:tc>
          <w:tcPr>
            <w:tcW w:type="dxa" w:w="2200"/>
            <w:tcBorders>
              <w:top w:val="single" w:color="B4B4B4" w:sz="4"/>
              <w:left w:val="single" w:color="B4B4B4" w:sz="4"/>
              <w:bottom w:val="single" w:color="B4B4B4" w:sz="4"/>
              <w:right w:val="single" w:color="B4B4B4" w:sz="4"/>
            </w:tcBorders>
            <w:shd w:fill="0E3A6E" w:val="clear"/>
            <w:tcMar>
              <w:top w:type="dxa" w:w="100"/>
              <w:left w:type="dxa" w:w="140"/>
              <w:bottom w:type="dxa" w:w="100"/>
              <w:right w:type="dxa" w:w="140"/>
            </w:tcMar>
            <w:vAlign w:val="center"/>
          </w:tcPr>
          <w:p>
            <w:pPr>
              <w:spacing w:after="30" w:before="30"/>
            </w:pPr>
            <w:r>
              <w:rPr>
                <w:rFonts w:ascii="Calibri" w:cs="Calibri" w:eastAsia="Calibri" w:hAnsi="Calibri"/>
                <w:b/>
                <w:bCs/>
                <w:color w:val="FFFFFF"/>
                <w:sz w:val="20"/>
                <w:szCs w:val="20"/>
              </w:rPr>
              <w:t xml:space="preserve">Tier</w:t>
            </w:r>
          </w:p>
        </w:tc>
        <w:tc>
          <w:tcPr>
            <w:tcW w:type="dxa" w:w="1700"/>
            <w:tcBorders>
              <w:top w:val="single" w:color="B4B4B4" w:sz="4"/>
              <w:left w:val="single" w:color="B4B4B4" w:sz="4"/>
              <w:bottom w:val="single" w:color="B4B4B4" w:sz="4"/>
              <w:right w:val="single" w:color="B4B4B4" w:sz="4"/>
            </w:tcBorders>
            <w:shd w:fill="0E3A6E" w:val="clear"/>
            <w:tcMar>
              <w:top w:type="dxa" w:w="100"/>
              <w:left w:type="dxa" w:w="140"/>
              <w:bottom w:type="dxa" w:w="100"/>
              <w:right w:type="dxa" w:w="140"/>
            </w:tcMar>
            <w:vAlign w:val="center"/>
          </w:tcPr>
          <w:p>
            <w:pPr>
              <w:spacing w:after="30" w:before="30"/>
            </w:pPr>
            <w:r>
              <w:rPr>
                <w:rFonts w:ascii="Calibri" w:cs="Calibri" w:eastAsia="Calibri" w:hAnsi="Calibri"/>
                <w:b/>
                <w:bCs/>
                <w:color w:val="FFFFFF"/>
                <w:sz w:val="20"/>
                <w:szCs w:val="20"/>
              </w:rPr>
              <w:t xml:space="preserve">Input tokens (est.)</w:t>
            </w:r>
          </w:p>
        </w:tc>
        <w:tc>
          <w:tcPr>
            <w:tcW w:type="dxa" w:w="1700"/>
            <w:tcBorders>
              <w:top w:val="single" w:color="B4B4B4" w:sz="4"/>
              <w:left w:val="single" w:color="B4B4B4" w:sz="4"/>
              <w:bottom w:val="single" w:color="B4B4B4" w:sz="4"/>
              <w:right w:val="single" w:color="B4B4B4" w:sz="4"/>
            </w:tcBorders>
            <w:shd w:fill="0E3A6E" w:val="clear"/>
            <w:tcMar>
              <w:top w:type="dxa" w:w="100"/>
              <w:left w:type="dxa" w:w="140"/>
              <w:bottom w:type="dxa" w:w="100"/>
              <w:right w:type="dxa" w:w="140"/>
            </w:tcMar>
            <w:vAlign w:val="center"/>
          </w:tcPr>
          <w:p>
            <w:pPr>
              <w:spacing w:after="30" w:before="30"/>
            </w:pPr>
            <w:r>
              <w:rPr>
                <w:rFonts w:ascii="Calibri" w:cs="Calibri" w:eastAsia="Calibri" w:hAnsi="Calibri"/>
                <w:b/>
                <w:bCs/>
                <w:color w:val="FFFFFF"/>
                <w:sz w:val="20"/>
                <w:szCs w:val="20"/>
              </w:rPr>
              <w:t xml:space="preserve">Total tokens (incl. reasoning)</w:t>
            </w:r>
          </w:p>
        </w:tc>
        <w:tc>
          <w:tcPr>
            <w:tcW w:type="dxa" w:w="1700"/>
            <w:tcBorders>
              <w:top w:val="single" w:color="B4B4B4" w:sz="4"/>
              <w:left w:val="single" w:color="B4B4B4" w:sz="4"/>
              <w:bottom w:val="single" w:color="B4B4B4" w:sz="4"/>
              <w:right w:val="single" w:color="B4B4B4" w:sz="4"/>
            </w:tcBorders>
            <w:shd w:fill="0E3A6E" w:val="clear"/>
            <w:tcMar>
              <w:top w:type="dxa" w:w="100"/>
              <w:left w:type="dxa" w:w="140"/>
              <w:bottom w:type="dxa" w:w="100"/>
              <w:right w:type="dxa" w:w="140"/>
            </w:tcMar>
            <w:vAlign w:val="center"/>
          </w:tcPr>
          <w:p>
            <w:pPr>
              <w:spacing w:after="30" w:before="30"/>
            </w:pPr>
            <w:r>
              <w:rPr>
                <w:rFonts w:ascii="Calibri" w:cs="Calibri" w:eastAsia="Calibri" w:hAnsi="Calibri"/>
                <w:b/>
                <w:bCs/>
                <w:color w:val="FFFFFF"/>
                <w:sz w:val="20"/>
                <w:szCs w:val="20"/>
              </w:rPr>
              <w:t xml:space="preserve">Inference cost (€) at frontier rates</w:t>
            </w:r>
          </w:p>
        </w:tc>
        <w:tc>
          <w:tcPr>
            <w:tcW w:type="dxa" w:w="2446"/>
            <w:tcBorders>
              <w:top w:val="single" w:color="B4B4B4" w:sz="4"/>
              <w:left w:val="single" w:color="B4B4B4" w:sz="4"/>
              <w:bottom w:val="single" w:color="B4B4B4" w:sz="4"/>
              <w:right w:val="single" w:color="B4B4B4" w:sz="4"/>
            </w:tcBorders>
            <w:shd w:fill="0E3A6E" w:val="clear"/>
            <w:tcMar>
              <w:top w:type="dxa" w:w="100"/>
              <w:left w:type="dxa" w:w="140"/>
              <w:bottom w:type="dxa" w:w="100"/>
              <w:right w:type="dxa" w:w="140"/>
            </w:tcMar>
            <w:vAlign w:val="center"/>
          </w:tcPr>
          <w:p>
            <w:pPr>
              <w:spacing w:after="30" w:before="30"/>
            </w:pPr>
            <w:r>
              <w:rPr>
                <w:rFonts w:ascii="Calibri" w:cs="Calibri" w:eastAsia="Calibri" w:hAnsi="Calibri"/>
                <w:b/>
                <w:bCs/>
                <w:color w:val="FFFFFF"/>
                <w:sz w:val="20"/>
                <w:szCs w:val="20"/>
              </w:rPr>
              <w:t xml:space="preserve">List price</w:t>
            </w:r>
          </w:p>
        </w:tc>
      </w:tr>
      <w:tr>
        <w:tc>
          <w:tcPr>
            <w:tcBorders>
              <w:top w:val="single" w:color="B4B4B4" w:sz="4"/>
              <w:left w:val="single" w:color="B4B4B4" w:sz="4"/>
              <w:bottom w:val="single" w:color="B4B4B4" w:sz="4"/>
              <w:right w:val="single" w:color="B4B4B4" w:sz="4"/>
            </w:tcBorders>
            <w:tcMar>
              <w:top w:type="dxa" w:w="100"/>
              <w:left w:type="dxa" w:w="140"/>
              <w:bottom w:type="dxa" w:w="100"/>
              <w:right w:type="dxa" w:w="140"/>
            </w:tcMar>
            <w:vAlign w:val="center"/>
          </w:tcPr>
          <w:p>
            <w:pPr>
              <w:spacing w:after="30" w:before="30"/>
            </w:pPr>
            <w:r>
              <w:rPr>
                <w:rFonts w:ascii="Calibri" w:cs="Calibri" w:eastAsia="Calibri" w:hAnsi="Calibri"/>
                <w:b/>
                <w:bCs/>
                <w:sz w:val="20"/>
                <w:szCs w:val="20"/>
              </w:rPr>
              <w:t xml:space="preserve">Tier 1 — Small</w:t>
            </w:r>
          </w:p>
        </w:tc>
        <w:tc>
          <w:tcPr>
            <w:tcBorders>
              <w:top w:val="single" w:color="B4B4B4" w:sz="4"/>
              <w:left w:val="single" w:color="B4B4B4" w:sz="4"/>
              <w:bottom w:val="single" w:color="B4B4B4" w:sz="4"/>
              <w:right w:val="single" w:color="B4B4B4" w:sz="4"/>
            </w:tcBorders>
            <w:tcMar>
              <w:top w:type="dxa" w:w="100"/>
              <w:left w:type="dxa" w:w="140"/>
              <w:bottom w:type="dxa" w:w="100"/>
              <w:right w:type="dxa" w:w="140"/>
            </w:tcMar>
            <w:vAlign w:val="center"/>
          </w:tcPr>
          <w:p>
            <w:pPr>
              <w:spacing w:after="30" w:before="30"/>
              <w:jc w:val="center"/>
            </w:pPr>
            <w:r>
              <w:rPr>
                <w:rFonts w:ascii="Calibri" w:cs="Calibri" w:eastAsia="Calibri" w:hAnsi="Calibri"/>
                <w:sz w:val="20"/>
                <w:szCs w:val="20"/>
              </w:rPr>
              <w:t xml:space="preserve">100k-400k</w:t>
            </w:r>
          </w:p>
        </w:tc>
        <w:tc>
          <w:tcPr>
            <w:tcBorders>
              <w:top w:val="single" w:color="B4B4B4" w:sz="4"/>
              <w:left w:val="single" w:color="B4B4B4" w:sz="4"/>
              <w:bottom w:val="single" w:color="B4B4B4" w:sz="4"/>
              <w:right w:val="single" w:color="B4B4B4" w:sz="4"/>
            </w:tcBorders>
            <w:tcMar>
              <w:top w:type="dxa" w:w="100"/>
              <w:left w:type="dxa" w:w="140"/>
              <w:bottom w:type="dxa" w:w="100"/>
              <w:right w:type="dxa" w:w="140"/>
            </w:tcMar>
            <w:vAlign w:val="center"/>
          </w:tcPr>
          <w:p>
            <w:pPr>
              <w:spacing w:after="30" w:before="30"/>
              <w:jc w:val="center"/>
            </w:pPr>
            <w:r>
              <w:rPr>
                <w:rFonts w:ascii="Calibri" w:cs="Calibri" w:eastAsia="Calibri" w:hAnsi="Calibri"/>
                <w:sz w:val="20"/>
                <w:szCs w:val="20"/>
              </w:rPr>
              <w:t xml:space="preserve">150k-600k</w:t>
            </w:r>
          </w:p>
        </w:tc>
        <w:tc>
          <w:tcPr>
            <w:tcBorders>
              <w:top w:val="single" w:color="B4B4B4" w:sz="4"/>
              <w:left w:val="single" w:color="B4B4B4" w:sz="4"/>
              <w:bottom w:val="single" w:color="B4B4B4" w:sz="4"/>
              <w:right w:val="single" w:color="B4B4B4" w:sz="4"/>
            </w:tcBorders>
            <w:tcMar>
              <w:top w:type="dxa" w:w="100"/>
              <w:left w:type="dxa" w:w="140"/>
              <w:bottom w:type="dxa" w:w="100"/>
              <w:right w:type="dxa" w:w="140"/>
            </w:tcMar>
            <w:vAlign w:val="center"/>
          </w:tcPr>
          <w:p>
            <w:pPr>
              <w:spacing w:after="30" w:before="30"/>
              <w:jc w:val="center"/>
            </w:pPr>
            <w:r>
              <w:rPr>
                <w:rFonts w:ascii="Calibri" w:cs="Calibri" w:eastAsia="Calibri" w:hAnsi="Calibri"/>
                <w:sz w:val="20"/>
                <w:szCs w:val="20"/>
              </w:rPr>
              <w:t xml:space="preserve">€1.50-€8.00</w:t>
            </w:r>
          </w:p>
        </w:tc>
        <w:tc>
          <w:tcPr>
            <w:tcBorders>
              <w:top w:val="single" w:color="B4B4B4" w:sz="4"/>
              <w:left w:val="single" w:color="B4B4B4" w:sz="4"/>
              <w:bottom w:val="single" w:color="B4B4B4" w:sz="4"/>
              <w:right w:val="single" w:color="B4B4B4" w:sz="4"/>
            </w:tcBorders>
            <w:tcMar>
              <w:top w:type="dxa" w:w="100"/>
              <w:left w:type="dxa" w:w="140"/>
              <w:bottom w:type="dxa" w:w="100"/>
              <w:right w:type="dxa" w:w="140"/>
            </w:tcMar>
            <w:vAlign w:val="center"/>
          </w:tcPr>
          <w:p>
            <w:pPr>
              <w:spacing w:after="30" w:before="30"/>
              <w:jc w:val="center"/>
            </w:pPr>
            <w:r>
              <w:rPr>
                <w:rFonts w:ascii="Calibri" w:cs="Calibri" w:eastAsia="Calibri" w:hAnsi="Calibri"/>
                <w:b/>
                <w:bCs/>
                <w:color w:val="0E3A6E"/>
                <w:sz w:val="20"/>
                <w:szCs w:val="20"/>
              </w:rPr>
              <w:t xml:space="preserve">€150</w:t>
            </w:r>
          </w:p>
        </w:tc>
      </w:tr>
      <w:tr>
        <w:tc>
          <w:tcPr>
            <w:tcBorders>
              <w:top w:val="single" w:color="B4B4B4" w:sz="4"/>
              <w:left w:val="single" w:color="B4B4B4" w:sz="4"/>
              <w:bottom w:val="single" w:color="B4B4B4" w:sz="4"/>
              <w:right w:val="single" w:color="B4B4B4" w:sz="4"/>
            </w:tcBorders>
            <w:shd w:fill="F4F6F8" w:val="clear"/>
            <w:tcMar>
              <w:top w:type="dxa" w:w="100"/>
              <w:left w:type="dxa" w:w="140"/>
              <w:bottom w:type="dxa" w:w="100"/>
              <w:right w:type="dxa" w:w="140"/>
            </w:tcMar>
            <w:vAlign w:val="center"/>
          </w:tcPr>
          <w:p>
            <w:pPr>
              <w:spacing w:after="30" w:before="30"/>
            </w:pPr>
            <w:r>
              <w:rPr>
                <w:rFonts w:ascii="Calibri" w:cs="Calibri" w:eastAsia="Calibri" w:hAnsi="Calibri"/>
                <w:b/>
                <w:bCs/>
                <w:sz w:val="20"/>
                <w:szCs w:val="20"/>
              </w:rPr>
              <w:t xml:space="preserve">Tier 2 — Mid</w:t>
            </w:r>
          </w:p>
        </w:tc>
        <w:tc>
          <w:tcPr>
            <w:tcBorders>
              <w:top w:val="single" w:color="B4B4B4" w:sz="4"/>
              <w:left w:val="single" w:color="B4B4B4" w:sz="4"/>
              <w:bottom w:val="single" w:color="B4B4B4" w:sz="4"/>
              <w:right w:val="single" w:color="B4B4B4" w:sz="4"/>
            </w:tcBorders>
            <w:shd w:fill="F4F6F8" w:val="clear"/>
            <w:tcMar>
              <w:top w:type="dxa" w:w="100"/>
              <w:left w:type="dxa" w:w="140"/>
              <w:bottom w:type="dxa" w:w="100"/>
              <w:right w:type="dxa" w:w="140"/>
            </w:tcMar>
            <w:vAlign w:val="center"/>
          </w:tcPr>
          <w:p>
            <w:pPr>
              <w:spacing w:after="30" w:before="30"/>
              <w:jc w:val="center"/>
            </w:pPr>
            <w:r>
              <w:rPr>
                <w:rFonts w:ascii="Calibri" w:cs="Calibri" w:eastAsia="Calibri" w:hAnsi="Calibri"/>
                <w:sz w:val="20"/>
                <w:szCs w:val="20"/>
              </w:rPr>
              <w:t xml:space="preserve">400k-1.5m</w:t>
            </w:r>
          </w:p>
        </w:tc>
        <w:tc>
          <w:tcPr>
            <w:tcBorders>
              <w:top w:val="single" w:color="B4B4B4" w:sz="4"/>
              <w:left w:val="single" w:color="B4B4B4" w:sz="4"/>
              <w:bottom w:val="single" w:color="B4B4B4" w:sz="4"/>
              <w:right w:val="single" w:color="B4B4B4" w:sz="4"/>
            </w:tcBorders>
            <w:shd w:fill="F4F6F8" w:val="clear"/>
            <w:tcMar>
              <w:top w:type="dxa" w:w="100"/>
              <w:left w:type="dxa" w:w="140"/>
              <w:bottom w:type="dxa" w:w="100"/>
              <w:right w:type="dxa" w:w="140"/>
            </w:tcMar>
            <w:vAlign w:val="center"/>
          </w:tcPr>
          <w:p>
            <w:pPr>
              <w:spacing w:after="30" w:before="30"/>
              <w:jc w:val="center"/>
            </w:pPr>
            <w:r>
              <w:rPr>
                <w:rFonts w:ascii="Calibri" w:cs="Calibri" w:eastAsia="Calibri" w:hAnsi="Calibri"/>
                <w:sz w:val="20"/>
                <w:szCs w:val="20"/>
              </w:rPr>
              <w:t xml:space="preserve">600k-2.2m</w:t>
            </w:r>
          </w:p>
        </w:tc>
        <w:tc>
          <w:tcPr>
            <w:tcBorders>
              <w:top w:val="single" w:color="B4B4B4" w:sz="4"/>
              <w:left w:val="single" w:color="B4B4B4" w:sz="4"/>
              <w:bottom w:val="single" w:color="B4B4B4" w:sz="4"/>
              <w:right w:val="single" w:color="B4B4B4" w:sz="4"/>
            </w:tcBorders>
            <w:shd w:fill="F4F6F8" w:val="clear"/>
            <w:tcMar>
              <w:top w:type="dxa" w:w="100"/>
              <w:left w:type="dxa" w:w="140"/>
              <w:bottom w:type="dxa" w:w="100"/>
              <w:right w:type="dxa" w:w="140"/>
            </w:tcMar>
            <w:vAlign w:val="center"/>
          </w:tcPr>
          <w:p>
            <w:pPr>
              <w:spacing w:after="30" w:before="30"/>
              <w:jc w:val="center"/>
            </w:pPr>
            <w:r>
              <w:rPr>
                <w:rFonts w:ascii="Calibri" w:cs="Calibri" w:eastAsia="Calibri" w:hAnsi="Calibri"/>
                <w:sz w:val="20"/>
                <w:szCs w:val="20"/>
              </w:rPr>
              <w:t xml:space="preserve">€8-€35</w:t>
            </w:r>
          </w:p>
        </w:tc>
        <w:tc>
          <w:tcPr>
            <w:tcBorders>
              <w:top w:val="single" w:color="B4B4B4" w:sz="4"/>
              <w:left w:val="single" w:color="B4B4B4" w:sz="4"/>
              <w:bottom w:val="single" w:color="B4B4B4" w:sz="4"/>
              <w:right w:val="single" w:color="B4B4B4" w:sz="4"/>
            </w:tcBorders>
            <w:shd w:fill="F4F6F8" w:val="clear"/>
            <w:tcMar>
              <w:top w:type="dxa" w:w="100"/>
              <w:left w:type="dxa" w:w="140"/>
              <w:bottom w:type="dxa" w:w="100"/>
              <w:right w:type="dxa" w:w="140"/>
            </w:tcMar>
            <w:vAlign w:val="center"/>
          </w:tcPr>
          <w:p>
            <w:pPr>
              <w:spacing w:after="30" w:before="30"/>
              <w:jc w:val="center"/>
            </w:pPr>
            <w:r>
              <w:rPr>
                <w:rFonts w:ascii="Calibri" w:cs="Calibri" w:eastAsia="Calibri" w:hAnsi="Calibri"/>
                <w:b/>
                <w:bCs/>
                <w:color w:val="0E3A6E"/>
                <w:sz w:val="20"/>
                <w:szCs w:val="20"/>
              </w:rPr>
              <w:t xml:space="preserve">€400</w:t>
            </w:r>
          </w:p>
        </w:tc>
      </w:tr>
      <w:tr>
        <w:tc>
          <w:tcPr>
            <w:tcBorders>
              <w:top w:val="single" w:color="B4B4B4" w:sz="4"/>
              <w:left w:val="single" w:color="B4B4B4" w:sz="4"/>
              <w:bottom w:val="single" w:color="B4B4B4" w:sz="4"/>
              <w:right w:val="single" w:color="B4B4B4" w:sz="4"/>
            </w:tcBorders>
            <w:tcMar>
              <w:top w:type="dxa" w:w="100"/>
              <w:left w:type="dxa" w:w="140"/>
              <w:bottom w:type="dxa" w:w="100"/>
              <w:right w:type="dxa" w:w="140"/>
            </w:tcMar>
            <w:vAlign w:val="center"/>
          </w:tcPr>
          <w:p>
            <w:pPr>
              <w:spacing w:after="30" w:before="30"/>
            </w:pPr>
            <w:r>
              <w:rPr>
                <w:rFonts w:ascii="Calibri" w:cs="Calibri" w:eastAsia="Calibri" w:hAnsi="Calibri"/>
                <w:b/>
                <w:bCs/>
                <w:sz w:val="20"/>
                <w:szCs w:val="20"/>
              </w:rPr>
              <w:t xml:space="preserve">Tier 3 — Large</w:t>
            </w:r>
          </w:p>
        </w:tc>
        <w:tc>
          <w:tcPr>
            <w:tcBorders>
              <w:top w:val="single" w:color="B4B4B4" w:sz="4"/>
              <w:left w:val="single" w:color="B4B4B4" w:sz="4"/>
              <w:bottom w:val="single" w:color="B4B4B4" w:sz="4"/>
              <w:right w:val="single" w:color="B4B4B4" w:sz="4"/>
            </w:tcBorders>
            <w:tcMar>
              <w:top w:type="dxa" w:w="100"/>
              <w:left w:type="dxa" w:w="140"/>
              <w:bottom w:type="dxa" w:w="100"/>
              <w:right w:type="dxa" w:w="140"/>
            </w:tcMar>
            <w:vAlign w:val="center"/>
          </w:tcPr>
          <w:p>
            <w:pPr>
              <w:spacing w:after="30" w:before="30"/>
              <w:jc w:val="center"/>
            </w:pPr>
            <w:r>
              <w:rPr>
                <w:rFonts w:ascii="Calibri" w:cs="Calibri" w:eastAsia="Calibri" w:hAnsi="Calibri"/>
                <w:sz w:val="20"/>
                <w:szCs w:val="20"/>
              </w:rPr>
              <w:t xml:space="preserve">1.5m-4m</w:t>
            </w:r>
          </w:p>
        </w:tc>
        <w:tc>
          <w:tcPr>
            <w:tcBorders>
              <w:top w:val="single" w:color="B4B4B4" w:sz="4"/>
              <w:left w:val="single" w:color="B4B4B4" w:sz="4"/>
              <w:bottom w:val="single" w:color="B4B4B4" w:sz="4"/>
              <w:right w:val="single" w:color="B4B4B4" w:sz="4"/>
            </w:tcBorders>
            <w:tcMar>
              <w:top w:type="dxa" w:w="100"/>
              <w:left w:type="dxa" w:w="140"/>
              <w:bottom w:type="dxa" w:w="100"/>
              <w:right w:type="dxa" w:w="140"/>
            </w:tcMar>
            <w:vAlign w:val="center"/>
          </w:tcPr>
          <w:p>
            <w:pPr>
              <w:spacing w:after="30" w:before="30"/>
              <w:jc w:val="center"/>
            </w:pPr>
            <w:r>
              <w:rPr>
                <w:rFonts w:ascii="Calibri" w:cs="Calibri" w:eastAsia="Calibri" w:hAnsi="Calibri"/>
                <w:sz w:val="20"/>
                <w:szCs w:val="20"/>
              </w:rPr>
              <w:t xml:space="preserve">2.2m-6m</w:t>
            </w:r>
          </w:p>
        </w:tc>
        <w:tc>
          <w:tcPr>
            <w:tcBorders>
              <w:top w:val="single" w:color="B4B4B4" w:sz="4"/>
              <w:left w:val="single" w:color="B4B4B4" w:sz="4"/>
              <w:bottom w:val="single" w:color="B4B4B4" w:sz="4"/>
              <w:right w:val="single" w:color="B4B4B4" w:sz="4"/>
            </w:tcBorders>
            <w:tcMar>
              <w:top w:type="dxa" w:w="100"/>
              <w:left w:type="dxa" w:w="140"/>
              <w:bottom w:type="dxa" w:w="100"/>
              <w:right w:type="dxa" w:w="140"/>
            </w:tcMar>
            <w:vAlign w:val="center"/>
          </w:tcPr>
          <w:p>
            <w:pPr>
              <w:spacing w:after="30" w:before="30"/>
              <w:jc w:val="center"/>
            </w:pPr>
            <w:r>
              <w:rPr>
                <w:rFonts w:ascii="Calibri" w:cs="Calibri" w:eastAsia="Calibri" w:hAnsi="Calibri"/>
                <w:sz w:val="20"/>
                <w:szCs w:val="20"/>
              </w:rPr>
              <w:t xml:space="preserve">€35-€95</w:t>
            </w:r>
          </w:p>
        </w:tc>
        <w:tc>
          <w:tcPr>
            <w:tcBorders>
              <w:top w:val="single" w:color="B4B4B4" w:sz="4"/>
              <w:left w:val="single" w:color="B4B4B4" w:sz="4"/>
              <w:bottom w:val="single" w:color="B4B4B4" w:sz="4"/>
              <w:right w:val="single" w:color="B4B4B4" w:sz="4"/>
            </w:tcBorders>
            <w:tcMar>
              <w:top w:type="dxa" w:w="100"/>
              <w:left w:type="dxa" w:w="140"/>
              <w:bottom w:type="dxa" w:w="100"/>
              <w:right w:type="dxa" w:w="140"/>
            </w:tcMar>
            <w:vAlign w:val="center"/>
          </w:tcPr>
          <w:p>
            <w:pPr>
              <w:spacing w:after="30" w:before="30"/>
              <w:jc w:val="center"/>
            </w:pPr>
            <w:r>
              <w:rPr>
                <w:rFonts w:ascii="Calibri" w:cs="Calibri" w:eastAsia="Calibri" w:hAnsi="Calibri"/>
                <w:b/>
                <w:bCs/>
                <w:color w:val="0E3A6E"/>
                <w:sz w:val="20"/>
                <w:szCs w:val="20"/>
              </w:rPr>
              <w:t xml:space="preserve">€800</w:t>
            </w:r>
          </w:p>
        </w:tc>
      </w:tr>
      <w:tr>
        <w:tc>
          <w:tcPr>
            <w:tcBorders>
              <w:top w:val="single" w:color="B4B4B4" w:sz="4"/>
              <w:left w:val="single" w:color="B4B4B4" w:sz="4"/>
              <w:bottom w:val="single" w:color="B4B4B4" w:sz="4"/>
              <w:right w:val="single" w:color="B4B4B4" w:sz="4"/>
            </w:tcBorders>
            <w:shd w:fill="0E3A6E" w:val="clear"/>
            <w:tcMar>
              <w:top w:type="dxa" w:w="100"/>
              <w:left w:type="dxa" w:w="140"/>
              <w:bottom w:type="dxa" w:w="100"/>
              <w:right w:type="dxa" w:w="140"/>
            </w:tcMar>
            <w:vAlign w:val="center"/>
          </w:tcPr>
          <w:p>
            <w:pPr>
              <w:spacing w:after="30" w:before="30"/>
            </w:pPr>
            <w:r>
              <w:rPr>
                <w:rFonts w:ascii="Calibri" w:cs="Calibri" w:eastAsia="Calibri" w:hAnsi="Calibri"/>
                <w:b/>
                <w:bCs/>
                <w:color w:val="FFFFFF"/>
                <w:sz w:val="20"/>
                <w:szCs w:val="20"/>
              </w:rPr>
              <w:t xml:space="preserve">Gross margin per check</w:t>
            </w:r>
          </w:p>
        </w:tc>
        <w:tc>
          <w:tcPr>
            <w:tcBorders>
              <w:top w:val="single" w:color="B4B4B4" w:sz="4"/>
              <w:left w:val="single" w:color="B4B4B4" w:sz="4"/>
              <w:bottom w:val="single" w:color="B4B4B4" w:sz="4"/>
              <w:right w:val="single" w:color="B4B4B4" w:sz="4"/>
            </w:tcBorders>
            <w:shd w:fill="0E3A6E" w:val="clear"/>
            <w:tcMar>
              <w:top w:type="dxa" w:w="100"/>
              <w:left w:type="dxa" w:w="140"/>
              <w:bottom w:type="dxa" w:w="100"/>
              <w:right w:type="dxa" w:w="140"/>
            </w:tcMar>
            <w:vAlign w:val="center"/>
          </w:tcPr>
          <w:p>
            <w:pPr>
              <w:spacing w:after="30" w:before="30"/>
            </w:pPr>
            <w:r>
              <w:rPr>
                <w:rFonts w:ascii="Calibri" w:cs="Calibri" w:eastAsia="Calibri" w:hAnsi="Calibri"/>
                <w:color w:val="FFFFFF"/>
                <w:sz w:val="20"/>
                <w:szCs w:val="20"/>
              </w:rPr>
              <w:t xml:space="preserve"/>
            </w:r>
          </w:p>
        </w:tc>
        <w:tc>
          <w:tcPr>
            <w:tcBorders>
              <w:top w:val="single" w:color="B4B4B4" w:sz="4"/>
              <w:left w:val="single" w:color="B4B4B4" w:sz="4"/>
              <w:bottom w:val="single" w:color="B4B4B4" w:sz="4"/>
              <w:right w:val="single" w:color="B4B4B4" w:sz="4"/>
            </w:tcBorders>
            <w:shd w:fill="0E3A6E" w:val="clear"/>
            <w:tcMar>
              <w:top w:type="dxa" w:w="100"/>
              <w:left w:type="dxa" w:w="140"/>
              <w:bottom w:type="dxa" w:w="100"/>
              <w:right w:type="dxa" w:w="140"/>
            </w:tcMar>
            <w:vAlign w:val="center"/>
          </w:tcPr>
          <w:p>
            <w:pPr>
              <w:spacing w:after="30" w:before="30"/>
            </w:pPr>
            <w:r>
              <w:rPr>
                <w:rFonts w:ascii="Calibri" w:cs="Calibri" w:eastAsia="Calibri" w:hAnsi="Calibri"/>
                <w:color w:val="FFFFFF"/>
                <w:sz w:val="20"/>
                <w:szCs w:val="20"/>
              </w:rPr>
              <w:t xml:space="preserve"/>
            </w:r>
          </w:p>
        </w:tc>
        <w:tc>
          <w:tcPr>
            <w:tcBorders>
              <w:top w:val="single" w:color="B4B4B4" w:sz="4"/>
              <w:left w:val="single" w:color="B4B4B4" w:sz="4"/>
              <w:bottom w:val="single" w:color="B4B4B4" w:sz="4"/>
              <w:right w:val="single" w:color="B4B4B4" w:sz="4"/>
            </w:tcBorders>
            <w:shd w:fill="0E3A6E" w:val="clear"/>
            <w:tcMar>
              <w:top w:type="dxa" w:w="100"/>
              <w:left w:type="dxa" w:w="140"/>
              <w:bottom w:type="dxa" w:w="100"/>
              <w:right w:type="dxa" w:w="140"/>
            </w:tcMar>
            <w:vAlign w:val="center"/>
          </w:tcPr>
          <w:p>
            <w:pPr>
              <w:spacing w:after="30" w:before="30"/>
            </w:pPr>
            <w:r>
              <w:rPr>
                <w:rFonts w:ascii="Calibri" w:cs="Calibri" w:eastAsia="Calibri" w:hAnsi="Calibri"/>
                <w:color w:val="FFFFFF"/>
                <w:sz w:val="20"/>
                <w:szCs w:val="20"/>
              </w:rPr>
              <w:t xml:space="preserve"/>
            </w:r>
          </w:p>
        </w:tc>
        <w:tc>
          <w:tcPr>
            <w:tcBorders>
              <w:top w:val="single" w:color="B4B4B4" w:sz="4"/>
              <w:left w:val="single" w:color="B4B4B4" w:sz="4"/>
              <w:bottom w:val="single" w:color="B4B4B4" w:sz="4"/>
              <w:right w:val="single" w:color="B4B4B4" w:sz="4"/>
            </w:tcBorders>
            <w:shd w:fill="0E3A6E" w:val="clear"/>
            <w:tcMar>
              <w:top w:type="dxa" w:w="100"/>
              <w:left w:type="dxa" w:w="140"/>
              <w:bottom w:type="dxa" w:w="100"/>
              <w:right w:type="dxa" w:w="140"/>
            </w:tcMar>
            <w:vAlign w:val="center"/>
          </w:tcPr>
          <w:p>
            <w:pPr>
              <w:spacing w:after="30" w:before="30"/>
              <w:jc w:val="center"/>
            </w:pPr>
            <w:r>
              <w:rPr>
                <w:rFonts w:ascii="Calibri" w:cs="Calibri" w:eastAsia="Calibri" w:hAnsi="Calibri"/>
                <w:b/>
                <w:bCs/>
                <w:color w:val="FFFFFF"/>
                <w:sz w:val="20"/>
                <w:szCs w:val="20"/>
              </w:rPr>
              <w:t xml:space="preserve">85-95% gross</w:t>
            </w:r>
          </w:p>
        </w:tc>
      </w:tr>
    </w:tbl>
    <w:p>
      <w:pPr>
        <w:pStyle w:val="Heading2"/>
        <w:spacing w:after="140" w:before="280"/>
      </w:pPr>
      <w:r>
        <w:rPr>
          <w:rFonts w:ascii="Calibri" w:cs="Calibri" w:eastAsia="Calibri" w:hAnsi="Calibri"/>
          <w:b/>
          <w:bCs/>
          <w:color w:val="1A1A1A"/>
          <w:sz w:val="26"/>
          <w:szCs w:val="26"/>
        </w:rPr>
        <w:t xml:space="preserve">6.3 Cost-optimisation levers</w:t>
      </w:r>
    </w:p>
    <w:p>
      <w:pPr>
        <w:pStyle w:val="ListParagraph"/>
        <w:numPr>
          <w:ilvl w:val="0"/>
          <w:numId w:val="2"/>
        </w:numPr>
        <w:spacing w:after="30" w:before="30"/>
      </w:pPr>
      <w:r>
        <w:rPr>
          <w:rFonts w:ascii="Calibri" w:cs="Calibri" w:eastAsia="Calibri" w:hAnsi="Calibri"/>
          <w:sz w:val="22"/>
          <w:szCs w:val="22"/>
        </w:rPr>
        <w:t xml:space="preserve">Smart routing: cheaper models for hygiene / metadata checks, frontier models only for cross-discipline reasoning. Estimated 40-60% cost reduction at no quality loss.</w:t>
      </w:r>
    </w:p>
    <w:p>
      <w:pPr>
        <w:pStyle w:val="ListParagraph"/>
        <w:numPr>
          <w:ilvl w:val="0"/>
          <w:numId w:val="2"/>
        </w:numPr>
        <w:spacing w:after="30" w:before="30"/>
      </w:pPr>
      <w:r>
        <w:rPr>
          <w:rFonts w:ascii="Calibri" w:cs="Calibri" w:eastAsia="Calibri" w:hAnsi="Calibri"/>
          <w:sz w:val="22"/>
          <w:szCs w:val="22"/>
        </w:rPr>
        <w:t xml:space="preserve">Page-range targeting: do not feed every page of every spec to every check. Drawing register first, then targeted reads. Estimated 30-50% cost reduction on large packs.</w:t>
      </w:r>
    </w:p>
    <w:p>
      <w:pPr>
        <w:pStyle w:val="ListParagraph"/>
        <w:numPr>
          <w:ilvl w:val="0"/>
          <w:numId w:val="2"/>
        </w:numPr>
        <w:spacing w:after="30" w:before="30"/>
      </w:pPr>
      <w:r>
        <w:rPr>
          <w:rFonts w:ascii="Calibri" w:cs="Calibri" w:eastAsia="Calibri" w:hAnsi="Calibri"/>
          <w:sz w:val="22"/>
          <w:szCs w:val="22"/>
        </w:rPr>
        <w:t xml:space="preserve">Result caching: identical content across project iterations (revisions of same pack) hits cache, not new inference. Estimated 10-20% reduction in subscription / programme usage.</w:t>
      </w:r>
    </w:p>
    <w:p>
      <w:pPr>
        <w:pStyle w:val="ListParagraph"/>
        <w:numPr>
          <w:ilvl w:val="0"/>
          <w:numId w:val="2"/>
        </w:numPr>
        <w:spacing w:after="30" w:before="30"/>
      </w:pPr>
      <w:r>
        <w:rPr>
          <w:rFonts w:ascii="Calibri" w:cs="Calibri" w:eastAsia="Calibri" w:hAnsi="Calibri"/>
          <w:sz w:val="22"/>
          <w:szCs w:val="22"/>
        </w:rPr>
        <w:t xml:space="preserve">Frontier-model pricing trajectory: based on historical model-pricing trends, expect a further 30-40% reduction in inference cost per token over the next 12 months. Gross margin expands without price changes.</w:t>
      </w:r>
    </w:p>
    <w:p>
      <w:pPr>
        <w:pStyle w:val="Heading2"/>
        <w:spacing w:after="140" w:before="280"/>
      </w:pPr>
      <w:r>
        <w:rPr>
          <w:rFonts w:ascii="Calibri" w:cs="Calibri" w:eastAsia="Calibri" w:hAnsi="Calibri"/>
          <w:b/>
          <w:bCs/>
          <w:color w:val="1A1A1A"/>
          <w:sz w:val="26"/>
          <w:szCs w:val="26"/>
        </w:rPr>
        <w:t xml:space="preserve">6.4 Implications for pricing strategy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D49B00" w:sz="16"/>
              <w:left w:val="single" w:color="D49B00" w:sz="16"/>
              <w:bottom w:val="single" w:color="D49B00" w:sz="4"/>
              <w:right w:val="single" w:color="D49B00" w:sz="4"/>
            </w:tcBorders>
            <w:shd w:fill="FFF4D6" w:val="clear"/>
            <w:tcMar>
              <w:top w:type="dxa" w:w="160"/>
              <w:left w:type="dxa" w:w="200"/>
              <w:bottom w:type="dxa" w:w="160"/>
              <w:right w:type="dxa" w:w="200"/>
            </w:tcMar>
          </w:tcPr>
          <w:p>
            <w:pPr>
              <w:spacing w:after="80" w:before="0"/>
            </w:pPr>
            <w:r>
              <w:rPr>
                <w:rFonts w:ascii="Calibri" w:cs="Calibri" w:eastAsia="Calibri" w:hAnsi="Calibri"/>
                <w:b/>
                <w:bCs/>
                <w:color w:val="1A1A1A"/>
                <w:sz w:val="22"/>
                <w:szCs w:val="22"/>
              </w:rPr>
              <w:t xml:space="preserve">Pricing position is comfortable</w:t>
            </w:r>
          </w:p>
          <w:p>
            <w:pPr>
              <w:spacing w:after="40" w:before="40"/>
            </w:pPr>
            <w:r>
              <w:rPr>
                <w:rFonts w:ascii="Calibri" w:cs="Calibri" w:eastAsia="Calibri" w:hAnsi="Calibri"/>
                <w:sz w:val="20"/>
                <w:szCs w:val="20"/>
              </w:rPr>
              <w:t xml:space="preserve">At Tier 2 — Mid pack pricing of €400, with token cost of €8-€35, gross margin per check is 91-98% before allocation of fixed costs.</w:t>
            </w:r>
          </w:p>
          <w:p>
            <w:pPr>
              <w:spacing w:after="40" w:before="40"/>
            </w:pPr>
            <w:r>
              <w:rPr>
                <w:rFonts w:ascii="Calibri" w:cs="Calibri" w:eastAsia="Calibri" w:hAnsi="Calibri"/>
                <w:sz w:val="20"/>
                <w:szCs w:val="20"/>
              </w:rPr>
              <w:t xml:space="preserve">Even at the worst-case Tier 3 (large pack, complex multi-discipline) with €95 inference cost, gross margin at €800 list is 88%.</w:t>
            </w:r>
          </w:p>
          <w:p>
            <w:pPr>
              <w:spacing w:after="40" w:before="40"/>
            </w:pPr>
            <w:r>
              <w:rPr>
                <w:rFonts w:ascii="Calibri" w:cs="Calibri" w:eastAsia="Calibri" w:hAnsi="Calibri"/>
                <w:sz w:val="20"/>
                <w:szCs w:val="20"/>
              </w:rPr>
              <w:t xml:space="preserve">There is room to introduce promotional pricing (50% off first check, free first small check) without compromising the unit economics.</w:t>
            </w:r>
          </w:p>
          <w:p>
            <w:pPr>
              <w:spacing w:after="40" w:before="40"/>
            </w:pPr>
            <w:r>
              <w:rPr>
                <w:rFonts w:ascii="Calibri" w:cs="Calibri" w:eastAsia="Calibri" w:hAnsi="Calibri"/>
                <w:sz w:val="20"/>
                <w:szCs w:val="20"/>
              </w:rPr>
              <w:t xml:space="preserve">The pricing model is robust to a 2-3x increase in token consumption (e.g. if customers upload poorly compressed PDFs or unusually image-heavy packs) before margin pressure forces re-tiering.</w:t>
            </w:r>
          </w:p>
        </w:tc>
      </w:tr>
    </w:tbl>
    <w:p>
      <w:r>
        <w:br w:type="page"/>
      </w:r>
    </w:p>
    <w:p>
      <w:pPr>
        <w:pStyle w:val="Heading1"/>
        <w:spacing w:after="200" w:before="400"/>
      </w:pPr>
      <w:r>
        <w:rPr>
          <w:rFonts w:ascii="Calibri" w:cs="Calibri" w:eastAsia="Calibri" w:hAnsi="Calibri"/>
          <w:b/>
          <w:bCs/>
          <w:color w:val="0E3A6E"/>
          <w:sz w:val="32"/>
          <w:szCs w:val="32"/>
        </w:rPr>
        <w:t xml:space="preserve">7. Marketing Strategy</w:t>
      </w:r>
    </w:p>
    <w:p>
      <w:pPr>
        <w:pStyle w:val="Heading2"/>
        <w:spacing w:after="140" w:before="280"/>
      </w:pPr>
      <w:r>
        <w:rPr>
          <w:rFonts w:ascii="Calibri" w:cs="Calibri" w:eastAsia="Calibri" w:hAnsi="Calibri"/>
          <w:b/>
          <w:bCs/>
          <w:color w:val="1A1A1A"/>
          <w:sz w:val="26"/>
          <w:szCs w:val="26"/>
        </w:rPr>
        <w:t xml:space="preserve">7.1 Brand positioning</w:t>
      </w:r>
    </w:p>
    <w:p>
      <w:pPr>
        <w:spacing w:after="80" w:before="80"/>
      </w:pPr>
      <w:r>
        <w:rPr>
          <w:rFonts w:ascii="Calibri" w:cs="Calibri" w:eastAsia="Calibri" w:hAnsi="Calibri"/>
          <w:sz w:val="22"/>
          <w:szCs w:val="22"/>
        </w:rPr>
        <w:t xml:space="preserve">VerifIQ is positioned as a quality-assurance utility for the Irish construction document workflow. The brand language is functional, not aspirational. It uses Irish construction-industry terminology, references Irish standards by their correct designations, and avoids generic tech language. The target reader of every piece of marketing collateral is a senior person in an Irish design practice, contractor or public-sector capital team.</w:t>
      </w:r>
    </w:p>
    <w:p>
      <w:pPr>
        <w:spacing w:after="80" w:before="80"/>
      </w:pPr>
      <w:r>
        <w:rPr>
          <w:rFonts w:ascii="Calibri" w:cs="Calibri" w:eastAsia="Calibri" w:hAnsi="Calibri"/>
          <w:sz w:val="22"/>
          <w:szCs w:val="22"/>
        </w:rPr>
        <w:t xml:space="preserve">Three brand pillars:</w:t>
      </w:r>
    </w:p>
    <w:p>
      <w:pPr>
        <w:pStyle w:val="ListParagraph"/>
        <w:numPr>
          <w:ilvl w:val="0"/>
          <w:numId w:val="2"/>
        </w:numPr>
        <w:spacing w:after="30" w:before="30"/>
      </w:pPr>
      <w:r>
        <w:rPr>
          <w:rFonts w:ascii="Calibri" w:cs="Calibri" w:eastAsia="Calibri" w:hAnsi="Calibri"/>
          <w:sz w:val="22"/>
          <w:szCs w:val="22"/>
        </w:rPr>
        <w:t xml:space="preserve">Speed: surface possible issues in minutes, not days.</w:t>
      </w:r>
    </w:p>
    <w:p>
      <w:pPr>
        <w:pStyle w:val="ListParagraph"/>
        <w:numPr>
          <w:ilvl w:val="0"/>
          <w:numId w:val="2"/>
        </w:numPr>
        <w:spacing w:after="30" w:before="30"/>
      </w:pPr>
      <w:r>
        <w:rPr>
          <w:rFonts w:ascii="Calibri" w:cs="Calibri" w:eastAsia="Calibri" w:hAnsi="Calibri"/>
          <w:sz w:val="22"/>
          <w:szCs w:val="22"/>
        </w:rPr>
        <w:t xml:space="preserve">Specificity: every flagged issue cites the source document, location and standard.</w:t>
      </w:r>
    </w:p>
    <w:p>
      <w:pPr>
        <w:pStyle w:val="ListParagraph"/>
        <w:numPr>
          <w:ilvl w:val="0"/>
          <w:numId w:val="2"/>
        </w:numPr>
        <w:spacing w:after="30" w:before="30"/>
      </w:pPr>
      <w:r>
        <w:rPr>
          <w:rFonts w:ascii="Calibri" w:cs="Calibri" w:eastAsia="Calibri" w:hAnsi="Calibri"/>
          <w:sz w:val="22"/>
          <w:szCs w:val="22"/>
        </w:rPr>
        <w:t xml:space="preserve">Sovereignty: built for Irish standards, Irish frameworks, Irish jurisdiction. Not a UK or US product retrofitted.</w:t>
      </w:r>
    </w:p>
    <w:p>
      <w:pPr>
        <w:pStyle w:val="Heading2"/>
        <w:spacing w:after="140" w:before="280"/>
      </w:pPr>
      <w:r>
        <w:rPr>
          <w:rFonts w:ascii="Calibri" w:cs="Calibri" w:eastAsia="Calibri" w:hAnsi="Calibri"/>
          <w:b/>
          <w:bCs/>
          <w:color w:val="1A1A1A"/>
          <w:sz w:val="26"/>
          <w:szCs w:val="26"/>
        </w:rPr>
        <w:t xml:space="preserve">7.2 Buyer personas</w:t>
      </w:r>
    </w:p>
    <w:p>
      <w:pPr>
        <w:pStyle w:val="Heading3"/>
        <w:spacing w:after="100" w:before="200"/>
      </w:pPr>
      <w:r>
        <w:rPr>
          <w:rFonts w:ascii="Calibri" w:cs="Calibri" w:eastAsia="Calibri" w:hAnsi="Calibri"/>
          <w:b/>
          <w:bCs/>
          <w:color w:val="0E3A6E"/>
          <w:sz w:val="22"/>
          <w:szCs w:val="22"/>
        </w:rPr>
        <w:t xml:space="preserve">Persona 1 — The Design Partner</w:t>
      </w:r>
    </w:p>
    <w:p>
      <w:pPr>
        <w:spacing w:after="80" w:before="80"/>
      </w:pPr>
      <w:r>
        <w:rPr>
          <w:rFonts w:ascii="Calibri" w:cs="Calibri" w:eastAsia="Calibri" w:hAnsi="Calibri"/>
          <w:sz w:val="22"/>
          <w:szCs w:val="22"/>
        </w:rPr>
        <w:t xml:space="preserve">Mary, RIAI Partner, 18 years post-qualification, signs Design Certifier role on three to five projects a year. Heads up the QA process at her practice. PI premium has tripled in five years. Trades sleep over what might be missed in the next pack she signs. Won't pay for a tool that adds work. Will pay for a tool that takes work off her plate and surfaces things her trainees missed. Channel: RIAI CPD events, RIAI Practice Series mailings, peer recommendation, PI broker.</w:t>
      </w:r>
    </w:p>
    <w:p>
      <w:pPr>
        <w:pStyle w:val="Heading3"/>
        <w:spacing w:after="100" w:before="200"/>
      </w:pPr>
      <w:r>
        <w:rPr>
          <w:rFonts w:ascii="Calibri" w:cs="Calibri" w:eastAsia="Calibri" w:hAnsi="Calibri"/>
          <w:b/>
          <w:bCs/>
          <w:color w:val="0E3A6E"/>
          <w:sz w:val="22"/>
          <w:szCs w:val="22"/>
        </w:rPr>
        <w:t xml:space="preserve">Persona 2 — The Pre-Construction Director</w:t>
      </w:r>
    </w:p>
    <w:p>
      <w:pPr>
        <w:spacing w:after="80" w:before="80"/>
      </w:pPr>
      <w:r>
        <w:rPr>
          <w:rFonts w:ascii="Calibri" w:cs="Calibri" w:eastAsia="Calibri" w:hAnsi="Calibri"/>
          <w:sz w:val="22"/>
          <w:szCs w:val="22"/>
        </w:rPr>
        <w:t xml:space="preserve">Sean, Pre-Con Director at a Top-20 main contractor, evaluates 30-40 tender opportunities per year, prices and submits 15-20 bids per year. Each bid is 50-200 hours of QS / engineer time. Already lost margin on three jobs in the past two years because of tender-pack defects that became compensation events. Wants to know whether a tender pack is worth pricing before committing the resource. Channel: CIF events, SCSI mailings, direct outreach, peer recommendation.</w:t>
      </w:r>
    </w:p>
    <w:p>
      <w:pPr>
        <w:pStyle w:val="Heading3"/>
        <w:spacing w:after="100" w:before="200"/>
      </w:pPr>
      <w:r>
        <w:rPr>
          <w:rFonts w:ascii="Calibri" w:cs="Calibri" w:eastAsia="Calibri" w:hAnsi="Calibri"/>
          <w:b/>
          <w:bCs/>
          <w:color w:val="0E3A6E"/>
          <w:sz w:val="22"/>
          <w:szCs w:val="22"/>
        </w:rPr>
        <w:t xml:space="preserve">Persona 3 — The Capital Programme Lead</w:t>
      </w:r>
    </w:p>
    <w:p>
      <w:pPr>
        <w:spacing w:after="80" w:before="80"/>
      </w:pPr>
      <w:r>
        <w:rPr>
          <w:rFonts w:ascii="Calibri" w:cs="Calibri" w:eastAsia="Calibri" w:hAnsi="Calibri"/>
          <w:sz w:val="22"/>
          <w:szCs w:val="22"/>
        </w:rPr>
        <w:t xml:space="preserve">Aisling, Capital Projects Manager at HSE Estates, runs a portfolio of 8-15 active capital projects across the country. Quarterly programme review with the National Director Estates. Variation budgets are the line she gets challenged on. Every euro of preventable variation is a euro that didn't get spent on patient care. Channel: HSE Estates internal forums, OGP / NDFA networks, direct senior-level introduction.</w:t>
      </w:r>
    </w:p>
    <w:p>
      <w:pPr>
        <w:pStyle w:val="Heading3"/>
        <w:spacing w:after="100" w:before="200"/>
      </w:pPr>
      <w:r>
        <w:rPr>
          <w:rFonts w:ascii="Calibri" w:cs="Calibri" w:eastAsia="Calibri" w:hAnsi="Calibri"/>
          <w:b/>
          <w:bCs/>
          <w:color w:val="0E3A6E"/>
          <w:sz w:val="22"/>
          <w:szCs w:val="22"/>
        </w:rPr>
        <w:t xml:space="preserve">Persona 4 — The Assigned Certifier</w:t>
      </w:r>
    </w:p>
    <w:p>
      <w:pPr>
        <w:spacing w:after="80" w:before="80"/>
      </w:pPr>
      <w:r>
        <w:rPr>
          <w:rFonts w:ascii="Calibri" w:cs="Calibri" w:eastAsia="Calibri" w:hAnsi="Calibri"/>
          <w:sz w:val="22"/>
          <w:szCs w:val="22"/>
        </w:rPr>
        <w:t xml:space="preserve">Cormac, sole-practice Chartered Building Surveyor, takes on 6-10 Assigned Certifier appointments per year. Personally liable for every certificate. Has had two near-misses where a defect surfaced post-completion that he would not have caught in his own inspections. Will pay a four-figure annual subscription if it reduces the chance of another near-miss. Channel: SCSI mailings, BCAR Code of Practice publications, direct outreach, peer recommendation.</w:t>
      </w:r>
    </w:p>
    <w:p>
      <w:pPr>
        <w:pStyle w:val="Heading2"/>
        <w:spacing w:after="140" w:before="280"/>
      </w:pPr>
      <w:r>
        <w:rPr>
          <w:rFonts w:ascii="Calibri" w:cs="Calibri" w:eastAsia="Calibri" w:hAnsi="Calibri"/>
          <w:b/>
          <w:bCs/>
          <w:color w:val="1A1A1A"/>
          <w:sz w:val="26"/>
          <w:szCs w:val="26"/>
        </w:rPr>
        <w:t xml:space="preserve">7.3 Channel strategy</w:t>
      </w:r>
    </w:p>
    <w:p>
      <w:pPr>
        <w:pStyle w:val="Heading3"/>
        <w:spacing w:after="100" w:before="200"/>
      </w:pPr>
      <w:r>
        <w:rPr>
          <w:rFonts w:ascii="Calibri" w:cs="Calibri" w:eastAsia="Calibri" w:hAnsi="Calibri"/>
          <w:b/>
          <w:bCs/>
          <w:color w:val="0E3A6E"/>
          <w:sz w:val="22"/>
          <w:szCs w:val="22"/>
        </w:rPr>
        <w:t xml:space="preserve">Primary channels</w:t>
      </w:r>
    </w:p>
    <w:p>
      <w:pPr>
        <w:pStyle w:val="ListParagraph"/>
        <w:numPr>
          <w:ilvl w:val="0"/>
          <w:numId w:val="2"/>
        </w:numPr>
        <w:spacing w:after="30" w:before="30"/>
      </w:pPr>
      <w:r>
        <w:rPr>
          <w:rFonts w:ascii="Calibri" w:cs="Calibri" w:eastAsia="Calibri" w:hAnsi="Calibri"/>
          <w:sz w:val="22"/>
          <w:szCs w:val="22"/>
        </w:rPr>
        <w:t xml:space="preserve">RIAI (Royal Institute of Architects of Ireland) — practice series, CPD events, mailings, member directory. Senior introduction required (RIAI President, Practice Committee chair, Education Director).</w:t>
      </w:r>
    </w:p>
    <w:p>
      <w:pPr>
        <w:pStyle w:val="ListParagraph"/>
        <w:numPr>
          <w:ilvl w:val="0"/>
          <w:numId w:val="2"/>
        </w:numPr>
        <w:spacing w:after="30" w:before="30"/>
      </w:pPr>
      <w:r>
        <w:rPr>
          <w:rFonts w:ascii="Calibri" w:cs="Calibri" w:eastAsia="Calibri" w:hAnsi="Calibri"/>
          <w:sz w:val="22"/>
          <w:szCs w:val="22"/>
        </w:rPr>
        <w:t xml:space="preserve">Engineers Ireland — CPD events (especially the Civil &amp; Structural and the Mechanical &amp; Electrical divisional events), Engineers Journal advertising, Chartered membership directory.</w:t>
      </w:r>
    </w:p>
    <w:p>
      <w:pPr>
        <w:pStyle w:val="ListParagraph"/>
        <w:numPr>
          <w:ilvl w:val="0"/>
          <w:numId w:val="2"/>
        </w:numPr>
        <w:spacing w:after="30" w:before="30"/>
      </w:pPr>
      <w:r>
        <w:rPr>
          <w:rFonts w:ascii="Calibri" w:cs="Calibri" w:eastAsia="Calibri" w:hAnsi="Calibri"/>
          <w:sz w:val="22"/>
          <w:szCs w:val="22"/>
        </w:rPr>
        <w:t xml:space="preserve">SCSI / FSCSI — Society of Chartered Surveyors Ireland events, Construction Magazine, QS member network.</w:t>
      </w:r>
    </w:p>
    <w:p>
      <w:pPr>
        <w:pStyle w:val="ListParagraph"/>
        <w:numPr>
          <w:ilvl w:val="0"/>
          <w:numId w:val="2"/>
        </w:numPr>
        <w:spacing w:after="30" w:before="30"/>
      </w:pPr>
      <w:r>
        <w:rPr>
          <w:rFonts w:ascii="Calibri" w:cs="Calibri" w:eastAsia="Calibri" w:hAnsi="Calibri"/>
          <w:sz w:val="22"/>
          <w:szCs w:val="22"/>
        </w:rPr>
        <w:t xml:space="preserve">OGP — Office of Government Procurement technical engagement, framework-panel briefings. If OGP adopts internally, the market follows.</w:t>
      </w:r>
    </w:p>
    <w:p>
      <w:pPr>
        <w:pStyle w:val="ListParagraph"/>
        <w:numPr>
          <w:ilvl w:val="0"/>
          <w:numId w:val="2"/>
        </w:numPr>
        <w:spacing w:after="30" w:before="30"/>
      </w:pPr>
      <w:r>
        <w:rPr>
          <w:rFonts w:ascii="Calibri" w:cs="Calibri" w:eastAsia="Calibri" w:hAnsi="Calibri"/>
          <w:sz w:val="22"/>
          <w:szCs w:val="22"/>
        </w:rPr>
        <w:t xml:space="preserve">PI brokers — Allianz, Aviva, AXA, Lockton, JLT-Marsh and specialist construction-PI brokers. Co-marketing arrangement with premium differentiation incentive.</w:t>
      </w:r>
    </w:p>
    <w:p>
      <w:pPr>
        <w:pStyle w:val="ListParagraph"/>
        <w:numPr>
          <w:ilvl w:val="0"/>
          <w:numId w:val="2"/>
        </w:numPr>
        <w:spacing w:after="30" w:before="30"/>
      </w:pPr>
      <w:r>
        <w:rPr>
          <w:rFonts w:ascii="Calibri" w:cs="Calibri" w:eastAsia="Calibri" w:hAnsi="Calibri"/>
          <w:sz w:val="22"/>
          <w:szCs w:val="22"/>
        </w:rPr>
        <w:t xml:space="preserve">CIF (Construction Industry Federation) — main-contractor channel.</w:t>
      </w:r>
    </w:p>
    <w:p>
      <w:pPr>
        <w:pStyle w:val="Heading3"/>
        <w:spacing w:after="100" w:before="200"/>
      </w:pPr>
      <w:r>
        <w:rPr>
          <w:rFonts w:ascii="Calibri" w:cs="Calibri" w:eastAsia="Calibri" w:hAnsi="Calibri"/>
          <w:b/>
          <w:bCs/>
          <w:color w:val="0E3A6E"/>
          <w:sz w:val="22"/>
          <w:szCs w:val="22"/>
        </w:rPr>
        <w:t xml:space="preserve">Content channels (secondary, support primary)</w:t>
      </w:r>
    </w:p>
    <w:p>
      <w:pPr>
        <w:pStyle w:val="ListParagraph"/>
        <w:numPr>
          <w:ilvl w:val="0"/>
          <w:numId w:val="2"/>
        </w:numPr>
        <w:spacing w:after="30" w:before="30"/>
      </w:pPr>
      <w:r>
        <w:rPr>
          <w:rFonts w:ascii="Calibri" w:cs="Calibri" w:eastAsia="Calibri" w:hAnsi="Calibri"/>
          <w:sz w:val="22"/>
          <w:szCs w:val="22"/>
        </w:rPr>
        <w:t xml:space="preserve">LinkedIn — primary professional channel for Irish construction sector. Founder-led content, case studies, behind-the-scenes builds.</w:t>
      </w:r>
    </w:p>
    <w:p>
      <w:pPr>
        <w:pStyle w:val="ListParagraph"/>
        <w:numPr>
          <w:ilvl w:val="0"/>
          <w:numId w:val="2"/>
        </w:numPr>
        <w:spacing w:after="30" w:before="30"/>
      </w:pPr>
      <w:r>
        <w:rPr>
          <w:rFonts w:ascii="Calibri" w:cs="Calibri" w:eastAsia="Calibri" w:hAnsi="Calibri"/>
          <w:sz w:val="22"/>
          <w:szCs w:val="22"/>
        </w:rPr>
        <w:t xml:space="preserve">Construction Industry Magazine / Building Magazine / Construction Magazine Ireland — paid advertorial and case study contributions.</w:t>
      </w:r>
    </w:p>
    <w:p>
      <w:pPr>
        <w:pStyle w:val="ListParagraph"/>
        <w:numPr>
          <w:ilvl w:val="0"/>
          <w:numId w:val="2"/>
        </w:numPr>
        <w:spacing w:after="30" w:before="30"/>
      </w:pPr>
      <w:r>
        <w:rPr>
          <w:rFonts w:ascii="Calibri" w:cs="Calibri" w:eastAsia="Calibri" w:hAnsi="Calibri"/>
          <w:sz w:val="22"/>
          <w:szCs w:val="22"/>
        </w:rPr>
        <w:t xml:space="preserve">Podcast: VerifIQ-sponsored short-form podcast on Irish construction QA, hosted by named industry figure. Long-tail SEO and brand-building.</w:t>
      </w:r>
    </w:p>
    <w:p>
      <w:pPr>
        <w:pStyle w:val="ListParagraph"/>
        <w:numPr>
          <w:ilvl w:val="0"/>
          <w:numId w:val="2"/>
        </w:numPr>
        <w:spacing w:after="30" w:before="30"/>
      </w:pPr>
      <w:r>
        <w:rPr>
          <w:rFonts w:ascii="Calibri" w:cs="Calibri" w:eastAsia="Calibri" w:hAnsi="Calibri"/>
          <w:sz w:val="22"/>
          <w:szCs w:val="22"/>
        </w:rPr>
        <w:t xml:space="preserve">CPD-accredited webinars — 60-minute deep-dive sessions, RIAI/IEI CPD-accredited, on topics such as 'NBS-Chorus drift and how to catch it', 'IS 3218:2024 changes', 'BCAR Assigned Certifier QA checklist'. Free attendance, attendees enter pilot pipeline.</w:t>
      </w:r>
    </w:p>
    <w:p>
      <w:pPr>
        <w:pStyle w:val="Heading2"/>
        <w:spacing w:after="140" w:before="280"/>
      </w:pPr>
      <w:r>
        <w:rPr>
          <w:rFonts w:ascii="Calibri" w:cs="Calibri" w:eastAsia="Calibri" w:hAnsi="Calibri"/>
          <w:b/>
          <w:bCs/>
          <w:color w:val="1A1A1A"/>
          <w:sz w:val="26"/>
          <w:szCs w:val="26"/>
        </w:rPr>
        <w:t xml:space="preserve">7.4 Sales process</w:t>
      </w:r>
    </w:p>
    <w:p>
      <w:pPr>
        <w:spacing w:after="80" w:before="80"/>
      </w:pPr>
      <w:r>
        <w:rPr>
          <w:rFonts w:ascii="Calibri" w:cs="Calibri" w:eastAsia="Calibri" w:hAnsi="Calibri"/>
          <w:sz w:val="22"/>
          <w:szCs w:val="22"/>
        </w:rPr>
        <w:t xml:space="preserve">Two parallel sales motions:</w:t>
      </w:r>
    </w:p>
    <w:p>
      <w:pPr>
        <w:pStyle w:val="Heading3"/>
        <w:spacing w:after="100" w:before="200"/>
      </w:pPr>
      <w:r>
        <w:rPr>
          <w:rFonts w:ascii="Calibri" w:cs="Calibri" w:eastAsia="Calibri" w:hAnsi="Calibri"/>
          <w:b/>
          <w:bCs/>
          <w:color w:val="0E3A6E"/>
          <w:sz w:val="22"/>
          <w:szCs w:val="22"/>
        </w:rPr>
        <w:t xml:space="preserve">PLG (Product-Led Growth) for SMB</w:t>
      </w:r>
    </w:p>
    <w:p>
      <w:pPr>
        <w:spacing w:after="80" w:before="80"/>
      </w:pPr>
      <w:r>
        <w:rPr>
          <w:rFonts w:ascii="Calibri" w:cs="Calibri" w:eastAsia="Calibri" w:hAnsi="Calibri"/>
          <w:sz w:val="22"/>
          <w:szCs w:val="22"/>
        </w:rPr>
        <w:t xml:space="preserve">Self-serve signup on verifiq.ie. Free first small check (Tier 1) up to a content limit, no credit card required. Email capture and onboarding sequence. Convert to paid Tier 1 / Starter subscription on second check. No salesperson involvement.</w:t>
      </w:r>
    </w:p>
    <w:p>
      <w:pPr>
        <w:pStyle w:val="Heading3"/>
        <w:spacing w:after="100" w:before="200"/>
      </w:pPr>
      <w:r>
        <w:rPr>
          <w:rFonts w:ascii="Calibri" w:cs="Calibri" w:eastAsia="Calibri" w:hAnsi="Calibri"/>
          <w:b/>
          <w:bCs/>
          <w:color w:val="0E3A6E"/>
          <w:sz w:val="22"/>
          <w:szCs w:val="22"/>
        </w:rPr>
        <w:t xml:space="preserve">Direct sales for Enterprise / Programme</w:t>
      </w:r>
    </w:p>
    <w:p>
      <w:pPr>
        <w:spacing w:after="80" w:before="80"/>
      </w:pPr>
      <w:r>
        <w:rPr>
          <w:rFonts w:ascii="Calibri" w:cs="Calibri" w:eastAsia="Calibri" w:hAnsi="Calibri"/>
          <w:sz w:val="22"/>
          <w:szCs w:val="22"/>
        </w:rPr>
        <w:t xml:space="preserve">Outbound to top 50 buyers (large design practices, top-20 contractors, HSE Estates, OGP framework holders, Section 38/39 healthcare bodies). Personalised demo using anonymised real findings from the same buyer's known project type. Pilot proposal (3-month, 5-pack trial, defined evaluation criteria). Conversion to annual subscription contract.</w:t>
      </w:r>
    </w:p>
    <w:p>
      <w:pPr>
        <w:pStyle w:val="Heading2"/>
        <w:spacing w:after="140" w:before="280"/>
      </w:pPr>
      <w:r>
        <w:rPr>
          <w:rFonts w:ascii="Calibri" w:cs="Calibri" w:eastAsia="Calibri" w:hAnsi="Calibri"/>
          <w:b/>
          <w:bCs/>
          <w:color w:val="1A1A1A"/>
          <w:sz w:val="26"/>
          <w:szCs w:val="26"/>
        </w:rPr>
        <w:t xml:space="preserve">7.5 Year-1 marketing calendar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3000"/>
        <w:gridCol w:w="2246"/>
      </w:tblGrid>
      <w:tr>
        <w:trPr>
          <w:tblHeader/>
        </w:trPr>
        <w:tc>
          <w:tcPr>
            <w:tcW w:type="dxa" w:w="1500"/>
            <w:tcBorders>
              <w:top w:val="single" w:color="B4B4B4" w:sz="4"/>
              <w:left w:val="single" w:color="B4B4B4" w:sz="4"/>
              <w:bottom w:val="single" w:color="B4B4B4" w:sz="4"/>
              <w:right w:val="single" w:color="B4B4B4" w:sz="4"/>
            </w:tcBorders>
            <w:shd w:fill="0E3A6E" w:val="clear"/>
            <w:tcMar>
              <w:top w:type="dxa" w:w="100"/>
              <w:left w:type="dxa" w:w="140"/>
              <w:bottom w:type="dxa" w:w="100"/>
              <w:right w:type="dxa" w:w="140"/>
            </w:tcMar>
            <w:vAlign w:val="center"/>
          </w:tcPr>
          <w:p>
            <w:pPr>
              <w:spacing w:after="30" w:before="30"/>
            </w:pPr>
            <w:r>
              <w:rPr>
                <w:rFonts w:ascii="Calibri" w:cs="Calibri" w:eastAsia="Calibri" w:hAnsi="Calibri"/>
                <w:b/>
                <w:bCs/>
                <w:color w:val="FFFFFF"/>
                <w:sz w:val="20"/>
                <w:szCs w:val="20"/>
              </w:rPr>
              <w:t xml:space="preserve">Quarter</w:t>
            </w:r>
          </w:p>
        </w:tc>
        <w:tc>
          <w:tcPr>
            <w:tcW w:type="dxa" w:w="3000"/>
            <w:tcBorders>
              <w:top w:val="single" w:color="B4B4B4" w:sz="4"/>
              <w:left w:val="single" w:color="B4B4B4" w:sz="4"/>
              <w:bottom w:val="single" w:color="B4B4B4" w:sz="4"/>
              <w:right w:val="single" w:color="B4B4B4" w:sz="4"/>
            </w:tcBorders>
            <w:shd w:fill="0E3A6E" w:val="clear"/>
            <w:tcMar>
              <w:top w:type="dxa" w:w="100"/>
              <w:left w:type="dxa" w:w="140"/>
              <w:bottom w:type="dxa" w:w="100"/>
              <w:right w:type="dxa" w:w="140"/>
            </w:tcMar>
            <w:vAlign w:val="center"/>
          </w:tcPr>
          <w:p>
            <w:pPr>
              <w:spacing w:after="30" w:before="30"/>
            </w:pPr>
            <w:r>
              <w:rPr>
                <w:rFonts w:ascii="Calibri" w:cs="Calibri" w:eastAsia="Calibri" w:hAnsi="Calibri"/>
                <w:b/>
                <w:bCs/>
                <w:color w:val="FFFFFF"/>
                <w:sz w:val="20"/>
                <w:szCs w:val="20"/>
              </w:rPr>
              <w:t xml:space="preserve">Brand &amp; content</w:t>
            </w:r>
          </w:p>
        </w:tc>
        <w:tc>
          <w:tcPr>
            <w:tcW w:type="dxa" w:w="3000"/>
            <w:tcBorders>
              <w:top w:val="single" w:color="B4B4B4" w:sz="4"/>
              <w:left w:val="single" w:color="B4B4B4" w:sz="4"/>
              <w:bottom w:val="single" w:color="B4B4B4" w:sz="4"/>
              <w:right w:val="single" w:color="B4B4B4" w:sz="4"/>
            </w:tcBorders>
            <w:shd w:fill="0E3A6E" w:val="clear"/>
            <w:tcMar>
              <w:top w:type="dxa" w:w="100"/>
              <w:left w:type="dxa" w:w="140"/>
              <w:bottom w:type="dxa" w:w="100"/>
              <w:right w:type="dxa" w:w="140"/>
            </w:tcMar>
            <w:vAlign w:val="center"/>
          </w:tcPr>
          <w:p>
            <w:pPr>
              <w:spacing w:after="30" w:before="30"/>
            </w:pPr>
            <w:r>
              <w:rPr>
                <w:rFonts w:ascii="Calibri" w:cs="Calibri" w:eastAsia="Calibri" w:hAnsi="Calibri"/>
                <w:b/>
                <w:bCs/>
                <w:color w:val="FFFFFF"/>
                <w:sz w:val="20"/>
                <w:szCs w:val="20"/>
              </w:rPr>
              <w:t xml:space="preserve">Channel / partnership</w:t>
            </w:r>
          </w:p>
        </w:tc>
        <w:tc>
          <w:tcPr>
            <w:tcW w:type="dxa" w:w="2246"/>
            <w:tcBorders>
              <w:top w:val="single" w:color="B4B4B4" w:sz="4"/>
              <w:left w:val="single" w:color="B4B4B4" w:sz="4"/>
              <w:bottom w:val="single" w:color="B4B4B4" w:sz="4"/>
              <w:right w:val="single" w:color="B4B4B4" w:sz="4"/>
            </w:tcBorders>
            <w:shd w:fill="0E3A6E" w:val="clear"/>
            <w:tcMar>
              <w:top w:type="dxa" w:w="100"/>
              <w:left w:type="dxa" w:w="140"/>
              <w:bottom w:type="dxa" w:w="100"/>
              <w:right w:type="dxa" w:w="140"/>
            </w:tcMar>
            <w:vAlign w:val="center"/>
          </w:tcPr>
          <w:p>
            <w:pPr>
              <w:spacing w:after="30" w:before="30"/>
            </w:pPr>
            <w:r>
              <w:rPr>
                <w:rFonts w:ascii="Calibri" w:cs="Calibri" w:eastAsia="Calibri" w:hAnsi="Calibri"/>
                <w:b/>
                <w:bCs/>
                <w:color w:val="FFFFFF"/>
                <w:sz w:val="20"/>
                <w:szCs w:val="20"/>
              </w:rPr>
              <w:t xml:space="preserve">Outbound</w:t>
            </w:r>
          </w:p>
        </w:tc>
      </w:tr>
      <w:tr>
        <w:tc>
          <w:tcPr>
            <w:tcBorders>
              <w:top w:val="single" w:color="B4B4B4" w:sz="4"/>
              <w:left w:val="single" w:color="B4B4B4" w:sz="4"/>
              <w:bottom w:val="single" w:color="B4B4B4" w:sz="4"/>
              <w:right w:val="single" w:color="B4B4B4" w:sz="4"/>
            </w:tcBorders>
            <w:tcMar>
              <w:top w:type="dxa" w:w="100"/>
              <w:left w:type="dxa" w:w="140"/>
              <w:bottom w:type="dxa" w:w="100"/>
              <w:right w:type="dxa" w:w="140"/>
            </w:tcMar>
            <w:vAlign w:val="center"/>
          </w:tcPr>
          <w:p>
            <w:pPr>
              <w:spacing w:after="30" w:before="30"/>
            </w:pPr>
            <w:r>
              <w:rPr>
                <w:rFonts w:ascii="Calibri" w:cs="Calibri" w:eastAsia="Calibri" w:hAnsi="Calibri"/>
                <w:b/>
                <w:bCs/>
                <w:sz w:val="20"/>
                <w:szCs w:val="20"/>
              </w:rPr>
              <w:t xml:space="preserve">Q1 (M1-3)</w:t>
            </w:r>
          </w:p>
        </w:tc>
        <w:tc>
          <w:tcPr>
            <w:tcBorders>
              <w:top w:val="single" w:color="B4B4B4" w:sz="4"/>
              <w:left w:val="single" w:color="B4B4B4" w:sz="4"/>
              <w:bottom w:val="single" w:color="B4B4B4" w:sz="4"/>
              <w:right w:val="single" w:color="B4B4B4" w:sz="4"/>
            </w:tcBorders>
            <w:tcMar>
              <w:top w:type="dxa" w:w="100"/>
              <w:left w:type="dxa" w:w="140"/>
              <w:bottom w:type="dxa" w:w="100"/>
              <w:right w:type="dxa" w:w="140"/>
            </w:tcMar>
            <w:vAlign w:val="center"/>
          </w:tcPr>
          <w:p>
            <w:pPr>
              <w:spacing w:after="30" w:before="30"/>
            </w:pPr>
            <w:r>
              <w:rPr>
                <w:rFonts w:ascii="Calibri" w:cs="Calibri" w:eastAsia="Calibri" w:hAnsi="Calibri"/>
                <w:sz w:val="20"/>
                <w:szCs w:val="20"/>
              </w:rPr>
              <w:t xml:space="preserve">Launch verifiq.ie, founder LinkedIn series, 1 anonymised case study published</w:t>
            </w:r>
          </w:p>
        </w:tc>
        <w:tc>
          <w:tcPr>
            <w:tcBorders>
              <w:top w:val="single" w:color="B4B4B4" w:sz="4"/>
              <w:left w:val="single" w:color="B4B4B4" w:sz="4"/>
              <w:bottom w:val="single" w:color="B4B4B4" w:sz="4"/>
              <w:right w:val="single" w:color="B4B4B4" w:sz="4"/>
            </w:tcBorders>
            <w:tcMar>
              <w:top w:type="dxa" w:w="100"/>
              <w:left w:type="dxa" w:w="140"/>
              <w:bottom w:type="dxa" w:w="100"/>
              <w:right w:type="dxa" w:w="140"/>
            </w:tcMar>
            <w:vAlign w:val="center"/>
          </w:tcPr>
          <w:p>
            <w:pPr>
              <w:spacing w:after="30" w:before="30"/>
            </w:pPr>
            <w:r>
              <w:rPr>
                <w:rFonts w:ascii="Calibri" w:cs="Calibri" w:eastAsia="Calibri" w:hAnsi="Calibri"/>
                <w:sz w:val="20"/>
                <w:szCs w:val="20"/>
              </w:rPr>
              <w:t xml:space="preserve">Introductory meetings: RIAI Practice Director, IEI Engineers Journal editor, 2 PI brokers</w:t>
            </w:r>
          </w:p>
        </w:tc>
        <w:tc>
          <w:tcPr>
            <w:tcBorders>
              <w:top w:val="single" w:color="B4B4B4" w:sz="4"/>
              <w:left w:val="single" w:color="B4B4B4" w:sz="4"/>
              <w:bottom w:val="single" w:color="B4B4B4" w:sz="4"/>
              <w:right w:val="single" w:color="B4B4B4" w:sz="4"/>
            </w:tcBorders>
            <w:tcMar>
              <w:top w:type="dxa" w:w="100"/>
              <w:left w:type="dxa" w:w="140"/>
              <w:bottom w:type="dxa" w:w="100"/>
              <w:right w:type="dxa" w:w="140"/>
            </w:tcMar>
            <w:vAlign w:val="center"/>
          </w:tcPr>
          <w:p>
            <w:pPr>
              <w:spacing w:after="30" w:before="30"/>
            </w:pPr>
            <w:r>
              <w:rPr>
                <w:rFonts w:ascii="Calibri" w:cs="Calibri" w:eastAsia="Calibri" w:hAnsi="Calibri"/>
                <w:sz w:val="20"/>
                <w:szCs w:val="20"/>
              </w:rPr>
              <w:t xml:space="preserve">5 design-team pilot conversations, 3 contractor pilot conversations</w:t>
            </w:r>
          </w:p>
        </w:tc>
      </w:tr>
      <w:tr>
        <w:tc>
          <w:tcPr>
            <w:tcBorders>
              <w:top w:val="single" w:color="B4B4B4" w:sz="4"/>
              <w:left w:val="single" w:color="B4B4B4" w:sz="4"/>
              <w:bottom w:val="single" w:color="B4B4B4" w:sz="4"/>
              <w:right w:val="single" w:color="B4B4B4" w:sz="4"/>
            </w:tcBorders>
            <w:shd w:fill="F4F6F8" w:val="clear"/>
            <w:tcMar>
              <w:top w:type="dxa" w:w="100"/>
              <w:left w:type="dxa" w:w="140"/>
              <w:bottom w:type="dxa" w:w="100"/>
              <w:right w:type="dxa" w:w="140"/>
            </w:tcMar>
            <w:vAlign w:val="center"/>
          </w:tcPr>
          <w:p>
            <w:pPr>
              <w:spacing w:after="30" w:before="30"/>
            </w:pPr>
            <w:r>
              <w:rPr>
                <w:rFonts w:ascii="Calibri" w:cs="Calibri" w:eastAsia="Calibri" w:hAnsi="Calibri"/>
                <w:b/>
                <w:bCs/>
                <w:sz w:val="20"/>
                <w:szCs w:val="20"/>
              </w:rPr>
              <w:t xml:space="preserve">Q2 (M4-6)</w:t>
            </w:r>
          </w:p>
        </w:tc>
        <w:tc>
          <w:tcPr>
            <w:tcBorders>
              <w:top w:val="single" w:color="B4B4B4" w:sz="4"/>
              <w:left w:val="single" w:color="B4B4B4" w:sz="4"/>
              <w:bottom w:val="single" w:color="B4B4B4" w:sz="4"/>
              <w:right w:val="single" w:color="B4B4B4" w:sz="4"/>
            </w:tcBorders>
            <w:shd w:fill="F4F6F8" w:val="clear"/>
            <w:tcMar>
              <w:top w:type="dxa" w:w="100"/>
              <w:left w:type="dxa" w:w="140"/>
              <w:bottom w:type="dxa" w:w="100"/>
              <w:right w:type="dxa" w:w="140"/>
            </w:tcMar>
            <w:vAlign w:val="center"/>
          </w:tcPr>
          <w:p>
            <w:pPr>
              <w:spacing w:after="30" w:before="30"/>
            </w:pPr>
            <w:r>
              <w:rPr>
                <w:rFonts w:ascii="Calibri" w:cs="Calibri" w:eastAsia="Calibri" w:hAnsi="Calibri"/>
                <w:sz w:val="20"/>
                <w:szCs w:val="20"/>
              </w:rPr>
              <w:t xml:space="preserve">First CPD-accredited webinar (target 80+ attendees), 2nd case study, podcast launch</w:t>
            </w:r>
          </w:p>
        </w:tc>
        <w:tc>
          <w:tcPr>
            <w:tcBorders>
              <w:top w:val="single" w:color="B4B4B4" w:sz="4"/>
              <w:left w:val="single" w:color="B4B4B4" w:sz="4"/>
              <w:bottom w:val="single" w:color="B4B4B4" w:sz="4"/>
              <w:right w:val="single" w:color="B4B4B4" w:sz="4"/>
            </w:tcBorders>
            <w:shd w:fill="F4F6F8" w:val="clear"/>
            <w:tcMar>
              <w:top w:type="dxa" w:w="100"/>
              <w:left w:type="dxa" w:w="140"/>
              <w:bottom w:type="dxa" w:w="100"/>
              <w:right w:type="dxa" w:w="140"/>
            </w:tcMar>
            <w:vAlign w:val="center"/>
          </w:tcPr>
          <w:p>
            <w:pPr>
              <w:spacing w:after="30" w:before="30"/>
            </w:pPr>
            <w:r>
              <w:rPr>
                <w:rFonts w:ascii="Calibri" w:cs="Calibri" w:eastAsia="Calibri" w:hAnsi="Calibri"/>
                <w:sz w:val="20"/>
                <w:szCs w:val="20"/>
              </w:rPr>
              <w:t xml:space="preserve">RIAI Practice Series advertorial, IEI CPD slot, broker co-marketing arrangement</w:t>
            </w:r>
          </w:p>
        </w:tc>
        <w:tc>
          <w:tcPr>
            <w:tcBorders>
              <w:top w:val="single" w:color="B4B4B4" w:sz="4"/>
              <w:left w:val="single" w:color="B4B4B4" w:sz="4"/>
              <w:bottom w:val="single" w:color="B4B4B4" w:sz="4"/>
              <w:right w:val="single" w:color="B4B4B4" w:sz="4"/>
            </w:tcBorders>
            <w:shd w:fill="F4F6F8" w:val="clear"/>
            <w:tcMar>
              <w:top w:type="dxa" w:w="100"/>
              <w:left w:type="dxa" w:w="140"/>
              <w:bottom w:type="dxa" w:w="100"/>
              <w:right w:type="dxa" w:w="140"/>
            </w:tcMar>
            <w:vAlign w:val="center"/>
          </w:tcPr>
          <w:p>
            <w:pPr>
              <w:spacing w:after="30" w:before="30"/>
            </w:pPr>
            <w:r>
              <w:rPr>
                <w:rFonts w:ascii="Calibri" w:cs="Calibri" w:eastAsia="Calibri" w:hAnsi="Calibri"/>
                <w:sz w:val="20"/>
                <w:szCs w:val="20"/>
              </w:rPr>
              <w:t xml:space="preserve">Outbound to top-20 design practices, top-20 contractors, 5 Employer-side buyers</w:t>
            </w:r>
          </w:p>
        </w:tc>
      </w:tr>
      <w:tr>
        <w:tc>
          <w:tcPr>
            <w:tcBorders>
              <w:top w:val="single" w:color="B4B4B4" w:sz="4"/>
              <w:left w:val="single" w:color="B4B4B4" w:sz="4"/>
              <w:bottom w:val="single" w:color="B4B4B4" w:sz="4"/>
              <w:right w:val="single" w:color="B4B4B4" w:sz="4"/>
            </w:tcBorders>
            <w:tcMar>
              <w:top w:type="dxa" w:w="100"/>
              <w:left w:type="dxa" w:w="140"/>
              <w:bottom w:type="dxa" w:w="100"/>
              <w:right w:type="dxa" w:w="140"/>
            </w:tcMar>
            <w:vAlign w:val="center"/>
          </w:tcPr>
          <w:p>
            <w:pPr>
              <w:spacing w:after="30" w:before="30"/>
            </w:pPr>
            <w:r>
              <w:rPr>
                <w:rFonts w:ascii="Calibri" w:cs="Calibri" w:eastAsia="Calibri" w:hAnsi="Calibri"/>
                <w:b/>
                <w:bCs/>
                <w:sz w:val="20"/>
                <w:szCs w:val="20"/>
              </w:rPr>
              <w:t xml:space="preserve">Q3 (M7-9)</w:t>
            </w:r>
          </w:p>
        </w:tc>
        <w:tc>
          <w:tcPr>
            <w:tcBorders>
              <w:top w:val="single" w:color="B4B4B4" w:sz="4"/>
              <w:left w:val="single" w:color="B4B4B4" w:sz="4"/>
              <w:bottom w:val="single" w:color="B4B4B4" w:sz="4"/>
              <w:right w:val="single" w:color="B4B4B4" w:sz="4"/>
            </w:tcBorders>
            <w:tcMar>
              <w:top w:type="dxa" w:w="100"/>
              <w:left w:type="dxa" w:w="140"/>
              <w:bottom w:type="dxa" w:w="100"/>
              <w:right w:type="dxa" w:w="140"/>
            </w:tcMar>
            <w:vAlign w:val="center"/>
          </w:tcPr>
          <w:p>
            <w:pPr>
              <w:spacing w:after="30" w:before="30"/>
            </w:pPr>
            <w:r>
              <w:rPr>
                <w:rFonts w:ascii="Calibri" w:cs="Calibri" w:eastAsia="Calibri" w:hAnsi="Calibri"/>
                <w:sz w:val="20"/>
                <w:szCs w:val="20"/>
              </w:rPr>
              <w:t xml:space="preserve">Second webinar series, VerifIQ Index report ('Q2-Q3 2026 — what we found in 200 packs')</w:t>
            </w:r>
          </w:p>
        </w:tc>
        <w:tc>
          <w:tcPr>
            <w:tcBorders>
              <w:top w:val="single" w:color="B4B4B4" w:sz="4"/>
              <w:left w:val="single" w:color="B4B4B4" w:sz="4"/>
              <w:bottom w:val="single" w:color="B4B4B4" w:sz="4"/>
              <w:right w:val="single" w:color="B4B4B4" w:sz="4"/>
            </w:tcBorders>
            <w:tcMar>
              <w:top w:type="dxa" w:w="100"/>
              <w:left w:type="dxa" w:w="140"/>
              <w:bottom w:type="dxa" w:w="100"/>
              <w:right w:type="dxa" w:w="140"/>
            </w:tcMar>
            <w:vAlign w:val="center"/>
          </w:tcPr>
          <w:p>
            <w:pPr>
              <w:spacing w:after="30" w:before="30"/>
            </w:pPr>
            <w:r>
              <w:rPr>
                <w:rFonts w:ascii="Calibri" w:cs="Calibri" w:eastAsia="Calibri" w:hAnsi="Calibri"/>
                <w:sz w:val="20"/>
                <w:szCs w:val="20"/>
              </w:rPr>
              <w:t xml:space="preserve">Speaking slot at one major Irish construction industry event</w:t>
            </w:r>
          </w:p>
        </w:tc>
        <w:tc>
          <w:tcPr>
            <w:tcBorders>
              <w:top w:val="single" w:color="B4B4B4" w:sz="4"/>
              <w:left w:val="single" w:color="B4B4B4" w:sz="4"/>
              <w:bottom w:val="single" w:color="B4B4B4" w:sz="4"/>
              <w:right w:val="single" w:color="B4B4B4" w:sz="4"/>
            </w:tcBorders>
            <w:tcMar>
              <w:top w:type="dxa" w:w="100"/>
              <w:left w:type="dxa" w:w="140"/>
              <w:bottom w:type="dxa" w:w="100"/>
              <w:right w:type="dxa" w:w="140"/>
            </w:tcMar>
            <w:vAlign w:val="center"/>
          </w:tcPr>
          <w:p>
            <w:pPr>
              <w:spacing w:after="30" w:before="30"/>
            </w:pPr>
            <w:r>
              <w:rPr>
                <w:rFonts w:ascii="Calibri" w:cs="Calibri" w:eastAsia="Calibri" w:hAnsi="Calibri"/>
                <w:sz w:val="20"/>
                <w:szCs w:val="20"/>
              </w:rPr>
              <w:t xml:space="preserve">First Employer-side pilot signed (HSE Estates / OGP framework / Section 38/39)</w:t>
            </w:r>
          </w:p>
        </w:tc>
      </w:tr>
      <w:tr>
        <w:tc>
          <w:tcPr>
            <w:tcBorders>
              <w:top w:val="single" w:color="B4B4B4" w:sz="4"/>
              <w:left w:val="single" w:color="B4B4B4" w:sz="4"/>
              <w:bottom w:val="single" w:color="B4B4B4" w:sz="4"/>
              <w:right w:val="single" w:color="B4B4B4" w:sz="4"/>
            </w:tcBorders>
            <w:shd w:fill="F4F6F8" w:val="clear"/>
            <w:tcMar>
              <w:top w:type="dxa" w:w="100"/>
              <w:left w:type="dxa" w:w="140"/>
              <w:bottom w:type="dxa" w:w="100"/>
              <w:right w:type="dxa" w:w="140"/>
            </w:tcMar>
            <w:vAlign w:val="center"/>
          </w:tcPr>
          <w:p>
            <w:pPr>
              <w:spacing w:after="30" w:before="30"/>
            </w:pPr>
            <w:r>
              <w:rPr>
                <w:rFonts w:ascii="Calibri" w:cs="Calibri" w:eastAsia="Calibri" w:hAnsi="Calibri"/>
                <w:b/>
                <w:bCs/>
                <w:sz w:val="20"/>
                <w:szCs w:val="20"/>
              </w:rPr>
              <w:t xml:space="preserve">Q4 (M10-12)</w:t>
            </w:r>
          </w:p>
        </w:tc>
        <w:tc>
          <w:tcPr>
            <w:tcBorders>
              <w:top w:val="single" w:color="B4B4B4" w:sz="4"/>
              <w:left w:val="single" w:color="B4B4B4" w:sz="4"/>
              <w:bottom w:val="single" w:color="B4B4B4" w:sz="4"/>
              <w:right w:val="single" w:color="B4B4B4" w:sz="4"/>
            </w:tcBorders>
            <w:shd w:fill="F4F6F8" w:val="clear"/>
            <w:tcMar>
              <w:top w:type="dxa" w:w="100"/>
              <w:left w:type="dxa" w:w="140"/>
              <w:bottom w:type="dxa" w:w="100"/>
              <w:right w:type="dxa" w:w="140"/>
            </w:tcMar>
            <w:vAlign w:val="center"/>
          </w:tcPr>
          <w:p>
            <w:pPr>
              <w:spacing w:after="30" w:before="30"/>
            </w:pPr>
            <w:r>
              <w:rPr>
                <w:rFonts w:ascii="Calibri" w:cs="Calibri" w:eastAsia="Calibri" w:hAnsi="Calibri"/>
                <w:sz w:val="20"/>
                <w:szCs w:val="20"/>
              </w:rPr>
              <w:t xml:space="preserve">Annual VerifIQ State of Irish Construction Documentation report — flagship content</w:t>
            </w:r>
          </w:p>
        </w:tc>
        <w:tc>
          <w:tcPr>
            <w:tcBorders>
              <w:top w:val="single" w:color="B4B4B4" w:sz="4"/>
              <w:left w:val="single" w:color="B4B4B4" w:sz="4"/>
              <w:bottom w:val="single" w:color="B4B4B4" w:sz="4"/>
              <w:right w:val="single" w:color="B4B4B4" w:sz="4"/>
            </w:tcBorders>
            <w:shd w:fill="F4F6F8" w:val="clear"/>
            <w:tcMar>
              <w:top w:type="dxa" w:w="100"/>
              <w:left w:type="dxa" w:w="140"/>
              <w:bottom w:type="dxa" w:w="100"/>
              <w:right w:type="dxa" w:w="140"/>
            </w:tcMar>
            <w:vAlign w:val="center"/>
          </w:tcPr>
          <w:p>
            <w:pPr>
              <w:spacing w:after="30" w:before="30"/>
            </w:pPr>
            <w:r>
              <w:rPr>
                <w:rFonts w:ascii="Calibri" w:cs="Calibri" w:eastAsia="Calibri" w:hAnsi="Calibri"/>
                <w:sz w:val="20"/>
                <w:szCs w:val="20"/>
              </w:rPr>
              <w:t xml:space="preserve">Renewal cycle for all Q1-Q2 pilots, expand to programme deals</w:t>
            </w:r>
          </w:p>
        </w:tc>
        <w:tc>
          <w:tcPr>
            <w:tcBorders>
              <w:top w:val="single" w:color="B4B4B4" w:sz="4"/>
              <w:left w:val="single" w:color="B4B4B4" w:sz="4"/>
              <w:bottom w:val="single" w:color="B4B4B4" w:sz="4"/>
              <w:right w:val="single" w:color="B4B4B4" w:sz="4"/>
            </w:tcBorders>
            <w:shd w:fill="F4F6F8" w:val="clear"/>
            <w:tcMar>
              <w:top w:type="dxa" w:w="100"/>
              <w:left w:type="dxa" w:w="140"/>
              <w:bottom w:type="dxa" w:w="100"/>
              <w:right w:type="dxa" w:w="140"/>
            </w:tcMar>
            <w:vAlign w:val="center"/>
          </w:tcPr>
          <w:p>
            <w:pPr>
              <w:spacing w:after="30" w:before="30"/>
            </w:pPr>
            <w:r>
              <w:rPr>
                <w:rFonts w:ascii="Calibri" w:cs="Calibri" w:eastAsia="Calibri" w:hAnsi="Calibri"/>
                <w:sz w:val="20"/>
                <w:szCs w:val="20"/>
              </w:rPr>
              <w:t xml:space="preserve">Year-end review with each pilot, case study production for renewals</w:t>
            </w:r>
          </w:p>
        </w:tc>
      </w:tr>
    </w:tbl>
    <w:p>
      <w:pPr>
        <w:pStyle w:val="Heading2"/>
        <w:spacing w:after="140" w:before="280"/>
      </w:pPr>
      <w:r>
        <w:rPr>
          <w:rFonts w:ascii="Calibri" w:cs="Calibri" w:eastAsia="Calibri" w:hAnsi="Calibri"/>
          <w:b/>
          <w:bCs/>
          <w:color w:val="1A1A1A"/>
          <w:sz w:val="26"/>
          <w:szCs w:val="26"/>
        </w:rPr>
        <w:t xml:space="preserve">7.6 Marketing budget allocation (Year 1)</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500"/>
        <w:gridCol w:w="2000"/>
        <w:gridCol w:w="3246"/>
      </w:tblGrid>
      <w:tr>
        <w:trPr>
          <w:tblHeader/>
        </w:trPr>
        <w:tc>
          <w:tcPr>
            <w:tcW w:type="dxa" w:w="4500"/>
            <w:tcBorders>
              <w:top w:val="single" w:color="B4B4B4" w:sz="4"/>
              <w:left w:val="single" w:color="B4B4B4" w:sz="4"/>
              <w:bottom w:val="single" w:color="B4B4B4" w:sz="4"/>
              <w:right w:val="single" w:color="B4B4B4" w:sz="4"/>
            </w:tcBorders>
            <w:shd w:fill="0E3A6E" w:val="clear"/>
            <w:tcMar>
              <w:top w:type="dxa" w:w="100"/>
              <w:left w:type="dxa" w:w="140"/>
              <w:bottom w:type="dxa" w:w="100"/>
              <w:right w:type="dxa" w:w="140"/>
            </w:tcMar>
            <w:vAlign w:val="center"/>
          </w:tcPr>
          <w:p>
            <w:pPr>
              <w:spacing w:after="30" w:before="30"/>
            </w:pPr>
            <w:r>
              <w:rPr>
                <w:rFonts w:ascii="Calibri" w:cs="Calibri" w:eastAsia="Calibri" w:hAnsi="Calibri"/>
                <w:b/>
                <w:bCs/>
                <w:color w:val="FFFFFF"/>
                <w:sz w:val="20"/>
                <w:szCs w:val="20"/>
              </w:rPr>
              <w:t xml:space="preserve">Line item</w:t>
            </w:r>
          </w:p>
        </w:tc>
        <w:tc>
          <w:tcPr>
            <w:tcW w:type="dxa" w:w="2000"/>
            <w:tcBorders>
              <w:top w:val="single" w:color="B4B4B4" w:sz="4"/>
              <w:left w:val="single" w:color="B4B4B4" w:sz="4"/>
              <w:bottom w:val="single" w:color="B4B4B4" w:sz="4"/>
              <w:right w:val="single" w:color="B4B4B4" w:sz="4"/>
            </w:tcBorders>
            <w:shd w:fill="0E3A6E" w:val="clear"/>
            <w:tcMar>
              <w:top w:type="dxa" w:w="100"/>
              <w:left w:type="dxa" w:w="140"/>
              <w:bottom w:type="dxa" w:w="100"/>
              <w:right w:type="dxa" w:w="140"/>
            </w:tcMar>
            <w:vAlign w:val="center"/>
          </w:tcPr>
          <w:p>
            <w:pPr>
              <w:spacing w:after="30" w:before="30"/>
            </w:pPr>
            <w:r>
              <w:rPr>
                <w:rFonts w:ascii="Calibri" w:cs="Calibri" w:eastAsia="Calibri" w:hAnsi="Calibri"/>
                <w:b/>
                <w:bCs/>
                <w:color w:val="FFFFFF"/>
                <w:sz w:val="20"/>
                <w:szCs w:val="20"/>
              </w:rPr>
              <w:t xml:space="preserve">Year 1 budget</w:t>
            </w:r>
          </w:p>
        </w:tc>
        <w:tc>
          <w:tcPr>
            <w:tcW w:type="dxa" w:w="3246"/>
            <w:tcBorders>
              <w:top w:val="single" w:color="B4B4B4" w:sz="4"/>
              <w:left w:val="single" w:color="B4B4B4" w:sz="4"/>
              <w:bottom w:val="single" w:color="B4B4B4" w:sz="4"/>
              <w:right w:val="single" w:color="B4B4B4" w:sz="4"/>
            </w:tcBorders>
            <w:shd w:fill="0E3A6E" w:val="clear"/>
            <w:tcMar>
              <w:top w:type="dxa" w:w="100"/>
              <w:left w:type="dxa" w:w="140"/>
              <w:bottom w:type="dxa" w:w="100"/>
              <w:right w:type="dxa" w:w="140"/>
            </w:tcMar>
            <w:vAlign w:val="center"/>
          </w:tcPr>
          <w:p>
            <w:pPr>
              <w:spacing w:after="30" w:before="30"/>
            </w:pPr>
            <w:r>
              <w:rPr>
                <w:rFonts w:ascii="Calibri" w:cs="Calibri" w:eastAsia="Calibri" w:hAnsi="Calibri"/>
                <w:b/>
                <w:bCs/>
                <w:color w:val="FFFFFF"/>
                <w:sz w:val="20"/>
                <w:szCs w:val="20"/>
              </w:rPr>
              <w:t xml:space="preserve">Notes</w:t>
            </w:r>
          </w:p>
        </w:tc>
      </w:tr>
      <w:tr>
        <w:tc>
          <w:tcPr>
            <w:tcBorders>
              <w:top w:val="single" w:color="B4B4B4" w:sz="4"/>
              <w:left w:val="single" w:color="B4B4B4" w:sz="4"/>
              <w:bottom w:val="single" w:color="B4B4B4" w:sz="4"/>
              <w:right w:val="single" w:color="B4B4B4" w:sz="4"/>
            </w:tcBorders>
            <w:tcMar>
              <w:top w:type="dxa" w:w="100"/>
              <w:left w:type="dxa" w:w="140"/>
              <w:bottom w:type="dxa" w:w="100"/>
              <w:right w:type="dxa" w:w="140"/>
            </w:tcMar>
            <w:vAlign w:val="center"/>
          </w:tcPr>
          <w:p>
            <w:pPr>
              <w:spacing w:after="30" w:before="30"/>
            </w:pPr>
            <w:r>
              <w:rPr>
                <w:rFonts w:ascii="Calibri" w:cs="Calibri" w:eastAsia="Calibri" w:hAnsi="Calibri"/>
                <w:sz w:val="20"/>
                <w:szCs w:val="20"/>
              </w:rPr>
              <w:t xml:space="preserve">Website design and build (one-off)</w:t>
            </w:r>
          </w:p>
        </w:tc>
        <w:tc>
          <w:tcPr>
            <w:tcBorders>
              <w:top w:val="single" w:color="B4B4B4" w:sz="4"/>
              <w:left w:val="single" w:color="B4B4B4" w:sz="4"/>
              <w:bottom w:val="single" w:color="B4B4B4" w:sz="4"/>
              <w:right w:val="single" w:color="B4B4B4" w:sz="4"/>
            </w:tcBorders>
            <w:tcMar>
              <w:top w:type="dxa" w:w="100"/>
              <w:left w:type="dxa" w:w="140"/>
              <w:bottom w:type="dxa" w:w="100"/>
              <w:right w:type="dxa" w:w="140"/>
            </w:tcMar>
            <w:vAlign w:val="center"/>
          </w:tcPr>
          <w:p>
            <w:pPr>
              <w:spacing w:after="30" w:before="30"/>
              <w:jc w:val="center"/>
            </w:pPr>
            <w:r>
              <w:rPr>
                <w:rFonts w:ascii="Calibri" w:cs="Calibri" w:eastAsia="Calibri" w:hAnsi="Calibri"/>
                <w:b/>
                <w:bCs/>
                <w:sz w:val="20"/>
                <w:szCs w:val="20"/>
              </w:rPr>
              <w:t xml:space="preserve">€8,000-€12,000</w:t>
            </w:r>
          </w:p>
        </w:tc>
        <w:tc>
          <w:tcPr>
            <w:tcBorders>
              <w:top w:val="single" w:color="B4B4B4" w:sz="4"/>
              <w:left w:val="single" w:color="B4B4B4" w:sz="4"/>
              <w:bottom w:val="single" w:color="B4B4B4" w:sz="4"/>
              <w:right w:val="single" w:color="B4B4B4" w:sz="4"/>
            </w:tcBorders>
            <w:tcMar>
              <w:top w:type="dxa" w:w="100"/>
              <w:left w:type="dxa" w:w="140"/>
              <w:bottom w:type="dxa" w:w="100"/>
              <w:right w:type="dxa" w:w="140"/>
            </w:tcMar>
            <w:vAlign w:val="center"/>
          </w:tcPr>
          <w:p>
            <w:pPr>
              <w:spacing w:after="30" w:before="30"/>
            </w:pPr>
            <w:r>
              <w:rPr>
                <w:rFonts w:ascii="Calibri" w:cs="Calibri" w:eastAsia="Calibri" w:hAnsi="Calibri"/>
                <w:sz w:val="20"/>
                <w:szCs w:val="20"/>
              </w:rPr>
              <w:t xml:space="preserve">Founder-led with contractor designer / developer</w:t>
            </w:r>
          </w:p>
        </w:tc>
      </w:tr>
      <w:tr>
        <w:tc>
          <w:tcPr>
            <w:tcBorders>
              <w:top w:val="single" w:color="B4B4B4" w:sz="4"/>
              <w:left w:val="single" w:color="B4B4B4" w:sz="4"/>
              <w:bottom w:val="single" w:color="B4B4B4" w:sz="4"/>
              <w:right w:val="single" w:color="B4B4B4" w:sz="4"/>
            </w:tcBorders>
            <w:shd w:fill="F4F6F8" w:val="clear"/>
            <w:tcMar>
              <w:top w:type="dxa" w:w="100"/>
              <w:left w:type="dxa" w:w="140"/>
              <w:bottom w:type="dxa" w:w="100"/>
              <w:right w:type="dxa" w:w="140"/>
            </w:tcMar>
            <w:vAlign w:val="center"/>
          </w:tcPr>
          <w:p>
            <w:pPr>
              <w:spacing w:after="30" w:before="30"/>
            </w:pPr>
            <w:r>
              <w:rPr>
                <w:rFonts w:ascii="Calibri" w:cs="Calibri" w:eastAsia="Calibri" w:hAnsi="Calibri"/>
                <w:sz w:val="20"/>
                <w:szCs w:val="20"/>
              </w:rPr>
              <w:t xml:space="preserve">Content production (case studies, podcast, webinars)</w:t>
            </w:r>
          </w:p>
        </w:tc>
        <w:tc>
          <w:tcPr>
            <w:tcBorders>
              <w:top w:val="single" w:color="B4B4B4" w:sz="4"/>
              <w:left w:val="single" w:color="B4B4B4" w:sz="4"/>
              <w:bottom w:val="single" w:color="B4B4B4" w:sz="4"/>
              <w:right w:val="single" w:color="B4B4B4" w:sz="4"/>
            </w:tcBorders>
            <w:shd w:fill="F4F6F8" w:val="clear"/>
            <w:tcMar>
              <w:top w:type="dxa" w:w="100"/>
              <w:left w:type="dxa" w:w="140"/>
              <w:bottom w:type="dxa" w:w="100"/>
              <w:right w:type="dxa" w:w="140"/>
            </w:tcMar>
            <w:vAlign w:val="center"/>
          </w:tcPr>
          <w:p>
            <w:pPr>
              <w:spacing w:after="30" w:before="30"/>
              <w:jc w:val="center"/>
            </w:pPr>
            <w:r>
              <w:rPr>
                <w:rFonts w:ascii="Calibri" w:cs="Calibri" w:eastAsia="Calibri" w:hAnsi="Calibri"/>
                <w:b/>
                <w:bCs/>
                <w:sz w:val="20"/>
                <w:szCs w:val="20"/>
              </w:rPr>
              <w:t xml:space="preserve">€18,000-€25,000</w:t>
            </w:r>
          </w:p>
        </w:tc>
        <w:tc>
          <w:tcPr>
            <w:tcBorders>
              <w:top w:val="single" w:color="B4B4B4" w:sz="4"/>
              <w:left w:val="single" w:color="B4B4B4" w:sz="4"/>
              <w:bottom w:val="single" w:color="B4B4B4" w:sz="4"/>
              <w:right w:val="single" w:color="B4B4B4" w:sz="4"/>
            </w:tcBorders>
            <w:shd w:fill="F4F6F8" w:val="clear"/>
            <w:tcMar>
              <w:top w:type="dxa" w:w="100"/>
              <w:left w:type="dxa" w:w="140"/>
              <w:bottom w:type="dxa" w:w="100"/>
              <w:right w:type="dxa" w:w="140"/>
            </w:tcMar>
            <w:vAlign w:val="center"/>
          </w:tcPr>
          <w:p>
            <w:pPr>
              <w:spacing w:after="30" w:before="30"/>
            </w:pPr>
            <w:r>
              <w:rPr>
                <w:rFonts w:ascii="Calibri" w:cs="Calibri" w:eastAsia="Calibri" w:hAnsi="Calibri"/>
                <w:sz w:val="20"/>
                <w:szCs w:val="20"/>
              </w:rPr>
              <w:t xml:space="preserve">Includes podcast host fee, video production, copywriting</w:t>
            </w:r>
          </w:p>
        </w:tc>
      </w:tr>
      <w:tr>
        <w:tc>
          <w:tcPr>
            <w:tcBorders>
              <w:top w:val="single" w:color="B4B4B4" w:sz="4"/>
              <w:left w:val="single" w:color="B4B4B4" w:sz="4"/>
              <w:bottom w:val="single" w:color="B4B4B4" w:sz="4"/>
              <w:right w:val="single" w:color="B4B4B4" w:sz="4"/>
            </w:tcBorders>
            <w:tcMar>
              <w:top w:type="dxa" w:w="100"/>
              <w:left w:type="dxa" w:w="140"/>
              <w:bottom w:type="dxa" w:w="100"/>
              <w:right w:type="dxa" w:w="140"/>
            </w:tcMar>
            <w:vAlign w:val="center"/>
          </w:tcPr>
          <w:p>
            <w:pPr>
              <w:spacing w:after="30" w:before="30"/>
            </w:pPr>
            <w:r>
              <w:rPr>
                <w:rFonts w:ascii="Calibri" w:cs="Calibri" w:eastAsia="Calibri" w:hAnsi="Calibri"/>
                <w:sz w:val="20"/>
                <w:szCs w:val="20"/>
              </w:rPr>
              <w:t xml:space="preserve">Paid distribution (RIAI / IEI / SCSI advertorials, LinkedIn)</w:t>
            </w:r>
          </w:p>
        </w:tc>
        <w:tc>
          <w:tcPr>
            <w:tcBorders>
              <w:top w:val="single" w:color="B4B4B4" w:sz="4"/>
              <w:left w:val="single" w:color="B4B4B4" w:sz="4"/>
              <w:bottom w:val="single" w:color="B4B4B4" w:sz="4"/>
              <w:right w:val="single" w:color="B4B4B4" w:sz="4"/>
            </w:tcBorders>
            <w:tcMar>
              <w:top w:type="dxa" w:w="100"/>
              <w:left w:type="dxa" w:w="140"/>
              <w:bottom w:type="dxa" w:w="100"/>
              <w:right w:type="dxa" w:w="140"/>
            </w:tcMar>
            <w:vAlign w:val="center"/>
          </w:tcPr>
          <w:p>
            <w:pPr>
              <w:spacing w:after="30" w:before="30"/>
              <w:jc w:val="center"/>
            </w:pPr>
            <w:r>
              <w:rPr>
                <w:rFonts w:ascii="Calibri" w:cs="Calibri" w:eastAsia="Calibri" w:hAnsi="Calibri"/>
                <w:b/>
                <w:bCs/>
                <w:sz w:val="20"/>
                <w:szCs w:val="20"/>
              </w:rPr>
              <w:t xml:space="preserve">€12,000-€20,000</w:t>
            </w:r>
          </w:p>
        </w:tc>
        <w:tc>
          <w:tcPr>
            <w:tcBorders>
              <w:top w:val="single" w:color="B4B4B4" w:sz="4"/>
              <w:left w:val="single" w:color="B4B4B4" w:sz="4"/>
              <w:bottom w:val="single" w:color="B4B4B4" w:sz="4"/>
              <w:right w:val="single" w:color="B4B4B4" w:sz="4"/>
            </w:tcBorders>
            <w:tcMar>
              <w:top w:type="dxa" w:w="100"/>
              <w:left w:type="dxa" w:w="140"/>
              <w:bottom w:type="dxa" w:w="100"/>
              <w:right w:type="dxa" w:w="140"/>
            </w:tcMar>
            <w:vAlign w:val="center"/>
          </w:tcPr>
          <w:p>
            <w:pPr>
              <w:spacing w:after="30" w:before="30"/>
            </w:pPr>
            <w:r>
              <w:rPr>
                <w:rFonts w:ascii="Calibri" w:cs="Calibri" w:eastAsia="Calibri" w:hAnsi="Calibri"/>
                <w:sz w:val="20"/>
                <w:szCs w:val="20"/>
              </w:rPr>
              <w:t xml:space="preserve">Spread across institutes, no consumer media</w:t>
            </w:r>
          </w:p>
        </w:tc>
      </w:tr>
      <w:tr>
        <w:tc>
          <w:tcPr>
            <w:tcBorders>
              <w:top w:val="single" w:color="B4B4B4" w:sz="4"/>
              <w:left w:val="single" w:color="B4B4B4" w:sz="4"/>
              <w:bottom w:val="single" w:color="B4B4B4" w:sz="4"/>
              <w:right w:val="single" w:color="B4B4B4" w:sz="4"/>
            </w:tcBorders>
            <w:shd w:fill="F4F6F8" w:val="clear"/>
            <w:tcMar>
              <w:top w:type="dxa" w:w="100"/>
              <w:left w:type="dxa" w:w="140"/>
              <w:bottom w:type="dxa" w:w="100"/>
              <w:right w:type="dxa" w:w="140"/>
            </w:tcMar>
            <w:vAlign w:val="center"/>
          </w:tcPr>
          <w:p>
            <w:pPr>
              <w:spacing w:after="30" w:before="30"/>
            </w:pPr>
            <w:r>
              <w:rPr>
                <w:rFonts w:ascii="Calibri" w:cs="Calibri" w:eastAsia="Calibri" w:hAnsi="Calibri"/>
                <w:sz w:val="20"/>
                <w:szCs w:val="20"/>
              </w:rPr>
              <w:t xml:space="preserve">Event sponsorship and speaking</w:t>
            </w:r>
          </w:p>
        </w:tc>
        <w:tc>
          <w:tcPr>
            <w:tcBorders>
              <w:top w:val="single" w:color="B4B4B4" w:sz="4"/>
              <w:left w:val="single" w:color="B4B4B4" w:sz="4"/>
              <w:bottom w:val="single" w:color="B4B4B4" w:sz="4"/>
              <w:right w:val="single" w:color="B4B4B4" w:sz="4"/>
            </w:tcBorders>
            <w:shd w:fill="F4F6F8" w:val="clear"/>
            <w:tcMar>
              <w:top w:type="dxa" w:w="100"/>
              <w:left w:type="dxa" w:w="140"/>
              <w:bottom w:type="dxa" w:w="100"/>
              <w:right w:type="dxa" w:w="140"/>
            </w:tcMar>
            <w:vAlign w:val="center"/>
          </w:tcPr>
          <w:p>
            <w:pPr>
              <w:spacing w:after="30" w:before="30"/>
              <w:jc w:val="center"/>
            </w:pPr>
            <w:r>
              <w:rPr>
                <w:rFonts w:ascii="Calibri" w:cs="Calibri" w:eastAsia="Calibri" w:hAnsi="Calibri"/>
                <w:b/>
                <w:bCs/>
                <w:sz w:val="20"/>
                <w:szCs w:val="20"/>
              </w:rPr>
              <w:t xml:space="preserve">€8,000-€15,000</w:t>
            </w:r>
          </w:p>
        </w:tc>
        <w:tc>
          <w:tcPr>
            <w:tcBorders>
              <w:top w:val="single" w:color="B4B4B4" w:sz="4"/>
              <w:left w:val="single" w:color="B4B4B4" w:sz="4"/>
              <w:bottom w:val="single" w:color="B4B4B4" w:sz="4"/>
              <w:right w:val="single" w:color="B4B4B4" w:sz="4"/>
            </w:tcBorders>
            <w:shd w:fill="F4F6F8" w:val="clear"/>
            <w:tcMar>
              <w:top w:type="dxa" w:w="100"/>
              <w:left w:type="dxa" w:w="140"/>
              <w:bottom w:type="dxa" w:w="100"/>
              <w:right w:type="dxa" w:w="140"/>
            </w:tcMar>
            <w:vAlign w:val="center"/>
          </w:tcPr>
          <w:p>
            <w:pPr>
              <w:spacing w:after="30" w:before="30"/>
            </w:pPr>
            <w:r>
              <w:rPr>
                <w:rFonts w:ascii="Calibri" w:cs="Calibri" w:eastAsia="Calibri" w:hAnsi="Calibri"/>
                <w:sz w:val="20"/>
                <w:szCs w:val="20"/>
              </w:rPr>
              <w:t xml:space="preserve">1-2 major Irish construction events, multiple CPD slots</w:t>
            </w:r>
          </w:p>
        </w:tc>
      </w:tr>
      <w:tr>
        <w:tc>
          <w:tcPr>
            <w:tcBorders>
              <w:top w:val="single" w:color="B4B4B4" w:sz="4"/>
              <w:left w:val="single" w:color="B4B4B4" w:sz="4"/>
              <w:bottom w:val="single" w:color="B4B4B4" w:sz="4"/>
              <w:right w:val="single" w:color="B4B4B4" w:sz="4"/>
            </w:tcBorders>
            <w:tcMar>
              <w:top w:type="dxa" w:w="100"/>
              <w:left w:type="dxa" w:w="140"/>
              <w:bottom w:type="dxa" w:w="100"/>
              <w:right w:type="dxa" w:w="140"/>
            </w:tcMar>
            <w:vAlign w:val="center"/>
          </w:tcPr>
          <w:p>
            <w:pPr>
              <w:spacing w:after="30" w:before="30"/>
            </w:pPr>
            <w:r>
              <w:rPr>
                <w:rFonts w:ascii="Calibri" w:cs="Calibri" w:eastAsia="Calibri" w:hAnsi="Calibri"/>
                <w:sz w:val="20"/>
                <w:szCs w:val="20"/>
              </w:rPr>
              <w:t xml:space="preserve">PR and analyst relations</w:t>
            </w:r>
          </w:p>
        </w:tc>
        <w:tc>
          <w:tcPr>
            <w:tcBorders>
              <w:top w:val="single" w:color="B4B4B4" w:sz="4"/>
              <w:left w:val="single" w:color="B4B4B4" w:sz="4"/>
              <w:bottom w:val="single" w:color="B4B4B4" w:sz="4"/>
              <w:right w:val="single" w:color="B4B4B4" w:sz="4"/>
            </w:tcBorders>
            <w:tcMar>
              <w:top w:type="dxa" w:w="100"/>
              <w:left w:type="dxa" w:w="140"/>
              <w:bottom w:type="dxa" w:w="100"/>
              <w:right w:type="dxa" w:w="140"/>
            </w:tcMar>
            <w:vAlign w:val="center"/>
          </w:tcPr>
          <w:p>
            <w:pPr>
              <w:spacing w:after="30" w:before="30"/>
              <w:jc w:val="center"/>
            </w:pPr>
            <w:r>
              <w:rPr>
                <w:rFonts w:ascii="Calibri" w:cs="Calibri" w:eastAsia="Calibri" w:hAnsi="Calibri"/>
                <w:b/>
                <w:bCs/>
                <w:sz w:val="20"/>
                <w:szCs w:val="20"/>
              </w:rPr>
              <w:t xml:space="preserve">€5,000-€10,000</w:t>
            </w:r>
          </w:p>
        </w:tc>
        <w:tc>
          <w:tcPr>
            <w:tcBorders>
              <w:top w:val="single" w:color="B4B4B4" w:sz="4"/>
              <w:left w:val="single" w:color="B4B4B4" w:sz="4"/>
              <w:bottom w:val="single" w:color="B4B4B4" w:sz="4"/>
              <w:right w:val="single" w:color="B4B4B4" w:sz="4"/>
            </w:tcBorders>
            <w:tcMar>
              <w:top w:type="dxa" w:w="100"/>
              <w:left w:type="dxa" w:w="140"/>
              <w:bottom w:type="dxa" w:w="100"/>
              <w:right w:type="dxa" w:w="140"/>
            </w:tcMar>
            <w:vAlign w:val="center"/>
          </w:tcPr>
          <w:p>
            <w:pPr>
              <w:spacing w:after="30" w:before="30"/>
            </w:pPr>
            <w:r>
              <w:rPr>
                <w:rFonts w:ascii="Calibri" w:cs="Calibri" w:eastAsia="Calibri" w:hAnsi="Calibri"/>
                <w:sz w:val="20"/>
                <w:szCs w:val="20"/>
              </w:rPr>
              <w:t xml:space="preserve">Light, founder-led, no agency</w:t>
            </w:r>
          </w:p>
        </w:tc>
      </w:tr>
      <w:tr>
        <w:tc>
          <w:tcPr>
            <w:tcBorders>
              <w:top w:val="single" w:color="B4B4B4" w:sz="4"/>
              <w:left w:val="single" w:color="B4B4B4" w:sz="4"/>
              <w:bottom w:val="single" w:color="B4B4B4" w:sz="4"/>
              <w:right w:val="single" w:color="B4B4B4" w:sz="4"/>
            </w:tcBorders>
            <w:shd w:fill="F4F6F8" w:val="clear"/>
            <w:tcMar>
              <w:top w:type="dxa" w:w="100"/>
              <w:left w:type="dxa" w:w="140"/>
              <w:bottom w:type="dxa" w:w="100"/>
              <w:right w:type="dxa" w:w="140"/>
            </w:tcMar>
            <w:vAlign w:val="center"/>
          </w:tcPr>
          <w:p>
            <w:pPr>
              <w:spacing w:after="30" w:before="30"/>
            </w:pPr>
            <w:r>
              <w:rPr>
                <w:rFonts w:ascii="Calibri" w:cs="Calibri" w:eastAsia="Calibri" w:hAnsi="Calibri"/>
                <w:sz w:val="20"/>
                <w:szCs w:val="20"/>
              </w:rPr>
              <w:t xml:space="preserve">Sales tools and CRM</w:t>
            </w:r>
          </w:p>
        </w:tc>
        <w:tc>
          <w:tcPr>
            <w:tcBorders>
              <w:top w:val="single" w:color="B4B4B4" w:sz="4"/>
              <w:left w:val="single" w:color="B4B4B4" w:sz="4"/>
              <w:bottom w:val="single" w:color="B4B4B4" w:sz="4"/>
              <w:right w:val="single" w:color="B4B4B4" w:sz="4"/>
            </w:tcBorders>
            <w:shd w:fill="F4F6F8" w:val="clear"/>
            <w:tcMar>
              <w:top w:type="dxa" w:w="100"/>
              <w:left w:type="dxa" w:w="140"/>
              <w:bottom w:type="dxa" w:w="100"/>
              <w:right w:type="dxa" w:w="140"/>
            </w:tcMar>
            <w:vAlign w:val="center"/>
          </w:tcPr>
          <w:p>
            <w:pPr>
              <w:spacing w:after="30" w:before="30"/>
              <w:jc w:val="center"/>
            </w:pPr>
            <w:r>
              <w:rPr>
                <w:rFonts w:ascii="Calibri" w:cs="Calibri" w:eastAsia="Calibri" w:hAnsi="Calibri"/>
                <w:b/>
                <w:bCs/>
                <w:sz w:val="20"/>
                <w:szCs w:val="20"/>
              </w:rPr>
              <w:t xml:space="preserve">€3,000-€5,000</w:t>
            </w:r>
          </w:p>
        </w:tc>
        <w:tc>
          <w:tcPr>
            <w:tcBorders>
              <w:top w:val="single" w:color="B4B4B4" w:sz="4"/>
              <w:left w:val="single" w:color="B4B4B4" w:sz="4"/>
              <w:bottom w:val="single" w:color="B4B4B4" w:sz="4"/>
              <w:right w:val="single" w:color="B4B4B4" w:sz="4"/>
            </w:tcBorders>
            <w:shd w:fill="F4F6F8" w:val="clear"/>
            <w:tcMar>
              <w:top w:type="dxa" w:w="100"/>
              <w:left w:type="dxa" w:w="140"/>
              <w:bottom w:type="dxa" w:w="100"/>
              <w:right w:type="dxa" w:w="140"/>
            </w:tcMar>
            <w:vAlign w:val="center"/>
          </w:tcPr>
          <w:p>
            <w:pPr>
              <w:spacing w:after="30" w:before="30"/>
            </w:pPr>
            <w:r>
              <w:rPr>
                <w:rFonts w:ascii="Calibri" w:cs="Calibri" w:eastAsia="Calibri" w:hAnsi="Calibri"/>
                <w:sz w:val="20"/>
                <w:szCs w:val="20"/>
              </w:rPr>
              <w:t xml:space="preserve">HubSpot Starter or similar, sales nav, drip email</w:t>
            </w:r>
          </w:p>
        </w:tc>
      </w:tr>
      <w:tr>
        <w:tc>
          <w:tcPr>
            <w:tcBorders>
              <w:top w:val="single" w:color="B4B4B4" w:sz="4"/>
              <w:left w:val="single" w:color="B4B4B4" w:sz="4"/>
              <w:bottom w:val="single" w:color="B4B4B4" w:sz="4"/>
              <w:right w:val="single" w:color="B4B4B4" w:sz="4"/>
            </w:tcBorders>
            <w:shd w:fill="0E3A6E" w:val="clear"/>
            <w:tcMar>
              <w:top w:type="dxa" w:w="100"/>
              <w:left w:type="dxa" w:w="140"/>
              <w:bottom w:type="dxa" w:w="100"/>
              <w:right w:type="dxa" w:w="140"/>
            </w:tcMar>
            <w:vAlign w:val="center"/>
          </w:tcPr>
          <w:p>
            <w:pPr>
              <w:spacing w:after="30" w:before="30"/>
            </w:pPr>
            <w:r>
              <w:rPr>
                <w:rFonts w:ascii="Calibri" w:cs="Calibri" w:eastAsia="Calibri" w:hAnsi="Calibri"/>
                <w:b/>
                <w:bCs/>
                <w:color w:val="FFFFFF"/>
                <w:sz w:val="20"/>
                <w:szCs w:val="20"/>
              </w:rPr>
              <w:t xml:space="preserve">Year-1 marketing total</w:t>
            </w:r>
          </w:p>
        </w:tc>
        <w:tc>
          <w:tcPr>
            <w:tcBorders>
              <w:top w:val="single" w:color="B4B4B4" w:sz="4"/>
              <w:left w:val="single" w:color="B4B4B4" w:sz="4"/>
              <w:bottom w:val="single" w:color="B4B4B4" w:sz="4"/>
              <w:right w:val="single" w:color="B4B4B4" w:sz="4"/>
            </w:tcBorders>
            <w:shd w:fill="0E3A6E" w:val="clear"/>
            <w:tcMar>
              <w:top w:type="dxa" w:w="100"/>
              <w:left w:type="dxa" w:w="140"/>
              <w:bottom w:type="dxa" w:w="100"/>
              <w:right w:type="dxa" w:w="140"/>
            </w:tcMar>
            <w:vAlign w:val="center"/>
          </w:tcPr>
          <w:p>
            <w:pPr>
              <w:spacing w:after="30" w:before="30"/>
              <w:jc w:val="center"/>
            </w:pPr>
            <w:r>
              <w:rPr>
                <w:rFonts w:ascii="Calibri" w:cs="Calibri" w:eastAsia="Calibri" w:hAnsi="Calibri"/>
                <w:b/>
                <w:bCs/>
                <w:color w:val="FFFFFF"/>
                <w:sz w:val="20"/>
                <w:szCs w:val="20"/>
              </w:rPr>
              <w:t xml:space="preserve">€54,000-€87,000</w:t>
            </w:r>
          </w:p>
        </w:tc>
        <w:tc>
          <w:tcPr>
            <w:tcBorders>
              <w:top w:val="single" w:color="B4B4B4" w:sz="4"/>
              <w:left w:val="single" w:color="B4B4B4" w:sz="4"/>
              <w:bottom w:val="single" w:color="B4B4B4" w:sz="4"/>
              <w:right w:val="single" w:color="B4B4B4" w:sz="4"/>
            </w:tcBorders>
            <w:shd w:fill="0E3A6E" w:val="clear"/>
            <w:tcMar>
              <w:top w:type="dxa" w:w="100"/>
              <w:left w:type="dxa" w:w="140"/>
              <w:bottom w:type="dxa" w:w="100"/>
              <w:right w:type="dxa" w:w="140"/>
            </w:tcMar>
            <w:vAlign w:val="center"/>
          </w:tcPr>
          <w:p>
            <w:pPr>
              <w:spacing w:after="30" w:before="30"/>
            </w:pPr>
            <w:r>
              <w:rPr>
                <w:rFonts w:ascii="Calibri" w:cs="Calibri" w:eastAsia="Calibri" w:hAnsi="Calibri"/>
                <w:color w:val="FFFFFF"/>
                <w:sz w:val="20"/>
                <w:szCs w:val="20"/>
              </w:rPr>
              <w:t xml:space="preserve">Approximately 15-25% of Year-1 target revenue</w:t>
            </w:r>
          </w:p>
        </w:tc>
      </w:tr>
    </w:tbl>
    <w:p>
      <w:pPr>
        <w:spacing w:after="80" w:before="200"/>
      </w:pPr>
      <w:r>
        <w:rPr>
          <w:rFonts w:ascii="Calibri" w:cs="Calibri" w:eastAsia="Calibri" w:hAnsi="Calibri"/>
          <w:i/>
          <w:iCs/>
          <w:sz w:val="22"/>
          <w:szCs w:val="22"/>
        </w:rPr>
        <w:t xml:space="preserve">Marketing budget excludes founder salary, product engineering and customer-success cost. It is the pure go-to-market spend.</w:t>
      </w:r>
    </w:p>
    <w:p>
      <w:r>
        <w:br w:type="page"/>
      </w:r>
    </w:p>
    <w:p>
      <w:pPr>
        <w:pStyle w:val="Heading1"/>
        <w:spacing w:after="200" w:before="400"/>
      </w:pPr>
      <w:r>
        <w:rPr>
          <w:rFonts w:ascii="Calibri" w:cs="Calibri" w:eastAsia="Calibri" w:hAnsi="Calibri"/>
          <w:b/>
          <w:bCs/>
          <w:color w:val="0E3A6E"/>
          <w:sz w:val="32"/>
          <w:szCs w:val="32"/>
        </w:rPr>
        <w:t xml:space="preserve">8. Financial Projections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D49B00" w:sz="16"/>
              <w:left w:val="single" w:color="D49B00" w:sz="16"/>
              <w:bottom w:val="single" w:color="D49B00" w:sz="4"/>
              <w:right w:val="single" w:color="D49B00" w:sz="4"/>
            </w:tcBorders>
            <w:shd w:fill="FFF4D6" w:val="clear"/>
            <w:tcMar>
              <w:top w:type="dxa" w:w="160"/>
              <w:left w:type="dxa" w:w="200"/>
              <w:bottom w:type="dxa" w:w="160"/>
              <w:right w:type="dxa" w:w="200"/>
            </w:tcMar>
          </w:tcPr>
          <w:p>
            <w:pPr>
              <w:spacing w:after="80" w:before="0"/>
            </w:pPr>
            <w:r>
              <w:rPr>
                <w:rFonts w:ascii="Calibri" w:cs="Calibri" w:eastAsia="Calibri" w:hAnsi="Calibri"/>
                <w:b/>
                <w:bCs/>
                <w:color w:val="1A1A1A"/>
                <w:sz w:val="22"/>
                <w:szCs w:val="22"/>
              </w:rPr>
              <w:t xml:space="preserve">Forward-looking statements</w:t>
            </w:r>
          </w:p>
          <w:p>
            <w:pPr>
              <w:spacing w:after="40" w:before="40"/>
            </w:pPr>
            <w:r>
              <w:rPr>
                <w:rFonts w:ascii="Calibri" w:cs="Calibri" w:eastAsia="Calibri" w:hAnsi="Calibri"/>
                <w:sz w:val="20"/>
                <w:szCs w:val="20"/>
              </w:rPr>
              <w:t xml:space="preserve">All financial projections are working estimates based on the market analysis, pricing model and validation engagement evidence in Sections 3, 5 and 6.</w:t>
            </w:r>
          </w:p>
          <w:p>
            <w:pPr>
              <w:spacing w:after="40" w:before="40"/>
            </w:pPr>
            <w:r>
              <w:rPr>
                <w:rFonts w:ascii="Calibri" w:cs="Calibri" w:eastAsia="Calibri" w:hAnsi="Calibri"/>
                <w:sz w:val="20"/>
                <w:szCs w:val="20"/>
              </w:rPr>
              <w:t xml:space="preserve">Projections are not guarantees and are sensitive to (a) MVP build velocity, (b) pilot conversion timing, (c) inference cost trajectory and (d) institutional channel introductions.</w:t>
            </w:r>
          </w:p>
          <w:p>
            <w:pPr>
              <w:spacing w:after="40" w:before="40"/>
            </w:pPr>
            <w:r>
              <w:rPr>
                <w:rFonts w:ascii="Calibri" w:cs="Calibri" w:eastAsia="Calibri" w:hAnsi="Calibri"/>
                <w:sz w:val="20"/>
                <w:szCs w:val="20"/>
              </w:rPr>
              <w:t xml:space="preserve">Year 1 numbers below assume MVP live by month 3, first paid customer by month 4, 30-50 paying customers by month 12.</w:t>
            </w:r>
          </w:p>
        </w:tc>
      </w:tr>
    </w:tbl>
    <w:p>
      <w:pPr>
        <w:pStyle w:val="Heading2"/>
        <w:spacing w:after="140" w:before="280"/>
      </w:pPr>
      <w:r>
        <w:rPr>
          <w:rFonts w:ascii="Calibri" w:cs="Calibri" w:eastAsia="Calibri" w:hAnsi="Calibri"/>
          <w:b/>
          <w:bCs/>
          <w:color w:val="1A1A1A"/>
          <w:sz w:val="26"/>
          <w:szCs w:val="26"/>
        </w:rPr>
        <w:t xml:space="preserve">8.1 Three-year P&amp;L projection (base case)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500"/>
        <w:gridCol w:w="2082"/>
        <w:gridCol w:w="2082"/>
        <w:gridCol w:w="2082"/>
      </w:tblGrid>
      <w:tr>
        <w:trPr>
          <w:tblHeader/>
        </w:trPr>
        <w:tc>
          <w:tcPr>
            <w:tcW w:type="dxa" w:w="3500"/>
            <w:tcBorders>
              <w:top w:val="single" w:color="B4B4B4" w:sz="4"/>
              <w:left w:val="single" w:color="B4B4B4" w:sz="4"/>
              <w:bottom w:val="single" w:color="B4B4B4" w:sz="4"/>
              <w:right w:val="single" w:color="B4B4B4" w:sz="4"/>
            </w:tcBorders>
            <w:shd w:fill="0E3A6E" w:val="clear"/>
            <w:tcMar>
              <w:top w:type="dxa" w:w="100"/>
              <w:left w:type="dxa" w:w="140"/>
              <w:bottom w:type="dxa" w:w="100"/>
              <w:right w:type="dxa" w:w="140"/>
            </w:tcMar>
            <w:vAlign w:val="center"/>
          </w:tcPr>
          <w:p>
            <w:pPr>
              <w:spacing w:after="30" w:before="30"/>
            </w:pPr>
            <w:r>
              <w:rPr>
                <w:rFonts w:ascii="Calibri" w:cs="Calibri" w:eastAsia="Calibri" w:hAnsi="Calibri"/>
                <w:b/>
                <w:bCs/>
                <w:color w:val="FFFFFF"/>
                <w:sz w:val="20"/>
                <w:szCs w:val="20"/>
              </w:rPr>
              <w:t xml:space="preserve">Line item (€)</w:t>
            </w:r>
          </w:p>
        </w:tc>
        <w:tc>
          <w:tcPr>
            <w:tcW w:type="dxa" w:w="2082"/>
            <w:tcBorders>
              <w:top w:val="single" w:color="B4B4B4" w:sz="4"/>
              <w:left w:val="single" w:color="B4B4B4" w:sz="4"/>
              <w:bottom w:val="single" w:color="B4B4B4" w:sz="4"/>
              <w:right w:val="single" w:color="B4B4B4" w:sz="4"/>
            </w:tcBorders>
            <w:shd w:fill="0E3A6E" w:val="clear"/>
            <w:tcMar>
              <w:top w:type="dxa" w:w="100"/>
              <w:left w:type="dxa" w:w="140"/>
              <w:bottom w:type="dxa" w:w="100"/>
              <w:right w:type="dxa" w:w="140"/>
            </w:tcMar>
            <w:vAlign w:val="center"/>
          </w:tcPr>
          <w:p>
            <w:pPr>
              <w:spacing w:after="30" w:before="30"/>
            </w:pPr>
            <w:r>
              <w:rPr>
                <w:rFonts w:ascii="Calibri" w:cs="Calibri" w:eastAsia="Calibri" w:hAnsi="Calibri"/>
                <w:b/>
                <w:bCs/>
                <w:color w:val="FFFFFF"/>
                <w:sz w:val="20"/>
                <w:szCs w:val="20"/>
              </w:rPr>
              <w:t xml:space="preserve">Year 1</w:t>
            </w:r>
          </w:p>
        </w:tc>
        <w:tc>
          <w:tcPr>
            <w:tcW w:type="dxa" w:w="2082"/>
            <w:tcBorders>
              <w:top w:val="single" w:color="B4B4B4" w:sz="4"/>
              <w:left w:val="single" w:color="B4B4B4" w:sz="4"/>
              <w:bottom w:val="single" w:color="B4B4B4" w:sz="4"/>
              <w:right w:val="single" w:color="B4B4B4" w:sz="4"/>
            </w:tcBorders>
            <w:shd w:fill="0E3A6E" w:val="clear"/>
            <w:tcMar>
              <w:top w:type="dxa" w:w="100"/>
              <w:left w:type="dxa" w:w="140"/>
              <w:bottom w:type="dxa" w:w="100"/>
              <w:right w:type="dxa" w:w="140"/>
            </w:tcMar>
            <w:vAlign w:val="center"/>
          </w:tcPr>
          <w:p>
            <w:pPr>
              <w:spacing w:after="30" w:before="30"/>
            </w:pPr>
            <w:r>
              <w:rPr>
                <w:rFonts w:ascii="Calibri" w:cs="Calibri" w:eastAsia="Calibri" w:hAnsi="Calibri"/>
                <w:b/>
                <w:bCs/>
                <w:color w:val="FFFFFF"/>
                <w:sz w:val="20"/>
                <w:szCs w:val="20"/>
              </w:rPr>
              <w:t xml:space="preserve">Year 2</w:t>
            </w:r>
          </w:p>
        </w:tc>
        <w:tc>
          <w:tcPr>
            <w:tcW w:type="dxa" w:w="2082"/>
            <w:tcBorders>
              <w:top w:val="single" w:color="B4B4B4" w:sz="4"/>
              <w:left w:val="single" w:color="B4B4B4" w:sz="4"/>
              <w:bottom w:val="single" w:color="B4B4B4" w:sz="4"/>
              <w:right w:val="single" w:color="B4B4B4" w:sz="4"/>
            </w:tcBorders>
            <w:shd w:fill="0E3A6E" w:val="clear"/>
            <w:tcMar>
              <w:top w:type="dxa" w:w="100"/>
              <w:left w:type="dxa" w:w="140"/>
              <w:bottom w:type="dxa" w:w="100"/>
              <w:right w:type="dxa" w:w="140"/>
            </w:tcMar>
            <w:vAlign w:val="center"/>
          </w:tcPr>
          <w:p>
            <w:pPr>
              <w:spacing w:after="30" w:before="30"/>
            </w:pPr>
            <w:r>
              <w:rPr>
                <w:rFonts w:ascii="Calibri" w:cs="Calibri" w:eastAsia="Calibri" w:hAnsi="Calibri"/>
                <w:b/>
                <w:bCs/>
                <w:color w:val="FFFFFF"/>
                <w:sz w:val="20"/>
                <w:szCs w:val="20"/>
              </w:rPr>
              <w:t xml:space="preserve">Year 3</w:t>
            </w:r>
          </w:p>
        </w:tc>
      </w:tr>
      <w:tr>
        <w:tc>
          <w:tcPr>
            <w:tcBorders>
              <w:top w:val="single" w:color="B4B4B4" w:sz="4"/>
              <w:left w:val="single" w:color="B4B4B4" w:sz="4"/>
              <w:bottom w:val="single" w:color="B4B4B4" w:sz="4"/>
              <w:right w:val="single" w:color="B4B4B4" w:sz="4"/>
            </w:tcBorders>
            <w:tcMar>
              <w:top w:type="dxa" w:w="100"/>
              <w:left w:type="dxa" w:w="140"/>
              <w:bottom w:type="dxa" w:w="100"/>
              <w:right w:type="dxa" w:w="140"/>
            </w:tcMar>
            <w:vAlign w:val="center"/>
          </w:tcPr>
          <w:p>
            <w:pPr>
              <w:spacing w:after="30" w:before="30"/>
            </w:pPr>
            <w:r>
              <w:rPr>
                <w:rFonts w:ascii="Calibri" w:cs="Calibri" w:eastAsia="Calibri" w:hAnsi="Calibri"/>
                <w:b/>
                <w:bCs/>
                <w:sz w:val="20"/>
                <w:szCs w:val="20"/>
              </w:rPr>
              <w:t xml:space="preserve">Revenue — per-check (pay-as-you-go)</w:t>
            </w:r>
          </w:p>
        </w:tc>
        <w:tc>
          <w:tcPr>
            <w:tcBorders>
              <w:top w:val="single" w:color="B4B4B4" w:sz="4"/>
              <w:left w:val="single" w:color="B4B4B4" w:sz="4"/>
              <w:bottom w:val="single" w:color="B4B4B4" w:sz="4"/>
              <w:right w:val="single" w:color="B4B4B4" w:sz="4"/>
            </w:tcBorders>
            <w:tcMar>
              <w:top w:type="dxa" w:w="100"/>
              <w:left w:type="dxa" w:w="140"/>
              <w:bottom w:type="dxa" w:w="100"/>
              <w:right w:type="dxa" w:w="140"/>
            </w:tcMar>
            <w:vAlign w:val="center"/>
          </w:tcPr>
          <w:p>
            <w:pPr>
              <w:spacing w:after="30" w:before="30"/>
              <w:jc w:val="center"/>
            </w:pPr>
            <w:r>
              <w:rPr>
                <w:rFonts w:ascii="Calibri" w:cs="Calibri" w:eastAsia="Calibri" w:hAnsi="Calibri"/>
                <w:sz w:val="20"/>
                <w:szCs w:val="20"/>
              </w:rPr>
              <w:t xml:space="preserve">80,000</w:t>
            </w:r>
          </w:p>
        </w:tc>
        <w:tc>
          <w:tcPr>
            <w:tcBorders>
              <w:top w:val="single" w:color="B4B4B4" w:sz="4"/>
              <w:left w:val="single" w:color="B4B4B4" w:sz="4"/>
              <w:bottom w:val="single" w:color="B4B4B4" w:sz="4"/>
              <w:right w:val="single" w:color="B4B4B4" w:sz="4"/>
            </w:tcBorders>
            <w:tcMar>
              <w:top w:type="dxa" w:w="100"/>
              <w:left w:type="dxa" w:w="140"/>
              <w:bottom w:type="dxa" w:w="100"/>
              <w:right w:type="dxa" w:w="140"/>
            </w:tcMar>
            <w:vAlign w:val="center"/>
          </w:tcPr>
          <w:p>
            <w:pPr>
              <w:spacing w:after="30" w:before="30"/>
              <w:jc w:val="center"/>
            </w:pPr>
            <w:r>
              <w:rPr>
                <w:rFonts w:ascii="Calibri" w:cs="Calibri" w:eastAsia="Calibri" w:hAnsi="Calibri"/>
                <w:sz w:val="20"/>
                <w:szCs w:val="20"/>
              </w:rPr>
              <w:t xml:space="preserve">220,000</w:t>
            </w:r>
          </w:p>
        </w:tc>
        <w:tc>
          <w:tcPr>
            <w:tcBorders>
              <w:top w:val="single" w:color="B4B4B4" w:sz="4"/>
              <w:left w:val="single" w:color="B4B4B4" w:sz="4"/>
              <w:bottom w:val="single" w:color="B4B4B4" w:sz="4"/>
              <w:right w:val="single" w:color="B4B4B4" w:sz="4"/>
            </w:tcBorders>
            <w:tcMar>
              <w:top w:type="dxa" w:w="100"/>
              <w:left w:type="dxa" w:w="140"/>
              <w:bottom w:type="dxa" w:w="100"/>
              <w:right w:type="dxa" w:w="140"/>
            </w:tcMar>
            <w:vAlign w:val="center"/>
          </w:tcPr>
          <w:p>
            <w:pPr>
              <w:spacing w:after="30" w:before="30"/>
              <w:jc w:val="center"/>
            </w:pPr>
            <w:r>
              <w:rPr>
                <w:rFonts w:ascii="Calibri" w:cs="Calibri" w:eastAsia="Calibri" w:hAnsi="Calibri"/>
                <w:sz w:val="20"/>
                <w:szCs w:val="20"/>
              </w:rPr>
              <w:t xml:space="preserve">480,000</w:t>
            </w:r>
          </w:p>
        </w:tc>
      </w:tr>
      <w:tr>
        <w:tc>
          <w:tcPr>
            <w:tcBorders>
              <w:top w:val="single" w:color="B4B4B4" w:sz="4"/>
              <w:left w:val="single" w:color="B4B4B4" w:sz="4"/>
              <w:bottom w:val="single" w:color="B4B4B4" w:sz="4"/>
              <w:right w:val="single" w:color="B4B4B4" w:sz="4"/>
            </w:tcBorders>
            <w:shd w:fill="F4F6F8" w:val="clear"/>
            <w:tcMar>
              <w:top w:type="dxa" w:w="100"/>
              <w:left w:type="dxa" w:w="140"/>
              <w:bottom w:type="dxa" w:w="100"/>
              <w:right w:type="dxa" w:w="140"/>
            </w:tcMar>
            <w:vAlign w:val="center"/>
          </w:tcPr>
          <w:p>
            <w:pPr>
              <w:spacing w:after="30" w:before="30"/>
            </w:pPr>
            <w:r>
              <w:rPr>
                <w:rFonts w:ascii="Calibri" w:cs="Calibri" w:eastAsia="Calibri" w:hAnsi="Calibri"/>
                <w:sz w:val="20"/>
                <w:szCs w:val="20"/>
              </w:rPr>
              <w:t xml:space="preserve">Revenue — subscriptions (recurring)</w:t>
            </w:r>
          </w:p>
        </w:tc>
        <w:tc>
          <w:tcPr>
            <w:tcBorders>
              <w:top w:val="single" w:color="B4B4B4" w:sz="4"/>
              <w:left w:val="single" w:color="B4B4B4" w:sz="4"/>
              <w:bottom w:val="single" w:color="B4B4B4" w:sz="4"/>
              <w:right w:val="single" w:color="B4B4B4" w:sz="4"/>
            </w:tcBorders>
            <w:shd w:fill="F4F6F8" w:val="clear"/>
            <w:tcMar>
              <w:top w:type="dxa" w:w="100"/>
              <w:left w:type="dxa" w:w="140"/>
              <w:bottom w:type="dxa" w:w="100"/>
              <w:right w:type="dxa" w:w="140"/>
            </w:tcMar>
            <w:vAlign w:val="center"/>
          </w:tcPr>
          <w:p>
            <w:pPr>
              <w:spacing w:after="30" w:before="30"/>
              <w:jc w:val="center"/>
            </w:pPr>
            <w:r>
              <w:rPr>
                <w:rFonts w:ascii="Calibri" w:cs="Calibri" w:eastAsia="Calibri" w:hAnsi="Calibri"/>
                <w:sz w:val="20"/>
                <w:szCs w:val="20"/>
              </w:rPr>
              <w:t xml:space="preserve">60,000</w:t>
            </w:r>
          </w:p>
        </w:tc>
        <w:tc>
          <w:tcPr>
            <w:tcBorders>
              <w:top w:val="single" w:color="B4B4B4" w:sz="4"/>
              <w:left w:val="single" w:color="B4B4B4" w:sz="4"/>
              <w:bottom w:val="single" w:color="B4B4B4" w:sz="4"/>
              <w:right w:val="single" w:color="B4B4B4" w:sz="4"/>
            </w:tcBorders>
            <w:shd w:fill="F4F6F8" w:val="clear"/>
            <w:tcMar>
              <w:top w:type="dxa" w:w="100"/>
              <w:left w:type="dxa" w:w="140"/>
              <w:bottom w:type="dxa" w:w="100"/>
              <w:right w:type="dxa" w:w="140"/>
            </w:tcMar>
            <w:vAlign w:val="center"/>
          </w:tcPr>
          <w:p>
            <w:pPr>
              <w:spacing w:after="30" w:before="30"/>
              <w:jc w:val="center"/>
            </w:pPr>
            <w:r>
              <w:rPr>
                <w:rFonts w:ascii="Calibri" w:cs="Calibri" w:eastAsia="Calibri" w:hAnsi="Calibri"/>
                <w:sz w:val="20"/>
                <w:szCs w:val="20"/>
              </w:rPr>
              <w:t xml:space="preserve">380,000</w:t>
            </w:r>
          </w:p>
        </w:tc>
        <w:tc>
          <w:tcPr>
            <w:tcBorders>
              <w:top w:val="single" w:color="B4B4B4" w:sz="4"/>
              <w:left w:val="single" w:color="B4B4B4" w:sz="4"/>
              <w:bottom w:val="single" w:color="B4B4B4" w:sz="4"/>
              <w:right w:val="single" w:color="B4B4B4" w:sz="4"/>
            </w:tcBorders>
            <w:shd w:fill="F4F6F8" w:val="clear"/>
            <w:tcMar>
              <w:top w:type="dxa" w:w="100"/>
              <w:left w:type="dxa" w:w="140"/>
              <w:bottom w:type="dxa" w:w="100"/>
              <w:right w:type="dxa" w:w="140"/>
            </w:tcMar>
            <w:vAlign w:val="center"/>
          </w:tcPr>
          <w:p>
            <w:pPr>
              <w:spacing w:after="30" w:before="30"/>
              <w:jc w:val="center"/>
            </w:pPr>
            <w:r>
              <w:rPr>
                <w:rFonts w:ascii="Calibri" w:cs="Calibri" w:eastAsia="Calibri" w:hAnsi="Calibri"/>
                <w:sz w:val="20"/>
                <w:szCs w:val="20"/>
              </w:rPr>
              <w:t xml:space="preserve">1,200,000</w:t>
            </w:r>
          </w:p>
        </w:tc>
      </w:tr>
      <w:tr>
        <w:tc>
          <w:tcPr>
            <w:tcBorders>
              <w:top w:val="single" w:color="B4B4B4" w:sz="4"/>
              <w:left w:val="single" w:color="B4B4B4" w:sz="4"/>
              <w:bottom w:val="single" w:color="B4B4B4" w:sz="4"/>
              <w:right w:val="single" w:color="B4B4B4" w:sz="4"/>
            </w:tcBorders>
            <w:tcMar>
              <w:top w:type="dxa" w:w="100"/>
              <w:left w:type="dxa" w:w="140"/>
              <w:bottom w:type="dxa" w:w="100"/>
              <w:right w:type="dxa" w:w="140"/>
            </w:tcMar>
            <w:vAlign w:val="center"/>
          </w:tcPr>
          <w:p>
            <w:pPr>
              <w:spacing w:after="30" w:before="30"/>
            </w:pPr>
            <w:r>
              <w:rPr>
                <w:rFonts w:ascii="Calibri" w:cs="Calibri" w:eastAsia="Calibri" w:hAnsi="Calibri"/>
                <w:sz w:val="20"/>
                <w:szCs w:val="20"/>
              </w:rPr>
              <w:t xml:space="preserve">Revenue — programme deals (Employer-side)</w:t>
            </w:r>
          </w:p>
        </w:tc>
        <w:tc>
          <w:tcPr>
            <w:tcBorders>
              <w:top w:val="single" w:color="B4B4B4" w:sz="4"/>
              <w:left w:val="single" w:color="B4B4B4" w:sz="4"/>
              <w:bottom w:val="single" w:color="B4B4B4" w:sz="4"/>
              <w:right w:val="single" w:color="B4B4B4" w:sz="4"/>
            </w:tcBorders>
            <w:tcMar>
              <w:top w:type="dxa" w:w="100"/>
              <w:left w:type="dxa" w:w="140"/>
              <w:bottom w:type="dxa" w:w="100"/>
              <w:right w:type="dxa" w:w="140"/>
            </w:tcMar>
            <w:vAlign w:val="center"/>
          </w:tcPr>
          <w:p>
            <w:pPr>
              <w:spacing w:after="30" w:before="30"/>
              <w:jc w:val="center"/>
            </w:pPr>
            <w:r>
              <w:rPr>
                <w:rFonts w:ascii="Calibri" w:cs="Calibri" w:eastAsia="Calibri" w:hAnsi="Calibri"/>
                <w:sz w:val="20"/>
                <w:szCs w:val="20"/>
              </w:rPr>
              <w:t xml:space="preserve">40,000</w:t>
            </w:r>
          </w:p>
        </w:tc>
        <w:tc>
          <w:tcPr>
            <w:tcBorders>
              <w:top w:val="single" w:color="B4B4B4" w:sz="4"/>
              <w:left w:val="single" w:color="B4B4B4" w:sz="4"/>
              <w:bottom w:val="single" w:color="B4B4B4" w:sz="4"/>
              <w:right w:val="single" w:color="B4B4B4" w:sz="4"/>
            </w:tcBorders>
            <w:tcMar>
              <w:top w:type="dxa" w:w="100"/>
              <w:left w:type="dxa" w:w="140"/>
              <w:bottom w:type="dxa" w:w="100"/>
              <w:right w:type="dxa" w:w="140"/>
            </w:tcMar>
            <w:vAlign w:val="center"/>
          </w:tcPr>
          <w:p>
            <w:pPr>
              <w:spacing w:after="30" w:before="30"/>
              <w:jc w:val="center"/>
            </w:pPr>
            <w:r>
              <w:rPr>
                <w:rFonts w:ascii="Calibri" w:cs="Calibri" w:eastAsia="Calibri" w:hAnsi="Calibri"/>
                <w:sz w:val="20"/>
                <w:szCs w:val="20"/>
              </w:rPr>
              <w:t xml:space="preserve">260,000</w:t>
            </w:r>
          </w:p>
        </w:tc>
        <w:tc>
          <w:tcPr>
            <w:tcBorders>
              <w:top w:val="single" w:color="B4B4B4" w:sz="4"/>
              <w:left w:val="single" w:color="B4B4B4" w:sz="4"/>
              <w:bottom w:val="single" w:color="B4B4B4" w:sz="4"/>
              <w:right w:val="single" w:color="B4B4B4" w:sz="4"/>
            </w:tcBorders>
            <w:tcMar>
              <w:top w:type="dxa" w:w="100"/>
              <w:left w:type="dxa" w:w="140"/>
              <w:bottom w:type="dxa" w:w="100"/>
              <w:right w:type="dxa" w:w="140"/>
            </w:tcMar>
            <w:vAlign w:val="center"/>
          </w:tcPr>
          <w:p>
            <w:pPr>
              <w:spacing w:after="30" w:before="30"/>
              <w:jc w:val="center"/>
            </w:pPr>
            <w:r>
              <w:rPr>
                <w:rFonts w:ascii="Calibri" w:cs="Calibri" w:eastAsia="Calibri" w:hAnsi="Calibri"/>
                <w:sz w:val="20"/>
                <w:szCs w:val="20"/>
              </w:rPr>
              <w:t xml:space="preserve">720,000</w:t>
            </w:r>
          </w:p>
        </w:tc>
      </w:tr>
      <w:tr>
        <w:tc>
          <w:tcPr>
            <w:tcBorders>
              <w:top w:val="single" w:color="B4B4B4" w:sz="4"/>
              <w:left w:val="single" w:color="B4B4B4" w:sz="4"/>
              <w:bottom w:val="single" w:color="B4B4B4" w:sz="4"/>
              <w:right w:val="single" w:color="B4B4B4" w:sz="4"/>
            </w:tcBorders>
            <w:shd w:fill="0E3A6E" w:val="clear"/>
            <w:tcMar>
              <w:top w:type="dxa" w:w="100"/>
              <w:left w:type="dxa" w:w="140"/>
              <w:bottom w:type="dxa" w:w="100"/>
              <w:right w:type="dxa" w:w="140"/>
            </w:tcMar>
            <w:vAlign w:val="center"/>
          </w:tcPr>
          <w:p>
            <w:pPr>
              <w:spacing w:after="30" w:before="30"/>
            </w:pPr>
            <w:r>
              <w:rPr>
                <w:rFonts w:ascii="Calibri" w:cs="Calibri" w:eastAsia="Calibri" w:hAnsi="Calibri"/>
                <w:b/>
                <w:bCs/>
                <w:sz w:val="20"/>
                <w:szCs w:val="20"/>
              </w:rPr>
              <w:t xml:space="preserve">Total revenue</w:t>
            </w:r>
          </w:p>
        </w:tc>
        <w:tc>
          <w:tcPr>
            <w:tcBorders>
              <w:top w:val="single" w:color="B4B4B4" w:sz="4"/>
              <w:left w:val="single" w:color="B4B4B4" w:sz="4"/>
              <w:bottom w:val="single" w:color="B4B4B4" w:sz="4"/>
              <w:right w:val="single" w:color="B4B4B4" w:sz="4"/>
            </w:tcBorders>
            <w:shd w:fill="0E3A6E" w:val="clear"/>
            <w:tcMar>
              <w:top w:type="dxa" w:w="100"/>
              <w:left w:type="dxa" w:w="140"/>
              <w:bottom w:type="dxa" w:w="100"/>
              <w:right w:type="dxa" w:w="140"/>
            </w:tcMar>
            <w:vAlign w:val="center"/>
          </w:tcPr>
          <w:p>
            <w:pPr>
              <w:spacing w:after="30" w:before="30"/>
              <w:jc w:val="center"/>
            </w:pPr>
            <w:r>
              <w:rPr>
                <w:rFonts w:ascii="Calibri" w:cs="Calibri" w:eastAsia="Calibri" w:hAnsi="Calibri"/>
                <w:b/>
                <w:bCs/>
                <w:color w:val="FFFFFF"/>
                <w:sz w:val="20"/>
                <w:szCs w:val="20"/>
              </w:rPr>
              <w:t xml:space="preserve">180,000</w:t>
            </w:r>
          </w:p>
        </w:tc>
        <w:tc>
          <w:tcPr>
            <w:tcBorders>
              <w:top w:val="single" w:color="B4B4B4" w:sz="4"/>
              <w:left w:val="single" w:color="B4B4B4" w:sz="4"/>
              <w:bottom w:val="single" w:color="B4B4B4" w:sz="4"/>
              <w:right w:val="single" w:color="B4B4B4" w:sz="4"/>
            </w:tcBorders>
            <w:shd w:fill="0E3A6E" w:val="clear"/>
            <w:tcMar>
              <w:top w:type="dxa" w:w="100"/>
              <w:left w:type="dxa" w:w="140"/>
              <w:bottom w:type="dxa" w:w="100"/>
              <w:right w:type="dxa" w:w="140"/>
            </w:tcMar>
            <w:vAlign w:val="center"/>
          </w:tcPr>
          <w:p>
            <w:pPr>
              <w:spacing w:after="30" w:before="30"/>
              <w:jc w:val="center"/>
            </w:pPr>
            <w:r>
              <w:rPr>
                <w:rFonts w:ascii="Calibri" w:cs="Calibri" w:eastAsia="Calibri" w:hAnsi="Calibri"/>
                <w:b/>
                <w:bCs/>
                <w:color w:val="FFFFFF"/>
                <w:sz w:val="20"/>
                <w:szCs w:val="20"/>
              </w:rPr>
              <w:t xml:space="preserve">860,000</w:t>
            </w:r>
          </w:p>
        </w:tc>
        <w:tc>
          <w:tcPr>
            <w:tcBorders>
              <w:top w:val="single" w:color="B4B4B4" w:sz="4"/>
              <w:left w:val="single" w:color="B4B4B4" w:sz="4"/>
              <w:bottom w:val="single" w:color="B4B4B4" w:sz="4"/>
              <w:right w:val="single" w:color="B4B4B4" w:sz="4"/>
            </w:tcBorders>
            <w:shd w:fill="0E3A6E" w:val="clear"/>
            <w:tcMar>
              <w:top w:type="dxa" w:w="100"/>
              <w:left w:type="dxa" w:w="140"/>
              <w:bottom w:type="dxa" w:w="100"/>
              <w:right w:type="dxa" w:w="140"/>
            </w:tcMar>
            <w:vAlign w:val="center"/>
          </w:tcPr>
          <w:p>
            <w:pPr>
              <w:spacing w:after="30" w:before="30"/>
              <w:jc w:val="center"/>
            </w:pPr>
            <w:r>
              <w:rPr>
                <w:rFonts w:ascii="Calibri" w:cs="Calibri" w:eastAsia="Calibri" w:hAnsi="Calibri"/>
                <w:b/>
                <w:bCs/>
                <w:color w:val="FFFFFF"/>
                <w:sz w:val="20"/>
                <w:szCs w:val="20"/>
              </w:rPr>
              <w:t xml:space="preserve">2,400,000</w:t>
            </w:r>
          </w:p>
        </w:tc>
      </w:tr>
      <w:tr>
        <w:tc>
          <w:tcPr>
            <w:tcBorders>
              <w:top w:val="single" w:color="B4B4B4" w:sz="4"/>
              <w:left w:val="single" w:color="B4B4B4" w:sz="4"/>
              <w:bottom w:val="single" w:color="B4B4B4" w:sz="4"/>
              <w:right w:val="single" w:color="B4B4B4" w:sz="4"/>
            </w:tcBorders>
            <w:tcMar>
              <w:top w:type="dxa" w:w="100"/>
              <w:left w:type="dxa" w:w="140"/>
              <w:bottom w:type="dxa" w:w="100"/>
              <w:right w:type="dxa" w:w="140"/>
            </w:tcMar>
            <w:vAlign w:val="center"/>
          </w:tcPr>
          <w:p>
            <w:pPr>
              <w:spacing w:after="30" w:before="30"/>
            </w:pPr>
            <w:r>
              <w:rPr>
                <w:rFonts w:ascii="Calibri" w:cs="Calibri" w:eastAsia="Calibri" w:hAnsi="Calibri"/>
                <w:sz w:val="20"/>
                <w:szCs w:val="20"/>
              </w:rPr>
              <w:t xml:space="preserve">Inference cost (COGS)</w:t>
            </w:r>
          </w:p>
        </w:tc>
        <w:tc>
          <w:tcPr>
            <w:tcBorders>
              <w:top w:val="single" w:color="B4B4B4" w:sz="4"/>
              <w:left w:val="single" w:color="B4B4B4" w:sz="4"/>
              <w:bottom w:val="single" w:color="B4B4B4" w:sz="4"/>
              <w:right w:val="single" w:color="B4B4B4" w:sz="4"/>
            </w:tcBorders>
            <w:tcMar>
              <w:top w:type="dxa" w:w="100"/>
              <w:left w:type="dxa" w:w="140"/>
              <w:bottom w:type="dxa" w:w="100"/>
              <w:right w:type="dxa" w:w="140"/>
            </w:tcMar>
            <w:vAlign w:val="center"/>
          </w:tcPr>
          <w:p>
            <w:pPr>
              <w:spacing w:after="30" w:before="30"/>
              <w:jc w:val="center"/>
            </w:pPr>
            <w:r>
              <w:rPr>
                <w:rFonts w:ascii="Calibri" w:cs="Calibri" w:eastAsia="Calibri" w:hAnsi="Calibri"/>
                <w:color w:val="B00020"/>
                <w:sz w:val="20"/>
                <w:szCs w:val="20"/>
              </w:rPr>
              <w:t xml:space="preserve">(22,000)</w:t>
            </w:r>
          </w:p>
        </w:tc>
        <w:tc>
          <w:tcPr>
            <w:tcBorders>
              <w:top w:val="single" w:color="B4B4B4" w:sz="4"/>
              <w:left w:val="single" w:color="B4B4B4" w:sz="4"/>
              <w:bottom w:val="single" w:color="B4B4B4" w:sz="4"/>
              <w:right w:val="single" w:color="B4B4B4" w:sz="4"/>
            </w:tcBorders>
            <w:tcMar>
              <w:top w:type="dxa" w:w="100"/>
              <w:left w:type="dxa" w:w="140"/>
              <w:bottom w:type="dxa" w:w="100"/>
              <w:right w:type="dxa" w:w="140"/>
            </w:tcMar>
            <w:vAlign w:val="center"/>
          </w:tcPr>
          <w:p>
            <w:pPr>
              <w:spacing w:after="30" w:before="30"/>
              <w:jc w:val="center"/>
            </w:pPr>
            <w:r>
              <w:rPr>
                <w:rFonts w:ascii="Calibri" w:cs="Calibri" w:eastAsia="Calibri" w:hAnsi="Calibri"/>
                <w:color w:val="B00020"/>
                <w:sz w:val="20"/>
                <w:szCs w:val="20"/>
              </w:rPr>
              <w:t xml:space="preserve">(95,000)</w:t>
            </w:r>
          </w:p>
        </w:tc>
        <w:tc>
          <w:tcPr>
            <w:tcBorders>
              <w:top w:val="single" w:color="B4B4B4" w:sz="4"/>
              <w:left w:val="single" w:color="B4B4B4" w:sz="4"/>
              <w:bottom w:val="single" w:color="B4B4B4" w:sz="4"/>
              <w:right w:val="single" w:color="B4B4B4" w:sz="4"/>
            </w:tcBorders>
            <w:tcMar>
              <w:top w:type="dxa" w:w="100"/>
              <w:left w:type="dxa" w:w="140"/>
              <w:bottom w:type="dxa" w:w="100"/>
              <w:right w:type="dxa" w:w="140"/>
            </w:tcMar>
            <w:vAlign w:val="center"/>
          </w:tcPr>
          <w:p>
            <w:pPr>
              <w:spacing w:after="30" w:before="30"/>
              <w:jc w:val="center"/>
            </w:pPr>
            <w:r>
              <w:rPr>
                <w:rFonts w:ascii="Calibri" w:cs="Calibri" w:eastAsia="Calibri" w:hAnsi="Calibri"/>
                <w:color w:val="B00020"/>
                <w:sz w:val="20"/>
                <w:szCs w:val="20"/>
              </w:rPr>
              <w:t xml:space="preserve">(260,000)</w:t>
            </w:r>
          </w:p>
        </w:tc>
      </w:tr>
      <w:tr>
        <w:tc>
          <w:tcPr>
            <w:tcBorders>
              <w:top w:val="single" w:color="B4B4B4" w:sz="4"/>
              <w:left w:val="single" w:color="B4B4B4" w:sz="4"/>
              <w:bottom w:val="single" w:color="B4B4B4" w:sz="4"/>
              <w:right w:val="single" w:color="B4B4B4" w:sz="4"/>
            </w:tcBorders>
            <w:shd w:fill="F4F6F8" w:val="clear"/>
            <w:tcMar>
              <w:top w:type="dxa" w:w="100"/>
              <w:left w:type="dxa" w:w="140"/>
              <w:bottom w:type="dxa" w:w="100"/>
              <w:right w:type="dxa" w:w="140"/>
            </w:tcMar>
            <w:vAlign w:val="center"/>
          </w:tcPr>
          <w:p>
            <w:pPr>
              <w:spacing w:after="30" w:before="30"/>
            </w:pPr>
            <w:r>
              <w:rPr>
                <w:rFonts w:ascii="Calibri" w:cs="Calibri" w:eastAsia="Calibri" w:hAnsi="Calibri"/>
                <w:sz w:val="20"/>
                <w:szCs w:val="20"/>
              </w:rPr>
              <w:t xml:space="preserve">Cloud infra (Convex, Vercel, storage)</w:t>
            </w:r>
          </w:p>
        </w:tc>
        <w:tc>
          <w:tcPr>
            <w:tcBorders>
              <w:top w:val="single" w:color="B4B4B4" w:sz="4"/>
              <w:left w:val="single" w:color="B4B4B4" w:sz="4"/>
              <w:bottom w:val="single" w:color="B4B4B4" w:sz="4"/>
              <w:right w:val="single" w:color="B4B4B4" w:sz="4"/>
            </w:tcBorders>
            <w:shd w:fill="F4F6F8" w:val="clear"/>
            <w:tcMar>
              <w:top w:type="dxa" w:w="100"/>
              <w:left w:type="dxa" w:w="140"/>
              <w:bottom w:type="dxa" w:w="100"/>
              <w:right w:type="dxa" w:w="140"/>
            </w:tcMar>
            <w:vAlign w:val="center"/>
          </w:tcPr>
          <w:p>
            <w:pPr>
              <w:spacing w:after="30" w:before="30"/>
              <w:jc w:val="center"/>
            </w:pPr>
            <w:r>
              <w:rPr>
                <w:rFonts w:ascii="Calibri" w:cs="Calibri" w:eastAsia="Calibri" w:hAnsi="Calibri"/>
                <w:color w:val="B00020"/>
                <w:sz w:val="20"/>
                <w:szCs w:val="20"/>
              </w:rPr>
              <w:t xml:space="preserve">(8,000)</w:t>
            </w:r>
          </w:p>
        </w:tc>
        <w:tc>
          <w:tcPr>
            <w:tcBorders>
              <w:top w:val="single" w:color="B4B4B4" w:sz="4"/>
              <w:left w:val="single" w:color="B4B4B4" w:sz="4"/>
              <w:bottom w:val="single" w:color="B4B4B4" w:sz="4"/>
              <w:right w:val="single" w:color="B4B4B4" w:sz="4"/>
            </w:tcBorders>
            <w:shd w:fill="F4F6F8" w:val="clear"/>
            <w:tcMar>
              <w:top w:type="dxa" w:w="100"/>
              <w:left w:type="dxa" w:w="140"/>
              <w:bottom w:type="dxa" w:w="100"/>
              <w:right w:type="dxa" w:w="140"/>
            </w:tcMar>
            <w:vAlign w:val="center"/>
          </w:tcPr>
          <w:p>
            <w:pPr>
              <w:spacing w:after="30" w:before="30"/>
              <w:jc w:val="center"/>
            </w:pPr>
            <w:r>
              <w:rPr>
                <w:rFonts w:ascii="Calibri" w:cs="Calibri" w:eastAsia="Calibri" w:hAnsi="Calibri"/>
                <w:color w:val="B00020"/>
                <w:sz w:val="20"/>
                <w:szCs w:val="20"/>
              </w:rPr>
              <w:t xml:space="preserve">(24,000)</w:t>
            </w:r>
          </w:p>
        </w:tc>
        <w:tc>
          <w:tcPr>
            <w:tcBorders>
              <w:top w:val="single" w:color="B4B4B4" w:sz="4"/>
              <w:left w:val="single" w:color="B4B4B4" w:sz="4"/>
              <w:bottom w:val="single" w:color="B4B4B4" w:sz="4"/>
              <w:right w:val="single" w:color="B4B4B4" w:sz="4"/>
            </w:tcBorders>
            <w:shd w:fill="F4F6F8" w:val="clear"/>
            <w:tcMar>
              <w:top w:type="dxa" w:w="100"/>
              <w:left w:type="dxa" w:w="140"/>
              <w:bottom w:type="dxa" w:w="100"/>
              <w:right w:type="dxa" w:w="140"/>
            </w:tcMar>
            <w:vAlign w:val="center"/>
          </w:tcPr>
          <w:p>
            <w:pPr>
              <w:spacing w:after="30" w:before="30"/>
              <w:jc w:val="center"/>
            </w:pPr>
            <w:r>
              <w:rPr>
                <w:rFonts w:ascii="Calibri" w:cs="Calibri" w:eastAsia="Calibri" w:hAnsi="Calibri"/>
                <w:color w:val="B00020"/>
                <w:sz w:val="20"/>
                <w:szCs w:val="20"/>
              </w:rPr>
              <w:t xml:space="preserve">(55,000)</w:t>
            </w:r>
          </w:p>
        </w:tc>
      </w:tr>
      <w:tr>
        <w:tc>
          <w:tcPr>
            <w:tcBorders>
              <w:top w:val="single" w:color="B4B4B4" w:sz="4"/>
              <w:left w:val="single" w:color="B4B4B4" w:sz="4"/>
              <w:bottom w:val="single" w:color="B4B4B4" w:sz="4"/>
              <w:right w:val="single" w:color="B4B4B4" w:sz="4"/>
            </w:tcBorders>
            <w:tcMar>
              <w:top w:type="dxa" w:w="100"/>
              <w:left w:type="dxa" w:w="140"/>
              <w:bottom w:type="dxa" w:w="100"/>
              <w:right w:type="dxa" w:w="140"/>
            </w:tcMar>
            <w:vAlign w:val="center"/>
          </w:tcPr>
          <w:p>
            <w:pPr>
              <w:spacing w:after="30" w:before="30"/>
            </w:pPr>
            <w:r>
              <w:rPr>
                <w:rFonts w:ascii="Calibri" w:cs="Calibri" w:eastAsia="Calibri" w:hAnsi="Calibri"/>
                <w:b/>
                <w:bCs/>
                <w:sz w:val="20"/>
                <w:szCs w:val="20"/>
              </w:rPr>
              <w:t xml:space="preserve">Gross profit</w:t>
            </w:r>
          </w:p>
        </w:tc>
        <w:tc>
          <w:tcPr>
            <w:tcBorders>
              <w:top w:val="single" w:color="B4B4B4" w:sz="4"/>
              <w:left w:val="single" w:color="B4B4B4" w:sz="4"/>
              <w:bottom w:val="single" w:color="B4B4B4" w:sz="4"/>
              <w:right w:val="single" w:color="B4B4B4" w:sz="4"/>
            </w:tcBorders>
            <w:tcMar>
              <w:top w:type="dxa" w:w="100"/>
              <w:left w:type="dxa" w:w="140"/>
              <w:bottom w:type="dxa" w:w="100"/>
              <w:right w:type="dxa" w:w="140"/>
            </w:tcMar>
            <w:vAlign w:val="center"/>
          </w:tcPr>
          <w:p>
            <w:pPr>
              <w:spacing w:after="30" w:before="30"/>
              <w:jc w:val="center"/>
            </w:pPr>
            <w:r>
              <w:rPr>
                <w:rFonts w:ascii="Calibri" w:cs="Calibri" w:eastAsia="Calibri" w:hAnsi="Calibri"/>
                <w:b/>
                <w:bCs/>
                <w:color w:val="1F6B3A"/>
                <w:sz w:val="20"/>
                <w:szCs w:val="20"/>
              </w:rPr>
              <w:t xml:space="preserve">150,000</w:t>
            </w:r>
          </w:p>
        </w:tc>
        <w:tc>
          <w:tcPr>
            <w:tcBorders>
              <w:top w:val="single" w:color="B4B4B4" w:sz="4"/>
              <w:left w:val="single" w:color="B4B4B4" w:sz="4"/>
              <w:bottom w:val="single" w:color="B4B4B4" w:sz="4"/>
              <w:right w:val="single" w:color="B4B4B4" w:sz="4"/>
            </w:tcBorders>
            <w:tcMar>
              <w:top w:type="dxa" w:w="100"/>
              <w:left w:type="dxa" w:w="140"/>
              <w:bottom w:type="dxa" w:w="100"/>
              <w:right w:type="dxa" w:w="140"/>
            </w:tcMar>
            <w:vAlign w:val="center"/>
          </w:tcPr>
          <w:p>
            <w:pPr>
              <w:spacing w:after="30" w:before="30"/>
              <w:jc w:val="center"/>
            </w:pPr>
            <w:r>
              <w:rPr>
                <w:rFonts w:ascii="Calibri" w:cs="Calibri" w:eastAsia="Calibri" w:hAnsi="Calibri"/>
                <w:b/>
                <w:bCs/>
                <w:color w:val="1F6B3A"/>
                <w:sz w:val="20"/>
                <w:szCs w:val="20"/>
              </w:rPr>
              <w:t xml:space="preserve">741,000</w:t>
            </w:r>
          </w:p>
        </w:tc>
        <w:tc>
          <w:tcPr>
            <w:tcBorders>
              <w:top w:val="single" w:color="B4B4B4" w:sz="4"/>
              <w:left w:val="single" w:color="B4B4B4" w:sz="4"/>
              <w:bottom w:val="single" w:color="B4B4B4" w:sz="4"/>
              <w:right w:val="single" w:color="B4B4B4" w:sz="4"/>
            </w:tcBorders>
            <w:tcMar>
              <w:top w:type="dxa" w:w="100"/>
              <w:left w:type="dxa" w:w="140"/>
              <w:bottom w:type="dxa" w:w="100"/>
              <w:right w:type="dxa" w:w="140"/>
            </w:tcMar>
            <w:vAlign w:val="center"/>
          </w:tcPr>
          <w:p>
            <w:pPr>
              <w:spacing w:after="30" w:before="30"/>
              <w:jc w:val="center"/>
            </w:pPr>
            <w:r>
              <w:rPr>
                <w:rFonts w:ascii="Calibri" w:cs="Calibri" w:eastAsia="Calibri" w:hAnsi="Calibri"/>
                <w:b/>
                <w:bCs/>
                <w:color w:val="1F6B3A"/>
                <w:sz w:val="20"/>
                <w:szCs w:val="20"/>
              </w:rPr>
              <w:t xml:space="preserve">2,085,000</w:t>
            </w:r>
          </w:p>
        </w:tc>
      </w:tr>
      <w:tr>
        <w:tc>
          <w:tcPr>
            <w:tcBorders>
              <w:top w:val="single" w:color="B4B4B4" w:sz="4"/>
              <w:left w:val="single" w:color="B4B4B4" w:sz="4"/>
              <w:bottom w:val="single" w:color="B4B4B4" w:sz="4"/>
              <w:right w:val="single" w:color="B4B4B4" w:sz="4"/>
            </w:tcBorders>
            <w:shd w:fill="F4F6F8" w:val="clear"/>
            <w:tcMar>
              <w:top w:type="dxa" w:w="100"/>
              <w:left w:type="dxa" w:w="140"/>
              <w:bottom w:type="dxa" w:w="100"/>
              <w:right w:type="dxa" w:w="140"/>
            </w:tcMar>
            <w:vAlign w:val="center"/>
          </w:tcPr>
          <w:p>
            <w:pPr>
              <w:spacing w:after="30" w:before="30"/>
            </w:pPr>
            <w:r>
              <w:rPr>
                <w:rFonts w:ascii="Calibri" w:cs="Calibri" w:eastAsia="Calibri" w:hAnsi="Calibri"/>
                <w:sz w:val="20"/>
                <w:szCs w:val="20"/>
              </w:rPr>
              <w:t xml:space="preserve">Gross margin %</w:t>
            </w:r>
          </w:p>
        </w:tc>
        <w:tc>
          <w:tcPr>
            <w:tcBorders>
              <w:top w:val="single" w:color="B4B4B4" w:sz="4"/>
              <w:left w:val="single" w:color="B4B4B4" w:sz="4"/>
              <w:bottom w:val="single" w:color="B4B4B4" w:sz="4"/>
              <w:right w:val="single" w:color="B4B4B4" w:sz="4"/>
            </w:tcBorders>
            <w:shd w:fill="F4F6F8" w:val="clear"/>
            <w:tcMar>
              <w:top w:type="dxa" w:w="100"/>
              <w:left w:type="dxa" w:w="140"/>
              <w:bottom w:type="dxa" w:w="100"/>
              <w:right w:type="dxa" w:w="140"/>
            </w:tcMar>
            <w:vAlign w:val="center"/>
          </w:tcPr>
          <w:p>
            <w:pPr>
              <w:spacing w:after="30" w:before="30"/>
              <w:jc w:val="center"/>
            </w:pPr>
            <w:r>
              <w:rPr>
                <w:rFonts w:ascii="Calibri" w:cs="Calibri" w:eastAsia="Calibri" w:hAnsi="Calibri"/>
                <w:b/>
                <w:bCs/>
                <w:sz w:val="20"/>
                <w:szCs w:val="20"/>
              </w:rPr>
              <w:t xml:space="preserve">83%</w:t>
            </w:r>
          </w:p>
        </w:tc>
        <w:tc>
          <w:tcPr>
            <w:tcBorders>
              <w:top w:val="single" w:color="B4B4B4" w:sz="4"/>
              <w:left w:val="single" w:color="B4B4B4" w:sz="4"/>
              <w:bottom w:val="single" w:color="B4B4B4" w:sz="4"/>
              <w:right w:val="single" w:color="B4B4B4" w:sz="4"/>
            </w:tcBorders>
            <w:shd w:fill="F4F6F8" w:val="clear"/>
            <w:tcMar>
              <w:top w:type="dxa" w:w="100"/>
              <w:left w:type="dxa" w:w="140"/>
              <w:bottom w:type="dxa" w:w="100"/>
              <w:right w:type="dxa" w:w="140"/>
            </w:tcMar>
            <w:vAlign w:val="center"/>
          </w:tcPr>
          <w:p>
            <w:pPr>
              <w:spacing w:after="30" w:before="30"/>
              <w:jc w:val="center"/>
            </w:pPr>
            <w:r>
              <w:rPr>
                <w:rFonts w:ascii="Calibri" w:cs="Calibri" w:eastAsia="Calibri" w:hAnsi="Calibri"/>
                <w:b/>
                <w:bCs/>
                <w:sz w:val="20"/>
                <w:szCs w:val="20"/>
              </w:rPr>
              <w:t xml:space="preserve">86%</w:t>
            </w:r>
          </w:p>
        </w:tc>
        <w:tc>
          <w:tcPr>
            <w:tcBorders>
              <w:top w:val="single" w:color="B4B4B4" w:sz="4"/>
              <w:left w:val="single" w:color="B4B4B4" w:sz="4"/>
              <w:bottom w:val="single" w:color="B4B4B4" w:sz="4"/>
              <w:right w:val="single" w:color="B4B4B4" w:sz="4"/>
            </w:tcBorders>
            <w:shd w:fill="F4F6F8" w:val="clear"/>
            <w:tcMar>
              <w:top w:type="dxa" w:w="100"/>
              <w:left w:type="dxa" w:w="140"/>
              <w:bottom w:type="dxa" w:w="100"/>
              <w:right w:type="dxa" w:w="140"/>
            </w:tcMar>
            <w:vAlign w:val="center"/>
          </w:tcPr>
          <w:p>
            <w:pPr>
              <w:spacing w:after="30" w:before="30"/>
              <w:jc w:val="center"/>
            </w:pPr>
            <w:r>
              <w:rPr>
                <w:rFonts w:ascii="Calibri" w:cs="Calibri" w:eastAsia="Calibri" w:hAnsi="Calibri"/>
                <w:b/>
                <w:bCs/>
                <w:sz w:val="20"/>
                <w:szCs w:val="20"/>
              </w:rPr>
              <w:t xml:space="preserve">87%</w:t>
            </w:r>
          </w:p>
        </w:tc>
      </w:tr>
      <w:tr>
        <w:tc>
          <w:tcPr>
            <w:tcBorders>
              <w:top w:val="single" w:color="B4B4B4" w:sz="4"/>
              <w:left w:val="single" w:color="B4B4B4" w:sz="4"/>
              <w:bottom w:val="single" w:color="B4B4B4" w:sz="4"/>
              <w:right w:val="single" w:color="B4B4B4" w:sz="4"/>
            </w:tcBorders>
            <w:tcMar>
              <w:top w:type="dxa" w:w="100"/>
              <w:left w:type="dxa" w:w="140"/>
              <w:bottom w:type="dxa" w:w="100"/>
              <w:right w:type="dxa" w:w="140"/>
            </w:tcMar>
            <w:vAlign w:val="center"/>
          </w:tcPr>
          <w:p>
            <w:pPr>
              <w:spacing w:after="30" w:before="30"/>
            </w:pPr>
            <w:r>
              <w:rPr>
                <w:rFonts w:ascii="Calibri" w:cs="Calibri" w:eastAsia="Calibri" w:hAnsi="Calibri"/>
                <w:sz w:val="20"/>
                <w:szCs w:val="20"/>
              </w:rPr>
              <w:t xml:space="preserve">Founder + 0-2 team</w:t>
            </w:r>
          </w:p>
        </w:tc>
        <w:tc>
          <w:tcPr>
            <w:tcBorders>
              <w:top w:val="single" w:color="B4B4B4" w:sz="4"/>
              <w:left w:val="single" w:color="B4B4B4" w:sz="4"/>
              <w:bottom w:val="single" w:color="B4B4B4" w:sz="4"/>
              <w:right w:val="single" w:color="B4B4B4" w:sz="4"/>
            </w:tcBorders>
            <w:tcMar>
              <w:top w:type="dxa" w:w="100"/>
              <w:left w:type="dxa" w:w="140"/>
              <w:bottom w:type="dxa" w:w="100"/>
              <w:right w:type="dxa" w:w="140"/>
            </w:tcMar>
            <w:vAlign w:val="center"/>
          </w:tcPr>
          <w:p>
            <w:pPr>
              <w:spacing w:after="30" w:before="30"/>
              <w:jc w:val="center"/>
            </w:pPr>
            <w:r>
              <w:rPr>
                <w:rFonts w:ascii="Calibri" w:cs="Calibri" w:eastAsia="Calibri" w:hAnsi="Calibri"/>
                <w:color w:val="B00020"/>
                <w:sz w:val="20"/>
                <w:szCs w:val="20"/>
              </w:rPr>
              <w:t xml:space="preserve">(95,000)</w:t>
            </w:r>
          </w:p>
        </w:tc>
        <w:tc>
          <w:tcPr>
            <w:tcBorders>
              <w:top w:val="single" w:color="B4B4B4" w:sz="4"/>
              <w:left w:val="single" w:color="B4B4B4" w:sz="4"/>
              <w:bottom w:val="single" w:color="B4B4B4" w:sz="4"/>
              <w:right w:val="single" w:color="B4B4B4" w:sz="4"/>
            </w:tcBorders>
            <w:tcMar>
              <w:top w:type="dxa" w:w="100"/>
              <w:left w:type="dxa" w:w="140"/>
              <w:bottom w:type="dxa" w:w="100"/>
              <w:right w:type="dxa" w:w="140"/>
            </w:tcMar>
            <w:vAlign w:val="center"/>
          </w:tcPr>
          <w:p>
            <w:pPr>
              <w:spacing w:after="30" w:before="30"/>
              <w:jc w:val="center"/>
            </w:pPr>
            <w:r>
              <w:rPr>
                <w:rFonts w:ascii="Calibri" w:cs="Calibri" w:eastAsia="Calibri" w:hAnsi="Calibri"/>
                <w:color w:val="B00020"/>
                <w:sz w:val="20"/>
                <w:szCs w:val="20"/>
              </w:rPr>
              <w:t xml:space="preserve">(245,000)</w:t>
            </w:r>
          </w:p>
        </w:tc>
        <w:tc>
          <w:tcPr>
            <w:tcBorders>
              <w:top w:val="single" w:color="B4B4B4" w:sz="4"/>
              <w:left w:val="single" w:color="B4B4B4" w:sz="4"/>
              <w:bottom w:val="single" w:color="B4B4B4" w:sz="4"/>
              <w:right w:val="single" w:color="B4B4B4" w:sz="4"/>
            </w:tcBorders>
            <w:tcMar>
              <w:top w:type="dxa" w:w="100"/>
              <w:left w:type="dxa" w:w="140"/>
              <w:bottom w:type="dxa" w:w="100"/>
              <w:right w:type="dxa" w:w="140"/>
            </w:tcMar>
            <w:vAlign w:val="center"/>
          </w:tcPr>
          <w:p>
            <w:pPr>
              <w:spacing w:after="30" w:before="30"/>
              <w:jc w:val="center"/>
            </w:pPr>
            <w:r>
              <w:rPr>
                <w:rFonts w:ascii="Calibri" w:cs="Calibri" w:eastAsia="Calibri" w:hAnsi="Calibri"/>
                <w:color w:val="B00020"/>
                <w:sz w:val="20"/>
                <w:szCs w:val="20"/>
              </w:rPr>
              <w:t xml:space="preserve">(420,000)</w:t>
            </w:r>
          </w:p>
        </w:tc>
      </w:tr>
      <w:tr>
        <w:tc>
          <w:tcPr>
            <w:tcBorders>
              <w:top w:val="single" w:color="B4B4B4" w:sz="4"/>
              <w:left w:val="single" w:color="B4B4B4" w:sz="4"/>
              <w:bottom w:val="single" w:color="B4B4B4" w:sz="4"/>
              <w:right w:val="single" w:color="B4B4B4" w:sz="4"/>
            </w:tcBorders>
            <w:shd w:fill="F4F6F8" w:val="clear"/>
            <w:tcMar>
              <w:top w:type="dxa" w:w="100"/>
              <w:left w:type="dxa" w:w="140"/>
              <w:bottom w:type="dxa" w:w="100"/>
              <w:right w:type="dxa" w:w="140"/>
            </w:tcMar>
            <w:vAlign w:val="center"/>
          </w:tcPr>
          <w:p>
            <w:pPr>
              <w:spacing w:after="30" w:before="30"/>
            </w:pPr>
            <w:r>
              <w:rPr>
                <w:rFonts w:ascii="Calibri" w:cs="Calibri" w:eastAsia="Calibri" w:hAnsi="Calibri"/>
                <w:sz w:val="20"/>
                <w:szCs w:val="20"/>
              </w:rPr>
              <w:t xml:space="preserve">Marketing</w:t>
            </w:r>
          </w:p>
        </w:tc>
        <w:tc>
          <w:tcPr>
            <w:tcBorders>
              <w:top w:val="single" w:color="B4B4B4" w:sz="4"/>
              <w:left w:val="single" w:color="B4B4B4" w:sz="4"/>
              <w:bottom w:val="single" w:color="B4B4B4" w:sz="4"/>
              <w:right w:val="single" w:color="B4B4B4" w:sz="4"/>
            </w:tcBorders>
            <w:shd w:fill="F4F6F8" w:val="clear"/>
            <w:tcMar>
              <w:top w:type="dxa" w:w="100"/>
              <w:left w:type="dxa" w:w="140"/>
              <w:bottom w:type="dxa" w:w="100"/>
              <w:right w:type="dxa" w:w="140"/>
            </w:tcMar>
            <w:vAlign w:val="center"/>
          </w:tcPr>
          <w:p>
            <w:pPr>
              <w:spacing w:after="30" w:before="30"/>
              <w:jc w:val="center"/>
            </w:pPr>
            <w:r>
              <w:rPr>
                <w:rFonts w:ascii="Calibri" w:cs="Calibri" w:eastAsia="Calibri" w:hAnsi="Calibri"/>
                <w:color w:val="B00020"/>
                <w:sz w:val="20"/>
                <w:szCs w:val="20"/>
              </w:rPr>
              <w:t xml:space="preserve">(70,000)</w:t>
            </w:r>
          </w:p>
        </w:tc>
        <w:tc>
          <w:tcPr>
            <w:tcBorders>
              <w:top w:val="single" w:color="B4B4B4" w:sz="4"/>
              <w:left w:val="single" w:color="B4B4B4" w:sz="4"/>
              <w:bottom w:val="single" w:color="B4B4B4" w:sz="4"/>
              <w:right w:val="single" w:color="B4B4B4" w:sz="4"/>
            </w:tcBorders>
            <w:shd w:fill="F4F6F8" w:val="clear"/>
            <w:tcMar>
              <w:top w:type="dxa" w:w="100"/>
              <w:left w:type="dxa" w:w="140"/>
              <w:bottom w:type="dxa" w:w="100"/>
              <w:right w:type="dxa" w:w="140"/>
            </w:tcMar>
            <w:vAlign w:val="center"/>
          </w:tcPr>
          <w:p>
            <w:pPr>
              <w:spacing w:after="30" w:before="30"/>
              <w:jc w:val="center"/>
            </w:pPr>
            <w:r>
              <w:rPr>
                <w:rFonts w:ascii="Calibri" w:cs="Calibri" w:eastAsia="Calibri" w:hAnsi="Calibri"/>
                <w:color w:val="B00020"/>
                <w:sz w:val="20"/>
                <w:szCs w:val="20"/>
              </w:rPr>
              <w:t xml:space="preserve">(140,000)</w:t>
            </w:r>
          </w:p>
        </w:tc>
        <w:tc>
          <w:tcPr>
            <w:tcBorders>
              <w:top w:val="single" w:color="B4B4B4" w:sz="4"/>
              <w:left w:val="single" w:color="B4B4B4" w:sz="4"/>
              <w:bottom w:val="single" w:color="B4B4B4" w:sz="4"/>
              <w:right w:val="single" w:color="B4B4B4" w:sz="4"/>
            </w:tcBorders>
            <w:shd w:fill="F4F6F8" w:val="clear"/>
            <w:tcMar>
              <w:top w:type="dxa" w:w="100"/>
              <w:left w:type="dxa" w:w="140"/>
              <w:bottom w:type="dxa" w:w="100"/>
              <w:right w:type="dxa" w:w="140"/>
            </w:tcMar>
            <w:vAlign w:val="center"/>
          </w:tcPr>
          <w:p>
            <w:pPr>
              <w:spacing w:after="30" w:before="30"/>
              <w:jc w:val="center"/>
            </w:pPr>
            <w:r>
              <w:rPr>
                <w:rFonts w:ascii="Calibri" w:cs="Calibri" w:eastAsia="Calibri" w:hAnsi="Calibri"/>
                <w:color w:val="B00020"/>
                <w:sz w:val="20"/>
                <w:szCs w:val="20"/>
              </w:rPr>
              <w:t xml:space="preserve">(260,000)</w:t>
            </w:r>
          </w:p>
        </w:tc>
      </w:tr>
      <w:tr>
        <w:tc>
          <w:tcPr>
            <w:tcBorders>
              <w:top w:val="single" w:color="B4B4B4" w:sz="4"/>
              <w:left w:val="single" w:color="B4B4B4" w:sz="4"/>
              <w:bottom w:val="single" w:color="B4B4B4" w:sz="4"/>
              <w:right w:val="single" w:color="B4B4B4" w:sz="4"/>
            </w:tcBorders>
            <w:tcMar>
              <w:top w:type="dxa" w:w="100"/>
              <w:left w:type="dxa" w:w="140"/>
              <w:bottom w:type="dxa" w:w="100"/>
              <w:right w:type="dxa" w:w="140"/>
            </w:tcMar>
            <w:vAlign w:val="center"/>
          </w:tcPr>
          <w:p>
            <w:pPr>
              <w:spacing w:after="30" w:before="30"/>
            </w:pPr>
            <w:r>
              <w:rPr>
                <w:rFonts w:ascii="Calibri" w:cs="Calibri" w:eastAsia="Calibri" w:hAnsi="Calibri"/>
                <w:sz w:val="20"/>
                <w:szCs w:val="20"/>
              </w:rPr>
              <w:t xml:space="preserve">Legal, accounting, admin, software</w:t>
            </w:r>
          </w:p>
        </w:tc>
        <w:tc>
          <w:tcPr>
            <w:tcBorders>
              <w:top w:val="single" w:color="B4B4B4" w:sz="4"/>
              <w:left w:val="single" w:color="B4B4B4" w:sz="4"/>
              <w:bottom w:val="single" w:color="B4B4B4" w:sz="4"/>
              <w:right w:val="single" w:color="B4B4B4" w:sz="4"/>
            </w:tcBorders>
            <w:tcMar>
              <w:top w:type="dxa" w:w="100"/>
              <w:left w:type="dxa" w:w="140"/>
              <w:bottom w:type="dxa" w:w="100"/>
              <w:right w:type="dxa" w:w="140"/>
            </w:tcMar>
            <w:vAlign w:val="center"/>
          </w:tcPr>
          <w:p>
            <w:pPr>
              <w:spacing w:after="30" w:before="30"/>
              <w:jc w:val="center"/>
            </w:pPr>
            <w:r>
              <w:rPr>
                <w:rFonts w:ascii="Calibri" w:cs="Calibri" w:eastAsia="Calibri" w:hAnsi="Calibri"/>
                <w:color w:val="B00020"/>
                <w:sz w:val="20"/>
                <w:szCs w:val="20"/>
              </w:rPr>
              <w:t xml:space="preserve">(18,000)</w:t>
            </w:r>
          </w:p>
        </w:tc>
        <w:tc>
          <w:tcPr>
            <w:tcBorders>
              <w:top w:val="single" w:color="B4B4B4" w:sz="4"/>
              <w:left w:val="single" w:color="B4B4B4" w:sz="4"/>
              <w:bottom w:val="single" w:color="B4B4B4" w:sz="4"/>
              <w:right w:val="single" w:color="B4B4B4" w:sz="4"/>
            </w:tcBorders>
            <w:tcMar>
              <w:top w:type="dxa" w:w="100"/>
              <w:left w:type="dxa" w:w="140"/>
              <w:bottom w:type="dxa" w:w="100"/>
              <w:right w:type="dxa" w:w="140"/>
            </w:tcMar>
            <w:vAlign w:val="center"/>
          </w:tcPr>
          <w:p>
            <w:pPr>
              <w:spacing w:after="30" w:before="30"/>
              <w:jc w:val="center"/>
            </w:pPr>
            <w:r>
              <w:rPr>
                <w:rFonts w:ascii="Calibri" w:cs="Calibri" w:eastAsia="Calibri" w:hAnsi="Calibri"/>
                <w:color w:val="B00020"/>
                <w:sz w:val="20"/>
                <w:szCs w:val="20"/>
              </w:rPr>
              <w:t xml:space="preserve">(38,000)</w:t>
            </w:r>
          </w:p>
        </w:tc>
        <w:tc>
          <w:tcPr>
            <w:tcBorders>
              <w:top w:val="single" w:color="B4B4B4" w:sz="4"/>
              <w:left w:val="single" w:color="B4B4B4" w:sz="4"/>
              <w:bottom w:val="single" w:color="B4B4B4" w:sz="4"/>
              <w:right w:val="single" w:color="B4B4B4" w:sz="4"/>
            </w:tcBorders>
            <w:tcMar>
              <w:top w:type="dxa" w:w="100"/>
              <w:left w:type="dxa" w:w="140"/>
              <w:bottom w:type="dxa" w:w="100"/>
              <w:right w:type="dxa" w:w="140"/>
            </w:tcMar>
            <w:vAlign w:val="center"/>
          </w:tcPr>
          <w:p>
            <w:pPr>
              <w:spacing w:after="30" w:before="30"/>
              <w:jc w:val="center"/>
            </w:pPr>
            <w:r>
              <w:rPr>
                <w:rFonts w:ascii="Calibri" w:cs="Calibri" w:eastAsia="Calibri" w:hAnsi="Calibri"/>
                <w:color w:val="B00020"/>
                <w:sz w:val="20"/>
                <w:szCs w:val="20"/>
              </w:rPr>
              <w:t xml:space="preserve">(70,000)</w:t>
            </w:r>
          </w:p>
        </w:tc>
      </w:tr>
      <w:tr>
        <w:tc>
          <w:tcPr>
            <w:tcBorders>
              <w:top w:val="single" w:color="B4B4B4" w:sz="4"/>
              <w:left w:val="single" w:color="B4B4B4" w:sz="4"/>
              <w:bottom w:val="single" w:color="B4B4B4" w:sz="4"/>
              <w:right w:val="single" w:color="B4B4B4" w:sz="4"/>
            </w:tcBorders>
            <w:shd w:fill="0E3A6E" w:val="clear"/>
            <w:tcMar>
              <w:top w:type="dxa" w:w="100"/>
              <w:left w:type="dxa" w:w="140"/>
              <w:bottom w:type="dxa" w:w="100"/>
              <w:right w:type="dxa" w:w="140"/>
            </w:tcMar>
            <w:vAlign w:val="center"/>
          </w:tcPr>
          <w:p>
            <w:pPr>
              <w:spacing w:after="30" w:before="30"/>
            </w:pPr>
            <w:r>
              <w:rPr>
                <w:rFonts w:ascii="Calibri" w:cs="Calibri" w:eastAsia="Calibri" w:hAnsi="Calibri"/>
                <w:b/>
                <w:bCs/>
                <w:sz w:val="20"/>
                <w:szCs w:val="20"/>
              </w:rPr>
              <w:t xml:space="preserve">Operating profit / (loss)</w:t>
            </w:r>
          </w:p>
        </w:tc>
        <w:tc>
          <w:tcPr>
            <w:tcBorders>
              <w:top w:val="single" w:color="B4B4B4" w:sz="4"/>
              <w:left w:val="single" w:color="B4B4B4" w:sz="4"/>
              <w:bottom w:val="single" w:color="B4B4B4" w:sz="4"/>
              <w:right w:val="single" w:color="B4B4B4" w:sz="4"/>
            </w:tcBorders>
            <w:shd w:fill="0E3A6E" w:val="clear"/>
            <w:tcMar>
              <w:top w:type="dxa" w:w="100"/>
              <w:left w:type="dxa" w:w="140"/>
              <w:bottom w:type="dxa" w:w="100"/>
              <w:right w:type="dxa" w:w="140"/>
            </w:tcMar>
            <w:vAlign w:val="center"/>
          </w:tcPr>
          <w:p>
            <w:pPr>
              <w:spacing w:after="30" w:before="30"/>
              <w:jc w:val="center"/>
            </w:pPr>
            <w:r>
              <w:rPr>
                <w:rFonts w:ascii="Calibri" w:cs="Calibri" w:eastAsia="Calibri" w:hAnsi="Calibri"/>
                <w:b/>
                <w:bCs/>
                <w:color w:val="FFFFFF"/>
                <w:sz w:val="20"/>
                <w:szCs w:val="20"/>
              </w:rPr>
              <w:t xml:space="preserve">(33,000)</w:t>
            </w:r>
          </w:p>
        </w:tc>
        <w:tc>
          <w:tcPr>
            <w:tcBorders>
              <w:top w:val="single" w:color="B4B4B4" w:sz="4"/>
              <w:left w:val="single" w:color="B4B4B4" w:sz="4"/>
              <w:bottom w:val="single" w:color="B4B4B4" w:sz="4"/>
              <w:right w:val="single" w:color="B4B4B4" w:sz="4"/>
            </w:tcBorders>
            <w:shd w:fill="0E3A6E" w:val="clear"/>
            <w:tcMar>
              <w:top w:type="dxa" w:w="100"/>
              <w:left w:type="dxa" w:w="140"/>
              <w:bottom w:type="dxa" w:w="100"/>
              <w:right w:type="dxa" w:w="140"/>
            </w:tcMar>
            <w:vAlign w:val="center"/>
          </w:tcPr>
          <w:p>
            <w:pPr>
              <w:spacing w:after="30" w:before="30"/>
              <w:jc w:val="center"/>
            </w:pPr>
            <w:r>
              <w:rPr>
                <w:rFonts w:ascii="Calibri" w:cs="Calibri" w:eastAsia="Calibri" w:hAnsi="Calibri"/>
                <w:b/>
                <w:bCs/>
                <w:color w:val="FFFFFF"/>
                <w:sz w:val="20"/>
                <w:szCs w:val="20"/>
              </w:rPr>
              <w:t xml:space="preserve">278,000</w:t>
            </w:r>
          </w:p>
        </w:tc>
        <w:tc>
          <w:tcPr>
            <w:tcBorders>
              <w:top w:val="single" w:color="B4B4B4" w:sz="4"/>
              <w:left w:val="single" w:color="B4B4B4" w:sz="4"/>
              <w:bottom w:val="single" w:color="B4B4B4" w:sz="4"/>
              <w:right w:val="single" w:color="B4B4B4" w:sz="4"/>
            </w:tcBorders>
            <w:shd w:fill="0E3A6E" w:val="clear"/>
            <w:tcMar>
              <w:top w:type="dxa" w:w="100"/>
              <w:left w:type="dxa" w:w="140"/>
              <w:bottom w:type="dxa" w:w="100"/>
              <w:right w:type="dxa" w:w="140"/>
            </w:tcMar>
            <w:vAlign w:val="center"/>
          </w:tcPr>
          <w:p>
            <w:pPr>
              <w:spacing w:after="30" w:before="30"/>
              <w:jc w:val="center"/>
            </w:pPr>
            <w:r>
              <w:rPr>
                <w:rFonts w:ascii="Calibri" w:cs="Calibri" w:eastAsia="Calibri" w:hAnsi="Calibri"/>
                <w:b/>
                <w:bCs/>
                <w:color w:val="FFFFFF"/>
                <w:sz w:val="20"/>
                <w:szCs w:val="20"/>
              </w:rPr>
              <w:t xml:space="preserve">1,335,000</w:t>
            </w:r>
          </w:p>
        </w:tc>
      </w:tr>
      <w:tr>
        <w:tc>
          <w:tcPr>
            <w:tcBorders>
              <w:top w:val="single" w:color="B4B4B4" w:sz="4"/>
              <w:left w:val="single" w:color="B4B4B4" w:sz="4"/>
              <w:bottom w:val="single" w:color="B4B4B4" w:sz="4"/>
              <w:right w:val="single" w:color="B4B4B4" w:sz="4"/>
            </w:tcBorders>
            <w:shd w:fill="F4F6F8" w:val="clear"/>
            <w:tcMar>
              <w:top w:type="dxa" w:w="100"/>
              <w:left w:type="dxa" w:w="140"/>
              <w:bottom w:type="dxa" w:w="100"/>
              <w:right w:type="dxa" w:w="140"/>
            </w:tcMar>
            <w:vAlign w:val="center"/>
          </w:tcPr>
          <w:p>
            <w:pPr>
              <w:spacing w:after="30" w:before="30"/>
            </w:pPr>
            <w:r>
              <w:rPr>
                <w:rFonts w:ascii="Calibri" w:cs="Calibri" w:eastAsia="Calibri" w:hAnsi="Calibri"/>
                <w:sz w:val="20"/>
                <w:szCs w:val="20"/>
              </w:rPr>
              <w:t xml:space="preserve">Operating margin %</w:t>
            </w:r>
          </w:p>
        </w:tc>
        <w:tc>
          <w:tcPr>
            <w:tcBorders>
              <w:top w:val="single" w:color="B4B4B4" w:sz="4"/>
              <w:left w:val="single" w:color="B4B4B4" w:sz="4"/>
              <w:bottom w:val="single" w:color="B4B4B4" w:sz="4"/>
              <w:right w:val="single" w:color="B4B4B4" w:sz="4"/>
            </w:tcBorders>
            <w:shd w:fill="F4F6F8" w:val="clear"/>
            <w:tcMar>
              <w:top w:type="dxa" w:w="100"/>
              <w:left w:type="dxa" w:w="140"/>
              <w:bottom w:type="dxa" w:w="100"/>
              <w:right w:type="dxa" w:w="140"/>
            </w:tcMar>
            <w:vAlign w:val="center"/>
          </w:tcPr>
          <w:p>
            <w:pPr>
              <w:spacing w:after="30" w:before="30"/>
              <w:jc w:val="center"/>
            </w:pPr>
            <w:r>
              <w:rPr>
                <w:rFonts w:ascii="Calibri" w:cs="Calibri" w:eastAsia="Calibri" w:hAnsi="Calibri"/>
                <w:b/>
                <w:bCs/>
                <w:color w:val="B00020"/>
                <w:sz w:val="20"/>
                <w:szCs w:val="20"/>
              </w:rPr>
              <w:t xml:space="preserve">(18%)</w:t>
            </w:r>
          </w:p>
        </w:tc>
        <w:tc>
          <w:tcPr>
            <w:tcBorders>
              <w:top w:val="single" w:color="B4B4B4" w:sz="4"/>
              <w:left w:val="single" w:color="B4B4B4" w:sz="4"/>
              <w:bottom w:val="single" w:color="B4B4B4" w:sz="4"/>
              <w:right w:val="single" w:color="B4B4B4" w:sz="4"/>
            </w:tcBorders>
            <w:shd w:fill="F4F6F8" w:val="clear"/>
            <w:tcMar>
              <w:top w:type="dxa" w:w="100"/>
              <w:left w:type="dxa" w:w="140"/>
              <w:bottom w:type="dxa" w:w="100"/>
              <w:right w:type="dxa" w:w="140"/>
            </w:tcMar>
            <w:vAlign w:val="center"/>
          </w:tcPr>
          <w:p>
            <w:pPr>
              <w:spacing w:after="30" w:before="30"/>
              <w:jc w:val="center"/>
            </w:pPr>
            <w:r>
              <w:rPr>
                <w:rFonts w:ascii="Calibri" w:cs="Calibri" w:eastAsia="Calibri" w:hAnsi="Calibri"/>
                <w:b/>
                <w:bCs/>
                <w:color w:val="1F6B3A"/>
                <w:sz w:val="20"/>
                <w:szCs w:val="20"/>
              </w:rPr>
              <w:t xml:space="preserve">32%</w:t>
            </w:r>
          </w:p>
        </w:tc>
        <w:tc>
          <w:tcPr>
            <w:tcBorders>
              <w:top w:val="single" w:color="B4B4B4" w:sz="4"/>
              <w:left w:val="single" w:color="B4B4B4" w:sz="4"/>
              <w:bottom w:val="single" w:color="B4B4B4" w:sz="4"/>
              <w:right w:val="single" w:color="B4B4B4" w:sz="4"/>
            </w:tcBorders>
            <w:shd w:fill="F4F6F8" w:val="clear"/>
            <w:tcMar>
              <w:top w:type="dxa" w:w="100"/>
              <w:left w:type="dxa" w:w="140"/>
              <w:bottom w:type="dxa" w:w="100"/>
              <w:right w:type="dxa" w:w="140"/>
            </w:tcMar>
            <w:vAlign w:val="center"/>
          </w:tcPr>
          <w:p>
            <w:pPr>
              <w:spacing w:after="30" w:before="30"/>
              <w:jc w:val="center"/>
            </w:pPr>
            <w:r>
              <w:rPr>
                <w:rFonts w:ascii="Calibri" w:cs="Calibri" w:eastAsia="Calibri" w:hAnsi="Calibri"/>
                <w:b/>
                <w:bCs/>
                <w:color w:val="1F6B3A"/>
                <w:sz w:val="20"/>
                <w:szCs w:val="20"/>
              </w:rPr>
              <w:t xml:space="preserve">56%</w:t>
            </w:r>
          </w:p>
        </w:tc>
      </w:tr>
    </w:tbl>
    <w:p>
      <w:pPr>
        <w:pStyle w:val="Heading2"/>
        <w:spacing w:after="140" w:before="280"/>
      </w:pPr>
      <w:r>
        <w:rPr>
          <w:rFonts w:ascii="Calibri" w:cs="Calibri" w:eastAsia="Calibri" w:hAnsi="Calibri"/>
          <w:b/>
          <w:bCs/>
          <w:color w:val="1A1A1A"/>
          <w:sz w:val="26"/>
          <w:szCs w:val="26"/>
        </w:rPr>
        <w:t xml:space="preserve">8.2 Capital requirements</w:t>
      </w:r>
    </w:p>
    <w:p>
      <w:pPr>
        <w:spacing w:after="80" w:before="80"/>
      </w:pPr>
      <w:r>
        <w:rPr>
          <w:rFonts w:ascii="Calibri" w:cs="Calibri" w:eastAsia="Calibri" w:hAnsi="Calibri"/>
          <w:sz w:val="22"/>
          <w:szCs w:val="22"/>
        </w:rPr>
        <w:t xml:space="preserve">VerifIQ is designed to be capital-light. The base case requires bridging Year-1 operating loss of approximately €33k plus working capital of approximately €30k = €60-80k of either founder cash, soft credit / overdraft, or a friends-and-family / angel cheque. Series A is not required and is not recommended until Year-3 metrics validate the UK expansion thesis.</w:t>
      </w:r>
    </w:p>
    <w:p>
      <w:pPr>
        <w:pStyle w:val="Heading2"/>
        <w:spacing w:after="140" w:before="280"/>
      </w:pPr>
      <w:r>
        <w:rPr>
          <w:rFonts w:ascii="Calibri" w:cs="Calibri" w:eastAsia="Calibri" w:hAnsi="Calibri"/>
          <w:b/>
          <w:bCs/>
          <w:color w:val="1A1A1A"/>
          <w:sz w:val="26"/>
          <w:szCs w:val="26"/>
        </w:rPr>
        <w:t xml:space="preserve">8.3 Sensitivity</w:t>
      </w:r>
    </w:p>
    <w:p>
      <w:pPr>
        <w:pStyle w:val="ListParagraph"/>
        <w:numPr>
          <w:ilvl w:val="0"/>
          <w:numId w:val="2"/>
        </w:numPr>
        <w:spacing w:after="30" w:before="30"/>
      </w:pPr>
      <w:r>
        <w:rPr>
          <w:rFonts w:ascii="Calibri" w:cs="Calibri" w:eastAsia="Calibri" w:hAnsi="Calibri"/>
          <w:sz w:val="22"/>
          <w:szCs w:val="22"/>
        </w:rPr>
        <w:t xml:space="preserve">Pessimistic case: pilot conversion delayed 3 months, Year-1 revenue lands at €100k, Year-1 operating loss is €(95k). Founder financing requirement is €100-130k.</w:t>
      </w:r>
    </w:p>
    <w:p>
      <w:pPr>
        <w:pStyle w:val="ListParagraph"/>
        <w:numPr>
          <w:ilvl w:val="0"/>
          <w:numId w:val="2"/>
        </w:numPr>
        <w:spacing w:after="30" w:before="30"/>
      </w:pPr>
      <w:r>
        <w:rPr>
          <w:rFonts w:ascii="Calibri" w:cs="Calibri" w:eastAsia="Calibri" w:hAnsi="Calibri"/>
          <w:sz w:val="22"/>
          <w:szCs w:val="22"/>
        </w:rPr>
        <w:t xml:space="preserve">Optimistic case: HSE Estates programme deal in Q3, Year-1 revenue lands at €280k, Year-1 operating profit is €40k. No external financing required.</w:t>
      </w:r>
    </w:p>
    <w:p>
      <w:pPr>
        <w:pStyle w:val="ListParagraph"/>
        <w:numPr>
          <w:ilvl w:val="0"/>
          <w:numId w:val="2"/>
        </w:numPr>
        <w:spacing w:after="30" w:before="30"/>
      </w:pPr>
      <w:r>
        <w:rPr>
          <w:rFonts w:ascii="Calibri" w:cs="Calibri" w:eastAsia="Calibri" w:hAnsi="Calibri"/>
          <w:sz w:val="22"/>
          <w:szCs w:val="22"/>
        </w:rPr>
        <w:t xml:space="preserve">Most-sensitive variable is timing of first Employer-side programme deal.</w:t>
      </w:r>
    </w:p>
    <w:p>
      <w:r>
        <w:br w:type="page"/>
      </w:r>
    </w:p>
    <w:p>
      <w:pPr>
        <w:pStyle w:val="Heading1"/>
        <w:spacing w:after="200" w:before="400"/>
      </w:pPr>
      <w:r>
        <w:rPr>
          <w:rFonts w:ascii="Calibri" w:cs="Calibri" w:eastAsia="Calibri" w:hAnsi="Calibri"/>
          <w:b/>
          <w:bCs/>
          <w:color w:val="0E3A6E"/>
          <w:sz w:val="32"/>
          <w:szCs w:val="32"/>
        </w:rPr>
        <w:t xml:space="preserve">9. Competitive Landscape</w:t>
      </w:r>
    </w:p>
    <w:p>
      <w:pPr>
        <w:pStyle w:val="Heading2"/>
        <w:spacing w:after="140" w:before="280"/>
      </w:pPr>
      <w:r>
        <w:rPr>
          <w:rFonts w:ascii="Calibri" w:cs="Calibri" w:eastAsia="Calibri" w:hAnsi="Calibri"/>
          <w:b/>
          <w:bCs/>
          <w:color w:val="1A1A1A"/>
          <w:sz w:val="26"/>
          <w:szCs w:val="26"/>
        </w:rPr>
        <w:t xml:space="preserve">9.1 Direct substitutes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gridCol w:w="2746"/>
      </w:tblGrid>
      <w:tr>
        <w:trPr>
          <w:tblHeader/>
        </w:trPr>
        <w:tc>
          <w:tcPr>
            <w:tcW w:type="dxa" w:w="3500"/>
            <w:tcBorders>
              <w:top w:val="single" w:color="B4B4B4" w:sz="4"/>
              <w:left w:val="single" w:color="B4B4B4" w:sz="4"/>
              <w:bottom w:val="single" w:color="B4B4B4" w:sz="4"/>
              <w:right w:val="single" w:color="B4B4B4" w:sz="4"/>
            </w:tcBorders>
            <w:shd w:fill="0E3A6E" w:val="clear"/>
            <w:tcMar>
              <w:top w:type="dxa" w:w="100"/>
              <w:left w:type="dxa" w:w="140"/>
              <w:bottom w:type="dxa" w:w="100"/>
              <w:right w:type="dxa" w:w="140"/>
            </w:tcMar>
            <w:vAlign w:val="center"/>
          </w:tcPr>
          <w:p>
            <w:pPr>
              <w:spacing w:after="30" w:before="30"/>
            </w:pPr>
            <w:r>
              <w:rPr>
                <w:rFonts w:ascii="Calibri" w:cs="Calibri" w:eastAsia="Calibri" w:hAnsi="Calibri"/>
                <w:b/>
                <w:bCs/>
                <w:color w:val="FFFFFF"/>
                <w:sz w:val="20"/>
                <w:szCs w:val="20"/>
              </w:rPr>
              <w:t xml:space="preserve">Substitute</w:t>
            </w:r>
          </w:p>
        </w:tc>
        <w:tc>
          <w:tcPr>
            <w:tcW w:type="dxa" w:w="3500"/>
            <w:tcBorders>
              <w:top w:val="single" w:color="B4B4B4" w:sz="4"/>
              <w:left w:val="single" w:color="B4B4B4" w:sz="4"/>
              <w:bottom w:val="single" w:color="B4B4B4" w:sz="4"/>
              <w:right w:val="single" w:color="B4B4B4" w:sz="4"/>
            </w:tcBorders>
            <w:shd w:fill="0E3A6E" w:val="clear"/>
            <w:tcMar>
              <w:top w:type="dxa" w:w="100"/>
              <w:left w:type="dxa" w:w="140"/>
              <w:bottom w:type="dxa" w:w="100"/>
              <w:right w:type="dxa" w:w="140"/>
            </w:tcMar>
            <w:vAlign w:val="center"/>
          </w:tcPr>
          <w:p>
            <w:pPr>
              <w:spacing w:after="30" w:before="30"/>
            </w:pPr>
            <w:r>
              <w:rPr>
                <w:rFonts w:ascii="Calibri" w:cs="Calibri" w:eastAsia="Calibri" w:hAnsi="Calibri"/>
                <w:b/>
                <w:bCs/>
                <w:color w:val="FFFFFF"/>
                <w:sz w:val="20"/>
                <w:szCs w:val="20"/>
              </w:rPr>
              <w:t xml:space="preserve">What it offers</w:t>
            </w:r>
          </w:p>
        </w:tc>
        <w:tc>
          <w:tcPr>
            <w:tcW w:type="dxa" w:w="2746"/>
            <w:tcBorders>
              <w:top w:val="single" w:color="B4B4B4" w:sz="4"/>
              <w:left w:val="single" w:color="B4B4B4" w:sz="4"/>
              <w:bottom w:val="single" w:color="B4B4B4" w:sz="4"/>
              <w:right w:val="single" w:color="B4B4B4" w:sz="4"/>
            </w:tcBorders>
            <w:shd w:fill="0E3A6E" w:val="clear"/>
            <w:tcMar>
              <w:top w:type="dxa" w:w="100"/>
              <w:left w:type="dxa" w:w="140"/>
              <w:bottom w:type="dxa" w:w="100"/>
              <w:right w:type="dxa" w:w="140"/>
            </w:tcMar>
            <w:vAlign w:val="center"/>
          </w:tcPr>
          <w:p>
            <w:pPr>
              <w:spacing w:after="30" w:before="30"/>
            </w:pPr>
            <w:r>
              <w:rPr>
                <w:rFonts w:ascii="Calibri" w:cs="Calibri" w:eastAsia="Calibri" w:hAnsi="Calibri"/>
                <w:b/>
                <w:bCs/>
                <w:color w:val="FFFFFF"/>
                <w:sz w:val="20"/>
                <w:szCs w:val="20"/>
              </w:rPr>
              <w:t xml:space="preserve">Why it does not displace VerifIQ</w:t>
            </w:r>
          </w:p>
        </w:tc>
      </w:tr>
      <w:tr>
        <w:tc>
          <w:tcPr>
            <w:tcBorders>
              <w:top w:val="single" w:color="B4B4B4" w:sz="4"/>
              <w:left w:val="single" w:color="B4B4B4" w:sz="4"/>
              <w:bottom w:val="single" w:color="B4B4B4" w:sz="4"/>
              <w:right w:val="single" w:color="B4B4B4" w:sz="4"/>
            </w:tcBorders>
            <w:tcMar>
              <w:top w:type="dxa" w:w="100"/>
              <w:left w:type="dxa" w:w="140"/>
              <w:bottom w:type="dxa" w:w="100"/>
              <w:right w:type="dxa" w:w="140"/>
            </w:tcMar>
            <w:vAlign w:val="center"/>
          </w:tcPr>
          <w:p>
            <w:pPr>
              <w:spacing w:after="30" w:before="30"/>
            </w:pPr>
            <w:r>
              <w:rPr>
                <w:rFonts w:ascii="Calibri" w:cs="Calibri" w:eastAsia="Calibri" w:hAnsi="Calibri"/>
                <w:b/>
                <w:bCs/>
                <w:sz w:val="20"/>
                <w:szCs w:val="20"/>
              </w:rPr>
              <w:t xml:space="preserve">Solibri Office / Solibri Model Checker</w:t>
            </w:r>
          </w:p>
        </w:tc>
        <w:tc>
          <w:tcPr>
            <w:tcBorders>
              <w:top w:val="single" w:color="B4B4B4" w:sz="4"/>
              <w:left w:val="single" w:color="B4B4B4" w:sz="4"/>
              <w:bottom w:val="single" w:color="B4B4B4" w:sz="4"/>
              <w:right w:val="single" w:color="B4B4B4" w:sz="4"/>
            </w:tcBorders>
            <w:tcMar>
              <w:top w:type="dxa" w:w="100"/>
              <w:left w:type="dxa" w:w="140"/>
              <w:bottom w:type="dxa" w:w="100"/>
              <w:right w:type="dxa" w:w="140"/>
            </w:tcMar>
            <w:vAlign w:val="center"/>
          </w:tcPr>
          <w:p>
            <w:pPr>
              <w:spacing w:after="30" w:before="30"/>
            </w:pPr>
            <w:r>
              <w:rPr>
                <w:rFonts w:ascii="Calibri" w:cs="Calibri" w:eastAsia="Calibri" w:hAnsi="Calibri"/>
                <w:sz w:val="20"/>
                <w:szCs w:val="20"/>
              </w:rPr>
              <w:t xml:space="preserve">BIM model rule-checking — geometric clash detection, code-rule validation on the IFC model</w:t>
            </w:r>
          </w:p>
        </w:tc>
        <w:tc>
          <w:tcPr>
            <w:tcBorders>
              <w:top w:val="single" w:color="B4B4B4" w:sz="4"/>
              <w:left w:val="single" w:color="B4B4B4" w:sz="4"/>
              <w:bottom w:val="single" w:color="B4B4B4" w:sz="4"/>
              <w:right w:val="single" w:color="B4B4B4" w:sz="4"/>
            </w:tcBorders>
            <w:tcMar>
              <w:top w:type="dxa" w:w="100"/>
              <w:left w:type="dxa" w:w="140"/>
              <w:bottom w:type="dxa" w:w="100"/>
              <w:right w:type="dxa" w:w="140"/>
            </w:tcMar>
            <w:vAlign w:val="center"/>
          </w:tcPr>
          <w:p>
            <w:pPr>
              <w:spacing w:after="30" w:before="30"/>
            </w:pPr>
            <w:r>
              <w:rPr>
                <w:rFonts w:ascii="Calibri" w:cs="Calibri" w:eastAsia="Calibri" w:hAnsi="Calibri"/>
                <w:sz w:val="20"/>
                <w:szCs w:val="20"/>
              </w:rPr>
              <w:t xml:space="preserve">Operates on BIM models, not the document set. Does not read specifications, drawing schedules or report PDFs. Does not catch standards-currency or cut-paste issues.</w:t>
            </w:r>
          </w:p>
        </w:tc>
      </w:tr>
      <w:tr>
        <w:tc>
          <w:tcPr>
            <w:tcBorders>
              <w:top w:val="single" w:color="B4B4B4" w:sz="4"/>
              <w:left w:val="single" w:color="B4B4B4" w:sz="4"/>
              <w:bottom w:val="single" w:color="B4B4B4" w:sz="4"/>
              <w:right w:val="single" w:color="B4B4B4" w:sz="4"/>
            </w:tcBorders>
            <w:shd w:fill="F4F6F8" w:val="clear"/>
            <w:tcMar>
              <w:top w:type="dxa" w:w="100"/>
              <w:left w:type="dxa" w:w="140"/>
              <w:bottom w:type="dxa" w:w="100"/>
              <w:right w:type="dxa" w:w="140"/>
            </w:tcMar>
            <w:vAlign w:val="center"/>
          </w:tcPr>
          <w:p>
            <w:pPr>
              <w:spacing w:after="30" w:before="30"/>
            </w:pPr>
            <w:r>
              <w:rPr>
                <w:rFonts w:ascii="Calibri" w:cs="Calibri" w:eastAsia="Calibri" w:hAnsi="Calibri"/>
                <w:b/>
                <w:bCs/>
                <w:sz w:val="20"/>
                <w:szCs w:val="20"/>
              </w:rPr>
              <w:t xml:space="preserve">Navisworks Manage</w:t>
            </w:r>
          </w:p>
        </w:tc>
        <w:tc>
          <w:tcPr>
            <w:tcBorders>
              <w:top w:val="single" w:color="B4B4B4" w:sz="4"/>
              <w:left w:val="single" w:color="B4B4B4" w:sz="4"/>
              <w:bottom w:val="single" w:color="B4B4B4" w:sz="4"/>
              <w:right w:val="single" w:color="B4B4B4" w:sz="4"/>
            </w:tcBorders>
            <w:shd w:fill="F4F6F8" w:val="clear"/>
            <w:tcMar>
              <w:top w:type="dxa" w:w="100"/>
              <w:left w:type="dxa" w:w="140"/>
              <w:bottom w:type="dxa" w:w="100"/>
              <w:right w:type="dxa" w:w="140"/>
            </w:tcMar>
            <w:vAlign w:val="center"/>
          </w:tcPr>
          <w:p>
            <w:pPr>
              <w:spacing w:after="30" w:before="30"/>
            </w:pPr>
            <w:r>
              <w:rPr>
                <w:rFonts w:ascii="Calibri" w:cs="Calibri" w:eastAsia="Calibri" w:hAnsi="Calibri"/>
                <w:sz w:val="20"/>
                <w:szCs w:val="20"/>
              </w:rPr>
              <w:t xml:space="preserve">3D model coordination, clash detection</w:t>
            </w:r>
          </w:p>
        </w:tc>
        <w:tc>
          <w:tcPr>
            <w:tcBorders>
              <w:top w:val="single" w:color="B4B4B4" w:sz="4"/>
              <w:left w:val="single" w:color="B4B4B4" w:sz="4"/>
              <w:bottom w:val="single" w:color="B4B4B4" w:sz="4"/>
              <w:right w:val="single" w:color="B4B4B4" w:sz="4"/>
            </w:tcBorders>
            <w:shd w:fill="F4F6F8" w:val="clear"/>
            <w:tcMar>
              <w:top w:type="dxa" w:w="100"/>
              <w:left w:type="dxa" w:w="140"/>
              <w:bottom w:type="dxa" w:w="100"/>
              <w:right w:type="dxa" w:w="140"/>
            </w:tcMar>
            <w:vAlign w:val="center"/>
          </w:tcPr>
          <w:p>
            <w:pPr>
              <w:spacing w:after="30" w:before="30"/>
            </w:pPr>
            <w:r>
              <w:rPr>
                <w:rFonts w:ascii="Calibri" w:cs="Calibri" w:eastAsia="Calibri" w:hAnsi="Calibri"/>
                <w:sz w:val="20"/>
                <w:szCs w:val="20"/>
              </w:rPr>
              <w:t xml:space="preserve">Same limitation as Solibri. Different problem domain.</w:t>
            </w:r>
          </w:p>
        </w:tc>
      </w:tr>
      <w:tr>
        <w:tc>
          <w:tcPr>
            <w:tcBorders>
              <w:top w:val="single" w:color="B4B4B4" w:sz="4"/>
              <w:left w:val="single" w:color="B4B4B4" w:sz="4"/>
              <w:bottom w:val="single" w:color="B4B4B4" w:sz="4"/>
              <w:right w:val="single" w:color="B4B4B4" w:sz="4"/>
            </w:tcBorders>
            <w:tcMar>
              <w:top w:type="dxa" w:w="100"/>
              <w:left w:type="dxa" w:w="140"/>
              <w:bottom w:type="dxa" w:w="100"/>
              <w:right w:type="dxa" w:w="140"/>
            </w:tcMar>
            <w:vAlign w:val="center"/>
          </w:tcPr>
          <w:p>
            <w:pPr>
              <w:spacing w:after="30" w:before="30"/>
            </w:pPr>
            <w:r>
              <w:rPr>
                <w:rFonts w:ascii="Calibri" w:cs="Calibri" w:eastAsia="Calibri" w:hAnsi="Calibri"/>
                <w:b/>
                <w:bCs/>
                <w:sz w:val="20"/>
                <w:szCs w:val="20"/>
              </w:rPr>
              <w:t xml:space="preserve">NBS Source / NBS Chorus</w:t>
            </w:r>
          </w:p>
        </w:tc>
        <w:tc>
          <w:tcPr>
            <w:tcBorders>
              <w:top w:val="single" w:color="B4B4B4" w:sz="4"/>
              <w:left w:val="single" w:color="B4B4B4" w:sz="4"/>
              <w:bottom w:val="single" w:color="B4B4B4" w:sz="4"/>
              <w:right w:val="single" w:color="B4B4B4" w:sz="4"/>
            </w:tcBorders>
            <w:tcMar>
              <w:top w:type="dxa" w:w="100"/>
              <w:left w:type="dxa" w:w="140"/>
              <w:bottom w:type="dxa" w:w="100"/>
              <w:right w:type="dxa" w:w="140"/>
            </w:tcMar>
            <w:vAlign w:val="center"/>
          </w:tcPr>
          <w:p>
            <w:pPr>
              <w:spacing w:after="30" w:before="30"/>
            </w:pPr>
            <w:r>
              <w:rPr>
                <w:rFonts w:ascii="Calibri" w:cs="Calibri" w:eastAsia="Calibri" w:hAnsi="Calibri"/>
                <w:sz w:val="20"/>
                <w:szCs w:val="20"/>
              </w:rPr>
              <w:t xml:space="preserve">Specification library used by Irish design teams to write specs</w:t>
            </w:r>
          </w:p>
        </w:tc>
        <w:tc>
          <w:tcPr>
            <w:tcBorders>
              <w:top w:val="single" w:color="B4B4B4" w:sz="4"/>
              <w:left w:val="single" w:color="B4B4B4" w:sz="4"/>
              <w:bottom w:val="single" w:color="B4B4B4" w:sz="4"/>
              <w:right w:val="single" w:color="B4B4B4" w:sz="4"/>
            </w:tcBorders>
            <w:tcMar>
              <w:top w:type="dxa" w:w="100"/>
              <w:left w:type="dxa" w:w="140"/>
              <w:bottom w:type="dxa" w:w="100"/>
              <w:right w:type="dxa" w:w="140"/>
            </w:tcMar>
            <w:vAlign w:val="center"/>
          </w:tcPr>
          <w:p>
            <w:pPr>
              <w:spacing w:after="30" w:before="30"/>
            </w:pPr>
            <w:r>
              <w:rPr>
                <w:rFonts w:ascii="Calibri" w:cs="Calibri" w:eastAsia="Calibri" w:hAnsi="Calibri"/>
                <w:sz w:val="20"/>
                <w:szCs w:val="20"/>
              </w:rPr>
              <w:t xml:space="preserve">NBS is the source of the cut-paste problem VerifIQ detects. Their commercial interest is in subscriptions, not in flagging when their library has been used badly.</w:t>
            </w:r>
          </w:p>
        </w:tc>
      </w:tr>
      <w:tr>
        <w:tc>
          <w:tcPr>
            <w:tcBorders>
              <w:top w:val="single" w:color="B4B4B4" w:sz="4"/>
              <w:left w:val="single" w:color="B4B4B4" w:sz="4"/>
              <w:bottom w:val="single" w:color="B4B4B4" w:sz="4"/>
              <w:right w:val="single" w:color="B4B4B4" w:sz="4"/>
            </w:tcBorders>
            <w:shd w:fill="F4F6F8" w:val="clear"/>
            <w:tcMar>
              <w:top w:type="dxa" w:w="100"/>
              <w:left w:type="dxa" w:w="140"/>
              <w:bottom w:type="dxa" w:w="100"/>
              <w:right w:type="dxa" w:w="140"/>
            </w:tcMar>
            <w:vAlign w:val="center"/>
          </w:tcPr>
          <w:p>
            <w:pPr>
              <w:spacing w:after="30" w:before="30"/>
            </w:pPr>
            <w:r>
              <w:rPr>
                <w:rFonts w:ascii="Calibri" w:cs="Calibri" w:eastAsia="Calibri" w:hAnsi="Calibri"/>
                <w:b/>
                <w:bCs/>
                <w:sz w:val="20"/>
                <w:szCs w:val="20"/>
              </w:rPr>
              <w:t xml:space="preserve">Independent chartered review (consulting)</w:t>
            </w:r>
          </w:p>
        </w:tc>
        <w:tc>
          <w:tcPr>
            <w:tcBorders>
              <w:top w:val="single" w:color="B4B4B4" w:sz="4"/>
              <w:left w:val="single" w:color="B4B4B4" w:sz="4"/>
              <w:bottom w:val="single" w:color="B4B4B4" w:sz="4"/>
              <w:right w:val="single" w:color="B4B4B4" w:sz="4"/>
            </w:tcBorders>
            <w:shd w:fill="F4F6F8" w:val="clear"/>
            <w:tcMar>
              <w:top w:type="dxa" w:w="100"/>
              <w:left w:type="dxa" w:w="140"/>
              <w:bottom w:type="dxa" w:w="100"/>
              <w:right w:type="dxa" w:w="140"/>
            </w:tcMar>
            <w:vAlign w:val="center"/>
          </w:tcPr>
          <w:p>
            <w:pPr>
              <w:spacing w:after="30" w:before="30"/>
            </w:pPr>
            <w:r>
              <w:rPr>
                <w:rFonts w:ascii="Calibri" w:cs="Calibri" w:eastAsia="Calibri" w:hAnsi="Calibri"/>
                <w:sz w:val="20"/>
                <w:szCs w:val="20"/>
              </w:rPr>
              <w:t xml:space="preserve">Senior chartered professional reads pack and produces report</w:t>
            </w:r>
          </w:p>
        </w:tc>
        <w:tc>
          <w:tcPr>
            <w:tcBorders>
              <w:top w:val="single" w:color="B4B4B4" w:sz="4"/>
              <w:left w:val="single" w:color="B4B4B4" w:sz="4"/>
              <w:bottom w:val="single" w:color="B4B4B4" w:sz="4"/>
              <w:right w:val="single" w:color="B4B4B4" w:sz="4"/>
            </w:tcBorders>
            <w:shd w:fill="F4F6F8" w:val="clear"/>
            <w:tcMar>
              <w:top w:type="dxa" w:w="100"/>
              <w:left w:type="dxa" w:w="140"/>
              <w:bottom w:type="dxa" w:w="100"/>
              <w:right w:type="dxa" w:w="140"/>
            </w:tcMar>
            <w:vAlign w:val="center"/>
          </w:tcPr>
          <w:p>
            <w:pPr>
              <w:spacing w:after="30" w:before="30"/>
            </w:pPr>
            <w:r>
              <w:rPr>
                <w:rFonts w:ascii="Calibri" w:cs="Calibri" w:eastAsia="Calibri" w:hAnsi="Calibri"/>
                <w:sz w:val="20"/>
                <w:szCs w:val="20"/>
              </w:rPr>
              <w:t xml:space="preserve">10-20× slower, 5-15× more expensive, scarce supply, single-pack engagement only. Complementary to VerifIQ (first-pass software → depth-pass human if commissioned).</w:t>
            </w:r>
          </w:p>
        </w:tc>
      </w:tr>
      <w:tr>
        <w:tc>
          <w:tcPr>
            <w:tcBorders>
              <w:top w:val="single" w:color="B4B4B4" w:sz="4"/>
              <w:left w:val="single" w:color="B4B4B4" w:sz="4"/>
              <w:bottom w:val="single" w:color="B4B4B4" w:sz="4"/>
              <w:right w:val="single" w:color="B4B4B4" w:sz="4"/>
            </w:tcBorders>
            <w:tcMar>
              <w:top w:type="dxa" w:w="100"/>
              <w:left w:type="dxa" w:w="140"/>
              <w:bottom w:type="dxa" w:w="100"/>
              <w:right w:type="dxa" w:w="140"/>
            </w:tcMar>
            <w:vAlign w:val="center"/>
          </w:tcPr>
          <w:p>
            <w:pPr>
              <w:spacing w:after="30" w:before="30"/>
            </w:pPr>
            <w:r>
              <w:rPr>
                <w:rFonts w:ascii="Calibri" w:cs="Calibri" w:eastAsia="Calibri" w:hAnsi="Calibri"/>
                <w:b/>
                <w:bCs/>
                <w:sz w:val="20"/>
                <w:szCs w:val="20"/>
              </w:rPr>
              <w:t xml:space="preserve">Generic ChatGPT / Claude (unwrapped)</w:t>
            </w:r>
          </w:p>
        </w:tc>
        <w:tc>
          <w:tcPr>
            <w:tcBorders>
              <w:top w:val="single" w:color="B4B4B4" w:sz="4"/>
              <w:left w:val="single" w:color="B4B4B4" w:sz="4"/>
              <w:bottom w:val="single" w:color="B4B4B4" w:sz="4"/>
              <w:right w:val="single" w:color="B4B4B4" w:sz="4"/>
            </w:tcBorders>
            <w:tcMar>
              <w:top w:type="dxa" w:w="100"/>
              <w:left w:type="dxa" w:w="140"/>
              <w:bottom w:type="dxa" w:w="100"/>
              <w:right w:type="dxa" w:w="140"/>
            </w:tcMar>
            <w:vAlign w:val="center"/>
          </w:tcPr>
          <w:p>
            <w:pPr>
              <w:spacing w:after="30" w:before="30"/>
            </w:pPr>
            <w:r>
              <w:rPr>
                <w:rFonts w:ascii="Calibri" w:cs="Calibri" w:eastAsia="Calibri" w:hAnsi="Calibri"/>
                <w:sz w:val="20"/>
                <w:szCs w:val="20"/>
              </w:rPr>
              <w:t xml:space="preserve">General-purpose AI with no curated corpus</w:t>
            </w:r>
          </w:p>
        </w:tc>
        <w:tc>
          <w:tcPr>
            <w:tcBorders>
              <w:top w:val="single" w:color="B4B4B4" w:sz="4"/>
              <w:left w:val="single" w:color="B4B4B4" w:sz="4"/>
              <w:bottom w:val="single" w:color="B4B4B4" w:sz="4"/>
              <w:right w:val="single" w:color="B4B4B4" w:sz="4"/>
            </w:tcBorders>
            <w:tcMar>
              <w:top w:type="dxa" w:w="100"/>
              <w:left w:type="dxa" w:w="140"/>
              <w:bottom w:type="dxa" w:w="100"/>
              <w:right w:type="dxa" w:w="140"/>
            </w:tcMar>
            <w:vAlign w:val="center"/>
          </w:tcPr>
          <w:p>
            <w:pPr>
              <w:spacing w:after="30" w:before="30"/>
            </w:pPr>
            <w:r>
              <w:rPr>
                <w:rFonts w:ascii="Calibri" w:cs="Calibri" w:eastAsia="Calibri" w:hAnsi="Calibri"/>
                <w:sz w:val="20"/>
                <w:szCs w:val="20"/>
              </w:rPr>
              <w:t xml:space="preserve">No Irish standards library, hallucinates standards references, no evidence-citation discipline, will not survive scrutiny by an Assigned Certifier.</w:t>
            </w:r>
          </w:p>
        </w:tc>
      </w:tr>
      <w:tr>
        <w:tc>
          <w:tcPr>
            <w:tcBorders>
              <w:top w:val="single" w:color="B4B4B4" w:sz="4"/>
              <w:left w:val="single" w:color="B4B4B4" w:sz="4"/>
              <w:bottom w:val="single" w:color="B4B4B4" w:sz="4"/>
              <w:right w:val="single" w:color="B4B4B4" w:sz="4"/>
            </w:tcBorders>
            <w:shd w:fill="F4F6F8" w:val="clear"/>
            <w:tcMar>
              <w:top w:type="dxa" w:w="100"/>
              <w:left w:type="dxa" w:w="140"/>
              <w:bottom w:type="dxa" w:w="100"/>
              <w:right w:type="dxa" w:w="140"/>
            </w:tcMar>
            <w:vAlign w:val="center"/>
          </w:tcPr>
          <w:p>
            <w:pPr>
              <w:spacing w:after="30" w:before="30"/>
            </w:pPr>
            <w:r>
              <w:rPr>
                <w:rFonts w:ascii="Calibri" w:cs="Calibri" w:eastAsia="Calibri" w:hAnsi="Calibri"/>
                <w:b/>
                <w:bCs/>
                <w:sz w:val="20"/>
                <w:szCs w:val="20"/>
              </w:rPr>
              <w:t xml:space="preserve">CDE platforms (Aconex, Procore, Asite, Viewpoint)</w:t>
            </w:r>
          </w:p>
        </w:tc>
        <w:tc>
          <w:tcPr>
            <w:tcBorders>
              <w:top w:val="single" w:color="B4B4B4" w:sz="4"/>
              <w:left w:val="single" w:color="B4B4B4" w:sz="4"/>
              <w:bottom w:val="single" w:color="B4B4B4" w:sz="4"/>
              <w:right w:val="single" w:color="B4B4B4" w:sz="4"/>
            </w:tcBorders>
            <w:shd w:fill="F4F6F8" w:val="clear"/>
            <w:tcMar>
              <w:top w:type="dxa" w:w="100"/>
              <w:left w:type="dxa" w:w="140"/>
              <w:bottom w:type="dxa" w:w="100"/>
              <w:right w:type="dxa" w:w="140"/>
            </w:tcMar>
            <w:vAlign w:val="center"/>
          </w:tcPr>
          <w:p>
            <w:pPr>
              <w:spacing w:after="30" w:before="30"/>
            </w:pPr>
            <w:r>
              <w:rPr>
                <w:rFonts w:ascii="Calibri" w:cs="Calibri" w:eastAsia="Calibri" w:hAnsi="Calibri"/>
                <w:sz w:val="20"/>
                <w:szCs w:val="20"/>
              </w:rPr>
              <w:t xml:space="preserve">Document management, workflow, version control</w:t>
            </w:r>
          </w:p>
        </w:tc>
        <w:tc>
          <w:tcPr>
            <w:tcBorders>
              <w:top w:val="single" w:color="B4B4B4" w:sz="4"/>
              <w:left w:val="single" w:color="B4B4B4" w:sz="4"/>
              <w:bottom w:val="single" w:color="B4B4B4" w:sz="4"/>
              <w:right w:val="single" w:color="B4B4B4" w:sz="4"/>
            </w:tcBorders>
            <w:shd w:fill="F4F6F8" w:val="clear"/>
            <w:tcMar>
              <w:top w:type="dxa" w:w="100"/>
              <w:left w:type="dxa" w:w="140"/>
              <w:bottom w:type="dxa" w:w="100"/>
              <w:right w:type="dxa" w:w="140"/>
            </w:tcMar>
            <w:vAlign w:val="center"/>
          </w:tcPr>
          <w:p>
            <w:pPr>
              <w:spacing w:after="30" w:before="30"/>
            </w:pPr>
            <w:r>
              <w:rPr>
                <w:rFonts w:ascii="Calibri" w:cs="Calibri" w:eastAsia="Calibri" w:hAnsi="Calibri"/>
                <w:sz w:val="20"/>
                <w:szCs w:val="20"/>
              </w:rPr>
              <w:t xml:space="preserve">Adjacent, not competitive. Future integration partner — VerifIQ reads from the CDE, returns findings to the CDE.</w:t>
            </w:r>
          </w:p>
        </w:tc>
      </w:tr>
    </w:tbl>
    <w:p>
      <w:pPr>
        <w:pStyle w:val="Heading2"/>
        <w:spacing w:after="140" w:before="280"/>
      </w:pPr>
      <w:r>
        <w:rPr>
          <w:rFonts w:ascii="Calibri" w:cs="Calibri" w:eastAsia="Calibri" w:hAnsi="Calibri"/>
          <w:b/>
          <w:bCs/>
          <w:color w:val="1A1A1A"/>
          <w:sz w:val="26"/>
          <w:szCs w:val="26"/>
        </w:rPr>
        <w:t xml:space="preserve">9.2 Defensibility</w:t>
      </w:r>
    </w:p>
    <w:p>
      <w:pPr>
        <w:pStyle w:val="ListParagraph"/>
        <w:numPr>
          <w:ilvl w:val="0"/>
          <w:numId w:val="2"/>
        </w:numPr>
        <w:spacing w:after="30" w:before="30"/>
      </w:pPr>
      <w:r>
        <w:rPr>
          <w:rFonts w:ascii="Calibri" w:cs="Calibri" w:eastAsia="Calibri" w:hAnsi="Calibri"/>
          <w:sz w:val="22"/>
          <w:szCs w:val="22"/>
        </w:rPr>
        <w:t xml:space="preserve">Irish standards corpus and check-rule library curated and maintained by chartered Irish professionals. Real intellectual property. Six to twelve months to replicate even with funding.</w:t>
      </w:r>
    </w:p>
    <w:p>
      <w:pPr>
        <w:pStyle w:val="ListParagraph"/>
        <w:numPr>
          <w:ilvl w:val="0"/>
          <w:numId w:val="2"/>
        </w:numPr>
        <w:spacing w:after="30" w:before="30"/>
      </w:pPr>
      <w:r>
        <w:rPr>
          <w:rFonts w:ascii="Calibri" w:cs="Calibri" w:eastAsia="Calibri" w:hAnsi="Calibri"/>
          <w:sz w:val="22"/>
          <w:szCs w:val="22"/>
        </w:rPr>
        <w:t xml:space="preserve">Validation engagement evidence (327 findings on a real pack) accumulating over time. By Year 2 the company has surfaced 50,000+ verifiable findings across hundreds of packs — pattern library becomes a moat.</w:t>
      </w:r>
    </w:p>
    <w:p>
      <w:pPr>
        <w:pStyle w:val="ListParagraph"/>
        <w:numPr>
          <w:ilvl w:val="0"/>
          <w:numId w:val="2"/>
        </w:numPr>
        <w:spacing w:after="30" w:before="30"/>
      </w:pPr>
      <w:r>
        <w:rPr>
          <w:rFonts w:ascii="Calibri" w:cs="Calibri" w:eastAsia="Calibri" w:hAnsi="Calibri"/>
          <w:sz w:val="22"/>
          <w:szCs w:val="22"/>
        </w:rPr>
        <w:t xml:space="preserve">First-mover positioning with RIAI / IEI / SCSI / OGP. Single trusted relationship with each institutional gatekeeper, once established, is difficult to dislodge.</w:t>
      </w:r>
    </w:p>
    <w:p>
      <w:pPr>
        <w:pStyle w:val="ListParagraph"/>
        <w:numPr>
          <w:ilvl w:val="0"/>
          <w:numId w:val="2"/>
        </w:numPr>
        <w:spacing w:after="30" w:before="30"/>
      </w:pPr>
      <w:r>
        <w:rPr>
          <w:rFonts w:ascii="Calibri" w:cs="Calibri" w:eastAsia="Calibri" w:hAnsi="Calibri"/>
          <w:sz w:val="22"/>
          <w:szCs w:val="22"/>
        </w:rPr>
        <w:t xml:space="preserve">PI-broker partnership as channel moat. Co-marketing arrangement with one or more major Irish PI underwriters is the wedge a generic-AI competitor cannot replicate.</w:t>
      </w:r>
    </w:p>
    <w:p>
      <w:r>
        <w:br w:type="page"/>
      </w:r>
    </w:p>
    <w:p>
      <w:pPr>
        <w:pStyle w:val="Heading1"/>
        <w:spacing w:after="200" w:before="400"/>
      </w:pPr>
      <w:r>
        <w:rPr>
          <w:rFonts w:ascii="Calibri" w:cs="Calibri" w:eastAsia="Calibri" w:hAnsi="Calibri"/>
          <w:b/>
          <w:bCs/>
          <w:color w:val="0E3A6E"/>
          <w:sz w:val="32"/>
          <w:szCs w:val="32"/>
        </w:rPr>
        <w:t xml:space="preserve">10. Team and Operations</w:t>
      </w:r>
    </w:p>
    <w:p>
      <w:pPr>
        <w:pStyle w:val="Heading2"/>
        <w:spacing w:after="140" w:before="280"/>
      </w:pPr>
      <w:r>
        <w:rPr>
          <w:rFonts w:ascii="Calibri" w:cs="Calibri" w:eastAsia="Calibri" w:hAnsi="Calibri"/>
          <w:b/>
          <w:bCs/>
          <w:color w:val="1A1A1A"/>
          <w:sz w:val="26"/>
          <w:szCs w:val="26"/>
        </w:rPr>
        <w:t xml:space="preserve">10.1 Founding team</w:t>
      </w:r>
    </w:p>
    <w:p>
      <w:pPr>
        <w:spacing w:after="80" w:before="80"/>
      </w:pPr>
      <w:r>
        <w:rPr>
          <w:rFonts w:ascii="Calibri" w:cs="Calibri" w:eastAsia="Calibri" w:hAnsi="Calibri"/>
          <w:sz w:val="22"/>
          <w:szCs w:val="22"/>
        </w:rPr>
        <w:t xml:space="preserve">VerifIQ is founded and led by Liam Dunne (Director, GovIQ). Liam brings (a) prior Irish public-sector and capital-governance domain expertise from GovIQ, (b) the technical capability to architect, build and operate the SaaS application using Convex and Node.js, (c) commercial relationships with HSE Estates, OGP framework holders and Section 38/39 capital teams via GovIQ, and (d) the validation engagement evidence base produced on 27 May 2026.</w:t>
      </w:r>
    </w:p>
    <w:p>
      <w:pPr>
        <w:pStyle w:val="Heading2"/>
        <w:spacing w:after="140" w:before="280"/>
      </w:pPr>
      <w:r>
        <w:rPr>
          <w:rFonts w:ascii="Calibri" w:cs="Calibri" w:eastAsia="Calibri" w:hAnsi="Calibri"/>
          <w:b/>
          <w:bCs/>
          <w:color w:val="1A1A1A"/>
          <w:sz w:val="26"/>
          <w:szCs w:val="26"/>
        </w:rPr>
        <w:t xml:space="preserve">10.2 Year-1 hiring plan</w:t>
      </w:r>
    </w:p>
    <w:p>
      <w:pPr>
        <w:pStyle w:val="ListParagraph"/>
        <w:numPr>
          <w:ilvl w:val="0"/>
          <w:numId w:val="3"/>
        </w:numPr>
        <w:spacing w:after="30" w:before="30"/>
      </w:pPr>
      <w:r>
        <w:rPr>
          <w:rFonts w:ascii="Calibri" w:cs="Calibri" w:eastAsia="Calibri" w:hAnsi="Calibri"/>
          <w:sz w:val="22"/>
          <w:szCs w:val="22"/>
        </w:rPr>
        <w:t xml:space="preserve">Month 0-6: Founder solo, contractor designer for website and brand.</w:t>
      </w:r>
    </w:p>
    <w:p>
      <w:pPr>
        <w:pStyle w:val="ListParagraph"/>
        <w:numPr>
          <w:ilvl w:val="0"/>
          <w:numId w:val="3"/>
        </w:numPr>
        <w:spacing w:after="30" w:before="30"/>
      </w:pPr>
      <w:r>
        <w:rPr>
          <w:rFonts w:ascii="Calibri" w:cs="Calibri" w:eastAsia="Calibri" w:hAnsi="Calibri"/>
          <w:sz w:val="22"/>
          <w:szCs w:val="22"/>
        </w:rPr>
        <w:t xml:space="preserve">Month 4-6: Part-time RIAI-qualified architect or CEng engineer (€800-€1,500 per day contract) to validate output quality and maintain the standards corpus.</w:t>
      </w:r>
    </w:p>
    <w:p>
      <w:pPr>
        <w:pStyle w:val="ListParagraph"/>
        <w:numPr>
          <w:ilvl w:val="0"/>
          <w:numId w:val="3"/>
        </w:numPr>
        <w:spacing w:after="30" w:before="30"/>
      </w:pPr>
      <w:r>
        <w:rPr>
          <w:rFonts w:ascii="Calibri" w:cs="Calibri" w:eastAsia="Calibri" w:hAnsi="Calibri"/>
          <w:sz w:val="22"/>
          <w:szCs w:val="22"/>
        </w:rPr>
        <w:t xml:space="preserve">Month 6-9: First full-time product engineer (€65k-€85k) — Convex and React experience preferred.</w:t>
      </w:r>
    </w:p>
    <w:p>
      <w:pPr>
        <w:pStyle w:val="ListParagraph"/>
        <w:numPr>
          <w:ilvl w:val="0"/>
          <w:numId w:val="3"/>
        </w:numPr>
        <w:spacing w:after="30" w:before="30"/>
      </w:pPr>
      <w:r>
        <w:rPr>
          <w:rFonts w:ascii="Calibri" w:cs="Calibri" w:eastAsia="Calibri" w:hAnsi="Calibri"/>
          <w:sz w:val="22"/>
          <w:szCs w:val="22"/>
        </w:rPr>
        <w:t xml:space="preserve">Month 9-12: Part-time customer success contractor for onboarding pilot customers.</w:t>
      </w:r>
    </w:p>
    <w:p>
      <w:pPr>
        <w:pStyle w:val="Heading2"/>
        <w:spacing w:after="140" w:before="280"/>
      </w:pPr>
      <w:r>
        <w:rPr>
          <w:rFonts w:ascii="Calibri" w:cs="Calibri" w:eastAsia="Calibri" w:hAnsi="Calibri"/>
          <w:b/>
          <w:bCs/>
          <w:color w:val="1A1A1A"/>
          <w:sz w:val="26"/>
          <w:szCs w:val="26"/>
        </w:rPr>
        <w:t xml:space="preserve">10.3 Operational model</w:t>
      </w:r>
    </w:p>
    <w:p>
      <w:pPr>
        <w:pStyle w:val="ListParagraph"/>
        <w:numPr>
          <w:ilvl w:val="0"/>
          <w:numId w:val="2"/>
        </w:numPr>
        <w:spacing w:after="30" w:before="30"/>
      </w:pPr>
      <w:r>
        <w:rPr>
          <w:rFonts w:ascii="Calibri" w:cs="Calibri" w:eastAsia="Calibri" w:hAnsi="Calibri"/>
          <w:sz w:val="22"/>
          <w:szCs w:val="22"/>
        </w:rPr>
        <w:t xml:space="preserve">Remote-first, no office overhead in Year 1.</w:t>
      </w:r>
    </w:p>
    <w:p>
      <w:pPr>
        <w:pStyle w:val="ListParagraph"/>
        <w:numPr>
          <w:ilvl w:val="0"/>
          <w:numId w:val="2"/>
        </w:numPr>
        <w:spacing w:after="30" w:before="30"/>
      </w:pPr>
      <w:r>
        <w:rPr>
          <w:rFonts w:ascii="Calibri" w:cs="Calibri" w:eastAsia="Calibri" w:hAnsi="Calibri"/>
          <w:sz w:val="22"/>
          <w:szCs w:val="22"/>
        </w:rPr>
        <w:t xml:space="preserve">Convex for backend and database, Vercel for frontend hosting, Stripe for billing, Resend for transactional email, Plausible for analytics, GitHub for source control.</w:t>
      </w:r>
    </w:p>
    <w:p>
      <w:pPr>
        <w:pStyle w:val="ListParagraph"/>
        <w:numPr>
          <w:ilvl w:val="0"/>
          <w:numId w:val="2"/>
        </w:numPr>
        <w:spacing w:after="30" w:before="30"/>
      </w:pPr>
      <w:r>
        <w:rPr>
          <w:rFonts w:ascii="Calibri" w:cs="Calibri" w:eastAsia="Calibri" w:hAnsi="Calibri"/>
          <w:sz w:val="22"/>
          <w:szCs w:val="22"/>
        </w:rPr>
        <w:t xml:space="preserve">Inference via primary LLM provider (Anthropic Claude family at frontier, OpenAI as fallback). Secondary providers evaluated annually.</w:t>
      </w:r>
    </w:p>
    <w:p>
      <w:pPr>
        <w:pStyle w:val="ListParagraph"/>
        <w:numPr>
          <w:ilvl w:val="0"/>
          <w:numId w:val="2"/>
        </w:numPr>
        <w:spacing w:after="30" w:before="30"/>
      </w:pPr>
      <w:r>
        <w:rPr>
          <w:rFonts w:ascii="Calibri" w:cs="Calibri" w:eastAsia="Calibri" w:hAnsi="Calibri"/>
          <w:sz w:val="22"/>
          <w:szCs w:val="22"/>
        </w:rPr>
        <w:t xml:space="preserve">Customer data hosted in EU regions only (GDPR alignment), with documented sub-processor disclosure.</w:t>
      </w:r>
    </w:p>
    <w:p>
      <w:pPr>
        <w:pStyle w:val="ListParagraph"/>
        <w:numPr>
          <w:ilvl w:val="0"/>
          <w:numId w:val="2"/>
        </w:numPr>
        <w:spacing w:after="30" w:before="30"/>
      </w:pPr>
      <w:r>
        <w:rPr>
          <w:rFonts w:ascii="Calibri" w:cs="Calibri" w:eastAsia="Calibri" w:hAnsi="Calibri"/>
          <w:sz w:val="22"/>
          <w:szCs w:val="22"/>
        </w:rPr>
        <w:t xml:space="preserve">Customer-success and pilot management run from the founder's calendar in Year 1, transitioning to dedicated team member in Year 2.</w:t>
      </w:r>
    </w:p>
    <w:p>
      <w:r>
        <w:br w:type="page"/>
      </w:r>
    </w:p>
    <w:p>
      <w:pPr>
        <w:pStyle w:val="Heading1"/>
        <w:spacing w:after="200" w:before="400"/>
      </w:pPr>
      <w:r>
        <w:rPr>
          <w:rFonts w:ascii="Calibri" w:cs="Calibri" w:eastAsia="Calibri" w:hAnsi="Calibri"/>
          <w:b/>
          <w:bCs/>
          <w:color w:val="0E3A6E"/>
          <w:sz w:val="32"/>
          <w:szCs w:val="32"/>
        </w:rPr>
        <w:t xml:space="preserve">11. Risk Register</w:t>
      </w:r>
    </w:p>
    <w:p>
      <w:pPr>
        <w:pStyle w:val="Heading2"/>
        <w:spacing w:after="140" w:before="280"/>
      </w:pPr>
      <w:r>
        <w:rPr>
          <w:rFonts w:ascii="Calibri" w:cs="Calibri" w:eastAsia="Calibri" w:hAnsi="Calibri"/>
          <w:b/>
          <w:bCs/>
          <w:color w:val="1A1A1A"/>
          <w:sz w:val="26"/>
          <w:szCs w:val="26"/>
        </w:rPr>
        <w:t xml:space="preserve">11.1 Operational and product risks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00"/>
        <w:gridCol w:w="3500"/>
        <w:gridCol w:w="1200"/>
        <w:gridCol w:w="4546"/>
      </w:tblGrid>
      <w:tr>
        <w:trPr>
          <w:tblHeader/>
        </w:trPr>
        <w:tc>
          <w:tcPr>
            <w:tcW w:type="dxa" w:w="500"/>
            <w:tcBorders>
              <w:top w:val="single" w:color="B4B4B4" w:sz="4"/>
              <w:left w:val="single" w:color="B4B4B4" w:sz="4"/>
              <w:bottom w:val="single" w:color="B4B4B4" w:sz="4"/>
              <w:right w:val="single" w:color="B4B4B4" w:sz="4"/>
            </w:tcBorders>
            <w:shd w:fill="0E3A6E" w:val="clear"/>
            <w:tcMar>
              <w:top w:type="dxa" w:w="100"/>
              <w:left w:type="dxa" w:w="140"/>
              <w:bottom w:type="dxa" w:w="100"/>
              <w:right w:type="dxa" w:w="140"/>
            </w:tcMar>
            <w:vAlign w:val="center"/>
          </w:tcPr>
          <w:p>
            <w:pPr>
              <w:spacing w:after="30" w:before="30"/>
            </w:pPr>
            <w:r>
              <w:rPr>
                <w:rFonts w:ascii="Calibri" w:cs="Calibri" w:eastAsia="Calibri" w:hAnsi="Calibri"/>
                <w:b/>
                <w:bCs/>
                <w:color w:val="FFFFFF"/>
                <w:sz w:val="20"/>
                <w:szCs w:val="20"/>
              </w:rPr>
              <w:t xml:space="preserve">#</w:t>
            </w:r>
          </w:p>
        </w:tc>
        <w:tc>
          <w:tcPr>
            <w:tcW w:type="dxa" w:w="3500"/>
            <w:tcBorders>
              <w:top w:val="single" w:color="B4B4B4" w:sz="4"/>
              <w:left w:val="single" w:color="B4B4B4" w:sz="4"/>
              <w:bottom w:val="single" w:color="B4B4B4" w:sz="4"/>
              <w:right w:val="single" w:color="B4B4B4" w:sz="4"/>
            </w:tcBorders>
            <w:shd w:fill="0E3A6E" w:val="clear"/>
            <w:tcMar>
              <w:top w:type="dxa" w:w="100"/>
              <w:left w:type="dxa" w:w="140"/>
              <w:bottom w:type="dxa" w:w="100"/>
              <w:right w:type="dxa" w:w="140"/>
            </w:tcMar>
            <w:vAlign w:val="center"/>
          </w:tcPr>
          <w:p>
            <w:pPr>
              <w:spacing w:after="30" w:before="30"/>
            </w:pPr>
            <w:r>
              <w:rPr>
                <w:rFonts w:ascii="Calibri" w:cs="Calibri" w:eastAsia="Calibri" w:hAnsi="Calibri"/>
                <w:b/>
                <w:bCs/>
                <w:color w:val="FFFFFF"/>
                <w:sz w:val="20"/>
                <w:szCs w:val="20"/>
              </w:rPr>
              <w:t xml:space="preserve">Risk</w:t>
            </w:r>
          </w:p>
        </w:tc>
        <w:tc>
          <w:tcPr>
            <w:tcW w:type="dxa" w:w="1200"/>
            <w:tcBorders>
              <w:top w:val="single" w:color="B4B4B4" w:sz="4"/>
              <w:left w:val="single" w:color="B4B4B4" w:sz="4"/>
              <w:bottom w:val="single" w:color="B4B4B4" w:sz="4"/>
              <w:right w:val="single" w:color="B4B4B4" w:sz="4"/>
            </w:tcBorders>
            <w:shd w:fill="0E3A6E" w:val="clear"/>
            <w:tcMar>
              <w:top w:type="dxa" w:w="100"/>
              <w:left w:type="dxa" w:w="140"/>
              <w:bottom w:type="dxa" w:w="100"/>
              <w:right w:type="dxa" w:w="140"/>
            </w:tcMar>
            <w:vAlign w:val="center"/>
          </w:tcPr>
          <w:p>
            <w:pPr>
              <w:spacing w:after="30" w:before="30"/>
            </w:pPr>
            <w:r>
              <w:rPr>
                <w:rFonts w:ascii="Calibri" w:cs="Calibri" w:eastAsia="Calibri" w:hAnsi="Calibri"/>
                <w:b/>
                <w:bCs/>
                <w:color w:val="FFFFFF"/>
                <w:sz w:val="20"/>
                <w:szCs w:val="20"/>
              </w:rPr>
              <w:t xml:space="preserve">L × I</w:t>
            </w:r>
          </w:p>
        </w:tc>
        <w:tc>
          <w:tcPr>
            <w:tcW w:type="dxa" w:w="4546"/>
            <w:tcBorders>
              <w:top w:val="single" w:color="B4B4B4" w:sz="4"/>
              <w:left w:val="single" w:color="B4B4B4" w:sz="4"/>
              <w:bottom w:val="single" w:color="B4B4B4" w:sz="4"/>
              <w:right w:val="single" w:color="B4B4B4" w:sz="4"/>
            </w:tcBorders>
            <w:shd w:fill="0E3A6E" w:val="clear"/>
            <w:tcMar>
              <w:top w:type="dxa" w:w="100"/>
              <w:left w:type="dxa" w:w="140"/>
              <w:bottom w:type="dxa" w:w="100"/>
              <w:right w:type="dxa" w:w="140"/>
            </w:tcMar>
            <w:vAlign w:val="center"/>
          </w:tcPr>
          <w:p>
            <w:pPr>
              <w:spacing w:after="30" w:before="30"/>
            </w:pPr>
            <w:r>
              <w:rPr>
                <w:rFonts w:ascii="Calibri" w:cs="Calibri" w:eastAsia="Calibri" w:hAnsi="Calibri"/>
                <w:b/>
                <w:bCs/>
                <w:color w:val="FFFFFF"/>
                <w:sz w:val="20"/>
                <w:szCs w:val="20"/>
              </w:rPr>
              <w:t xml:space="preserve">Mitigation</w:t>
            </w:r>
          </w:p>
        </w:tc>
      </w:tr>
      <w:tr>
        <w:tc>
          <w:tcPr>
            <w:tcBorders>
              <w:top w:val="single" w:color="B4B4B4" w:sz="4"/>
              <w:left w:val="single" w:color="B4B4B4" w:sz="4"/>
              <w:bottom w:val="single" w:color="B4B4B4" w:sz="4"/>
              <w:right w:val="single" w:color="B4B4B4" w:sz="4"/>
            </w:tcBorders>
            <w:tcMar>
              <w:top w:type="dxa" w:w="100"/>
              <w:left w:type="dxa" w:w="140"/>
              <w:bottom w:type="dxa" w:w="100"/>
              <w:right w:type="dxa" w:w="140"/>
            </w:tcMar>
            <w:vAlign w:val="center"/>
          </w:tcPr>
          <w:p>
            <w:pPr>
              <w:spacing w:after="30" w:before="30"/>
              <w:jc w:val="center"/>
            </w:pPr>
            <w:r>
              <w:rPr>
                <w:rFonts w:ascii="Calibri" w:cs="Calibri" w:eastAsia="Calibri" w:hAnsi="Calibri"/>
                <w:b/>
                <w:bCs/>
                <w:sz w:val="20"/>
                <w:szCs w:val="20"/>
              </w:rPr>
              <w:t xml:space="preserve">R1</w:t>
            </w:r>
          </w:p>
        </w:tc>
        <w:tc>
          <w:tcPr>
            <w:tcBorders>
              <w:top w:val="single" w:color="B4B4B4" w:sz="4"/>
              <w:left w:val="single" w:color="B4B4B4" w:sz="4"/>
              <w:bottom w:val="single" w:color="B4B4B4" w:sz="4"/>
              <w:right w:val="single" w:color="B4B4B4" w:sz="4"/>
            </w:tcBorders>
            <w:tcMar>
              <w:top w:type="dxa" w:w="100"/>
              <w:left w:type="dxa" w:w="140"/>
              <w:bottom w:type="dxa" w:w="100"/>
              <w:right w:type="dxa" w:w="140"/>
            </w:tcMar>
            <w:vAlign w:val="center"/>
          </w:tcPr>
          <w:p>
            <w:pPr>
              <w:spacing w:after="30" w:before="30"/>
            </w:pPr>
            <w:r>
              <w:rPr>
                <w:rFonts w:ascii="Calibri" w:cs="Calibri" w:eastAsia="Calibri" w:hAnsi="Calibri"/>
                <w:sz w:val="20"/>
                <w:szCs w:val="20"/>
              </w:rPr>
              <w:t xml:space="preserve">Output hallucination — system surfaces a finding that is not in the source document, undermining trust</w:t>
            </w:r>
          </w:p>
        </w:tc>
        <w:tc>
          <w:tcPr>
            <w:tcBorders>
              <w:top w:val="single" w:color="B4B4B4" w:sz="4"/>
              <w:left w:val="single" w:color="B4B4B4" w:sz="4"/>
              <w:bottom w:val="single" w:color="B4B4B4" w:sz="4"/>
              <w:right w:val="single" w:color="B4B4B4" w:sz="4"/>
            </w:tcBorders>
            <w:tcMar>
              <w:top w:type="dxa" w:w="100"/>
              <w:left w:type="dxa" w:w="140"/>
              <w:bottom w:type="dxa" w:w="100"/>
              <w:right w:type="dxa" w:w="140"/>
            </w:tcMar>
            <w:vAlign w:val="center"/>
          </w:tcPr>
          <w:p>
            <w:pPr>
              <w:spacing w:after="30" w:before="30"/>
              <w:jc w:val="center"/>
            </w:pPr>
            <w:r>
              <w:rPr>
                <w:rFonts w:ascii="Calibri" w:cs="Calibri" w:eastAsia="Calibri" w:hAnsi="Calibri"/>
                <w:b/>
                <w:bCs/>
                <w:sz w:val="20"/>
                <w:szCs w:val="20"/>
              </w:rPr>
              <w:t xml:space="preserve">M × H</w:t>
            </w:r>
          </w:p>
        </w:tc>
        <w:tc>
          <w:tcPr>
            <w:tcBorders>
              <w:top w:val="single" w:color="B4B4B4" w:sz="4"/>
              <w:left w:val="single" w:color="B4B4B4" w:sz="4"/>
              <w:bottom w:val="single" w:color="B4B4B4" w:sz="4"/>
              <w:right w:val="single" w:color="B4B4B4" w:sz="4"/>
            </w:tcBorders>
            <w:tcMar>
              <w:top w:type="dxa" w:w="100"/>
              <w:left w:type="dxa" w:w="140"/>
              <w:bottom w:type="dxa" w:w="100"/>
              <w:right w:type="dxa" w:w="140"/>
            </w:tcMar>
            <w:vAlign w:val="center"/>
          </w:tcPr>
          <w:p>
            <w:pPr>
              <w:spacing w:after="30" w:before="30"/>
            </w:pPr>
            <w:r>
              <w:rPr>
                <w:rFonts w:ascii="Calibri" w:cs="Calibri" w:eastAsia="Calibri" w:hAnsi="Calibri"/>
                <w:sz w:val="20"/>
                <w:szCs w:val="20"/>
              </w:rPr>
              <w:t xml:space="preserve">Every finding cites a verbatim source quote and page reference; checks fail and finding is suppressed if quote does not appear in source. Automated regression suite on representative packs.</w:t>
            </w:r>
          </w:p>
        </w:tc>
      </w:tr>
      <w:tr>
        <w:tc>
          <w:tcPr>
            <w:tcBorders>
              <w:top w:val="single" w:color="B4B4B4" w:sz="4"/>
              <w:left w:val="single" w:color="B4B4B4" w:sz="4"/>
              <w:bottom w:val="single" w:color="B4B4B4" w:sz="4"/>
              <w:right w:val="single" w:color="B4B4B4" w:sz="4"/>
            </w:tcBorders>
            <w:shd w:fill="F4F6F8" w:val="clear"/>
            <w:tcMar>
              <w:top w:type="dxa" w:w="100"/>
              <w:left w:type="dxa" w:w="140"/>
              <w:bottom w:type="dxa" w:w="100"/>
              <w:right w:type="dxa" w:w="140"/>
            </w:tcMar>
            <w:vAlign w:val="center"/>
          </w:tcPr>
          <w:p>
            <w:pPr>
              <w:spacing w:after="30" w:before="30"/>
              <w:jc w:val="center"/>
            </w:pPr>
            <w:r>
              <w:rPr>
                <w:rFonts w:ascii="Calibri" w:cs="Calibri" w:eastAsia="Calibri" w:hAnsi="Calibri"/>
                <w:b/>
                <w:bCs/>
                <w:sz w:val="20"/>
                <w:szCs w:val="20"/>
              </w:rPr>
              <w:t xml:space="preserve">R2</w:t>
            </w:r>
          </w:p>
        </w:tc>
        <w:tc>
          <w:tcPr>
            <w:tcBorders>
              <w:top w:val="single" w:color="B4B4B4" w:sz="4"/>
              <w:left w:val="single" w:color="B4B4B4" w:sz="4"/>
              <w:bottom w:val="single" w:color="B4B4B4" w:sz="4"/>
              <w:right w:val="single" w:color="B4B4B4" w:sz="4"/>
            </w:tcBorders>
            <w:shd w:fill="F4F6F8" w:val="clear"/>
            <w:tcMar>
              <w:top w:type="dxa" w:w="100"/>
              <w:left w:type="dxa" w:w="140"/>
              <w:bottom w:type="dxa" w:w="100"/>
              <w:right w:type="dxa" w:w="140"/>
            </w:tcMar>
            <w:vAlign w:val="center"/>
          </w:tcPr>
          <w:p>
            <w:pPr>
              <w:spacing w:after="30" w:before="30"/>
            </w:pPr>
            <w:r>
              <w:rPr>
                <w:rFonts w:ascii="Calibri" w:cs="Calibri" w:eastAsia="Calibri" w:hAnsi="Calibri"/>
                <w:sz w:val="20"/>
                <w:szCs w:val="20"/>
              </w:rPr>
              <w:t xml:space="preserve">Liability creep — user treats indicative output as professional opinion, then attempts to claim against VerifIQ if findings are wrong</w:t>
            </w:r>
          </w:p>
        </w:tc>
        <w:tc>
          <w:tcPr>
            <w:tcBorders>
              <w:top w:val="single" w:color="B4B4B4" w:sz="4"/>
              <w:left w:val="single" w:color="B4B4B4" w:sz="4"/>
              <w:bottom w:val="single" w:color="B4B4B4" w:sz="4"/>
              <w:right w:val="single" w:color="B4B4B4" w:sz="4"/>
            </w:tcBorders>
            <w:shd w:fill="F4F6F8" w:val="clear"/>
            <w:tcMar>
              <w:top w:type="dxa" w:w="100"/>
              <w:left w:type="dxa" w:w="140"/>
              <w:bottom w:type="dxa" w:w="100"/>
              <w:right w:type="dxa" w:w="140"/>
            </w:tcMar>
            <w:vAlign w:val="center"/>
          </w:tcPr>
          <w:p>
            <w:pPr>
              <w:spacing w:after="30" w:before="30"/>
              <w:jc w:val="center"/>
            </w:pPr>
            <w:r>
              <w:rPr>
                <w:rFonts w:ascii="Calibri" w:cs="Calibri" w:eastAsia="Calibri" w:hAnsi="Calibri"/>
                <w:b/>
                <w:bCs/>
                <w:sz w:val="20"/>
                <w:szCs w:val="20"/>
              </w:rPr>
              <w:t xml:space="preserve">L × H</w:t>
            </w:r>
          </w:p>
        </w:tc>
        <w:tc>
          <w:tcPr>
            <w:tcBorders>
              <w:top w:val="single" w:color="B4B4B4" w:sz="4"/>
              <w:left w:val="single" w:color="B4B4B4" w:sz="4"/>
              <w:bottom w:val="single" w:color="B4B4B4" w:sz="4"/>
              <w:right w:val="single" w:color="B4B4B4" w:sz="4"/>
            </w:tcBorders>
            <w:shd w:fill="F4F6F8" w:val="clear"/>
            <w:tcMar>
              <w:top w:type="dxa" w:w="100"/>
              <w:left w:type="dxa" w:w="140"/>
              <w:bottom w:type="dxa" w:w="100"/>
              <w:right w:type="dxa" w:w="140"/>
            </w:tcMar>
            <w:vAlign w:val="center"/>
          </w:tcPr>
          <w:p>
            <w:pPr>
              <w:spacing w:after="30" w:before="30"/>
            </w:pPr>
            <w:r>
              <w:rPr>
                <w:rFonts w:ascii="Calibri" w:cs="Calibri" w:eastAsia="Calibri" w:hAnsi="Calibri"/>
                <w:sz w:val="20"/>
                <w:szCs w:val="20"/>
              </w:rPr>
              <w:t xml:space="preserve">Strong Terms of Use; in-product disclaimers on every output; every finding paragraph begins with 'we noticed' / 'possible issue' / 'please verify locally'; no language asserting compliance or non-compliance.</w:t>
            </w:r>
          </w:p>
        </w:tc>
      </w:tr>
      <w:tr>
        <w:tc>
          <w:tcPr>
            <w:tcBorders>
              <w:top w:val="single" w:color="B4B4B4" w:sz="4"/>
              <w:left w:val="single" w:color="B4B4B4" w:sz="4"/>
              <w:bottom w:val="single" w:color="B4B4B4" w:sz="4"/>
              <w:right w:val="single" w:color="B4B4B4" w:sz="4"/>
            </w:tcBorders>
            <w:tcMar>
              <w:top w:type="dxa" w:w="100"/>
              <w:left w:type="dxa" w:w="140"/>
              <w:bottom w:type="dxa" w:w="100"/>
              <w:right w:type="dxa" w:w="140"/>
            </w:tcMar>
            <w:vAlign w:val="center"/>
          </w:tcPr>
          <w:p>
            <w:pPr>
              <w:spacing w:after="30" w:before="30"/>
              <w:jc w:val="center"/>
            </w:pPr>
            <w:r>
              <w:rPr>
                <w:rFonts w:ascii="Calibri" w:cs="Calibri" w:eastAsia="Calibri" w:hAnsi="Calibri"/>
                <w:b/>
                <w:bCs/>
                <w:sz w:val="20"/>
                <w:szCs w:val="20"/>
              </w:rPr>
              <w:t xml:space="preserve">R3</w:t>
            </w:r>
          </w:p>
        </w:tc>
        <w:tc>
          <w:tcPr>
            <w:tcBorders>
              <w:top w:val="single" w:color="B4B4B4" w:sz="4"/>
              <w:left w:val="single" w:color="B4B4B4" w:sz="4"/>
              <w:bottom w:val="single" w:color="B4B4B4" w:sz="4"/>
              <w:right w:val="single" w:color="B4B4B4" w:sz="4"/>
            </w:tcBorders>
            <w:tcMar>
              <w:top w:type="dxa" w:w="100"/>
              <w:left w:type="dxa" w:w="140"/>
              <w:bottom w:type="dxa" w:w="100"/>
              <w:right w:type="dxa" w:w="140"/>
            </w:tcMar>
            <w:vAlign w:val="center"/>
          </w:tcPr>
          <w:p>
            <w:pPr>
              <w:spacing w:after="30" w:before="30"/>
            </w:pPr>
            <w:r>
              <w:rPr>
                <w:rFonts w:ascii="Calibri" w:cs="Calibri" w:eastAsia="Calibri" w:hAnsi="Calibri"/>
                <w:sz w:val="20"/>
                <w:szCs w:val="20"/>
              </w:rPr>
              <w:t xml:space="preserve">Standards-corpus drift — chartered Irish standards change and the VerifIQ library lags, surfacing outdated guidance</w:t>
            </w:r>
          </w:p>
        </w:tc>
        <w:tc>
          <w:tcPr>
            <w:tcBorders>
              <w:top w:val="single" w:color="B4B4B4" w:sz="4"/>
              <w:left w:val="single" w:color="B4B4B4" w:sz="4"/>
              <w:bottom w:val="single" w:color="B4B4B4" w:sz="4"/>
              <w:right w:val="single" w:color="B4B4B4" w:sz="4"/>
            </w:tcBorders>
            <w:tcMar>
              <w:top w:type="dxa" w:w="100"/>
              <w:left w:type="dxa" w:w="140"/>
              <w:bottom w:type="dxa" w:w="100"/>
              <w:right w:type="dxa" w:w="140"/>
            </w:tcMar>
            <w:vAlign w:val="center"/>
          </w:tcPr>
          <w:p>
            <w:pPr>
              <w:spacing w:after="30" w:before="30"/>
              <w:jc w:val="center"/>
            </w:pPr>
            <w:r>
              <w:rPr>
                <w:rFonts w:ascii="Calibri" w:cs="Calibri" w:eastAsia="Calibri" w:hAnsi="Calibri"/>
                <w:b/>
                <w:bCs/>
                <w:sz w:val="20"/>
                <w:szCs w:val="20"/>
              </w:rPr>
              <w:t xml:space="preserve">M × M</w:t>
            </w:r>
          </w:p>
        </w:tc>
        <w:tc>
          <w:tcPr>
            <w:tcBorders>
              <w:top w:val="single" w:color="B4B4B4" w:sz="4"/>
              <w:left w:val="single" w:color="B4B4B4" w:sz="4"/>
              <w:bottom w:val="single" w:color="B4B4B4" w:sz="4"/>
              <w:right w:val="single" w:color="B4B4B4" w:sz="4"/>
            </w:tcBorders>
            <w:tcMar>
              <w:top w:type="dxa" w:w="100"/>
              <w:left w:type="dxa" w:w="140"/>
              <w:bottom w:type="dxa" w:w="100"/>
              <w:right w:type="dxa" w:w="140"/>
            </w:tcMar>
            <w:vAlign w:val="center"/>
          </w:tcPr>
          <w:p>
            <w:pPr>
              <w:spacing w:after="30" w:before="30"/>
            </w:pPr>
            <w:r>
              <w:rPr>
                <w:rFonts w:ascii="Calibri" w:cs="Calibri" w:eastAsia="Calibri" w:hAnsi="Calibri"/>
                <w:sz w:val="20"/>
                <w:szCs w:val="20"/>
              </w:rPr>
              <w:t xml:space="preserve">Part-time chartered-professional contract for ongoing corpus maintenance; quarterly review cycle published in product documentation; corpus version stamped on every finding output.</w:t>
            </w:r>
          </w:p>
        </w:tc>
      </w:tr>
      <w:tr>
        <w:tc>
          <w:tcPr>
            <w:tcBorders>
              <w:top w:val="single" w:color="B4B4B4" w:sz="4"/>
              <w:left w:val="single" w:color="B4B4B4" w:sz="4"/>
              <w:bottom w:val="single" w:color="B4B4B4" w:sz="4"/>
              <w:right w:val="single" w:color="B4B4B4" w:sz="4"/>
            </w:tcBorders>
            <w:shd w:fill="F4F6F8" w:val="clear"/>
            <w:tcMar>
              <w:top w:type="dxa" w:w="100"/>
              <w:left w:type="dxa" w:w="140"/>
              <w:bottom w:type="dxa" w:w="100"/>
              <w:right w:type="dxa" w:w="140"/>
            </w:tcMar>
            <w:vAlign w:val="center"/>
          </w:tcPr>
          <w:p>
            <w:pPr>
              <w:spacing w:after="30" w:before="30"/>
              <w:jc w:val="center"/>
            </w:pPr>
            <w:r>
              <w:rPr>
                <w:rFonts w:ascii="Calibri" w:cs="Calibri" w:eastAsia="Calibri" w:hAnsi="Calibri"/>
                <w:b/>
                <w:bCs/>
                <w:sz w:val="20"/>
                <w:szCs w:val="20"/>
              </w:rPr>
              <w:t xml:space="preserve">R4</w:t>
            </w:r>
          </w:p>
        </w:tc>
        <w:tc>
          <w:tcPr>
            <w:tcBorders>
              <w:top w:val="single" w:color="B4B4B4" w:sz="4"/>
              <w:left w:val="single" w:color="B4B4B4" w:sz="4"/>
              <w:bottom w:val="single" w:color="B4B4B4" w:sz="4"/>
              <w:right w:val="single" w:color="B4B4B4" w:sz="4"/>
            </w:tcBorders>
            <w:shd w:fill="F4F6F8" w:val="clear"/>
            <w:tcMar>
              <w:top w:type="dxa" w:w="100"/>
              <w:left w:type="dxa" w:w="140"/>
              <w:bottom w:type="dxa" w:w="100"/>
              <w:right w:type="dxa" w:w="140"/>
            </w:tcMar>
            <w:vAlign w:val="center"/>
          </w:tcPr>
          <w:p>
            <w:pPr>
              <w:spacing w:after="30" w:before="30"/>
            </w:pPr>
            <w:r>
              <w:rPr>
                <w:rFonts w:ascii="Calibri" w:cs="Calibri" w:eastAsia="Calibri" w:hAnsi="Calibri"/>
                <w:sz w:val="20"/>
                <w:szCs w:val="20"/>
              </w:rPr>
              <w:t xml:space="preserve">Inference-cost spike — primary LLM provider raises prices or restricts capacity</w:t>
            </w:r>
          </w:p>
        </w:tc>
        <w:tc>
          <w:tcPr>
            <w:tcBorders>
              <w:top w:val="single" w:color="B4B4B4" w:sz="4"/>
              <w:left w:val="single" w:color="B4B4B4" w:sz="4"/>
              <w:bottom w:val="single" w:color="B4B4B4" w:sz="4"/>
              <w:right w:val="single" w:color="B4B4B4" w:sz="4"/>
            </w:tcBorders>
            <w:shd w:fill="F4F6F8" w:val="clear"/>
            <w:tcMar>
              <w:top w:type="dxa" w:w="100"/>
              <w:left w:type="dxa" w:w="140"/>
              <w:bottom w:type="dxa" w:w="100"/>
              <w:right w:type="dxa" w:w="140"/>
            </w:tcMar>
            <w:vAlign w:val="center"/>
          </w:tcPr>
          <w:p>
            <w:pPr>
              <w:spacing w:after="30" w:before="30"/>
              <w:jc w:val="center"/>
            </w:pPr>
            <w:r>
              <w:rPr>
                <w:rFonts w:ascii="Calibri" w:cs="Calibri" w:eastAsia="Calibri" w:hAnsi="Calibri"/>
                <w:b/>
                <w:bCs/>
                <w:sz w:val="20"/>
                <w:szCs w:val="20"/>
              </w:rPr>
              <w:t xml:space="preserve">L × M</w:t>
            </w:r>
          </w:p>
        </w:tc>
        <w:tc>
          <w:tcPr>
            <w:tcBorders>
              <w:top w:val="single" w:color="B4B4B4" w:sz="4"/>
              <w:left w:val="single" w:color="B4B4B4" w:sz="4"/>
              <w:bottom w:val="single" w:color="B4B4B4" w:sz="4"/>
              <w:right w:val="single" w:color="B4B4B4" w:sz="4"/>
            </w:tcBorders>
            <w:shd w:fill="F4F6F8" w:val="clear"/>
            <w:tcMar>
              <w:top w:type="dxa" w:w="100"/>
              <w:left w:type="dxa" w:w="140"/>
              <w:bottom w:type="dxa" w:w="100"/>
              <w:right w:type="dxa" w:w="140"/>
            </w:tcMar>
            <w:vAlign w:val="center"/>
          </w:tcPr>
          <w:p>
            <w:pPr>
              <w:spacing w:after="30" w:before="30"/>
            </w:pPr>
            <w:r>
              <w:rPr>
                <w:rFonts w:ascii="Calibri" w:cs="Calibri" w:eastAsia="Calibri" w:hAnsi="Calibri"/>
                <w:sz w:val="20"/>
                <w:szCs w:val="20"/>
              </w:rPr>
              <w:t xml:space="preserve">Multi-provider architecture from day one; pricing model has 85-95% gross margin headroom to absorb a 2-3× cost shock without re-pricing.</w:t>
            </w:r>
          </w:p>
        </w:tc>
      </w:tr>
      <w:tr>
        <w:tc>
          <w:tcPr>
            <w:tcBorders>
              <w:top w:val="single" w:color="B4B4B4" w:sz="4"/>
              <w:left w:val="single" w:color="B4B4B4" w:sz="4"/>
              <w:bottom w:val="single" w:color="B4B4B4" w:sz="4"/>
              <w:right w:val="single" w:color="B4B4B4" w:sz="4"/>
            </w:tcBorders>
            <w:tcMar>
              <w:top w:type="dxa" w:w="100"/>
              <w:left w:type="dxa" w:w="140"/>
              <w:bottom w:type="dxa" w:w="100"/>
              <w:right w:type="dxa" w:w="140"/>
            </w:tcMar>
            <w:vAlign w:val="center"/>
          </w:tcPr>
          <w:p>
            <w:pPr>
              <w:spacing w:after="30" w:before="30"/>
              <w:jc w:val="center"/>
            </w:pPr>
            <w:r>
              <w:rPr>
                <w:rFonts w:ascii="Calibri" w:cs="Calibri" w:eastAsia="Calibri" w:hAnsi="Calibri"/>
                <w:b/>
                <w:bCs/>
                <w:sz w:val="20"/>
                <w:szCs w:val="20"/>
              </w:rPr>
              <w:t xml:space="preserve">R5</w:t>
            </w:r>
          </w:p>
        </w:tc>
        <w:tc>
          <w:tcPr>
            <w:tcBorders>
              <w:top w:val="single" w:color="B4B4B4" w:sz="4"/>
              <w:left w:val="single" w:color="B4B4B4" w:sz="4"/>
              <w:bottom w:val="single" w:color="B4B4B4" w:sz="4"/>
              <w:right w:val="single" w:color="B4B4B4" w:sz="4"/>
            </w:tcBorders>
            <w:tcMar>
              <w:top w:type="dxa" w:w="100"/>
              <w:left w:type="dxa" w:w="140"/>
              <w:bottom w:type="dxa" w:w="100"/>
              <w:right w:type="dxa" w:w="140"/>
            </w:tcMar>
            <w:vAlign w:val="center"/>
          </w:tcPr>
          <w:p>
            <w:pPr>
              <w:spacing w:after="30" w:before="30"/>
            </w:pPr>
            <w:r>
              <w:rPr>
                <w:rFonts w:ascii="Calibri" w:cs="Calibri" w:eastAsia="Calibri" w:hAnsi="Calibri"/>
                <w:sz w:val="20"/>
                <w:szCs w:val="20"/>
              </w:rPr>
              <w:t xml:space="preserve">Adoption resistance — design teams perceive the tool as exposing their failures and resist signing up</w:t>
            </w:r>
          </w:p>
        </w:tc>
        <w:tc>
          <w:tcPr>
            <w:tcBorders>
              <w:top w:val="single" w:color="B4B4B4" w:sz="4"/>
              <w:left w:val="single" w:color="B4B4B4" w:sz="4"/>
              <w:bottom w:val="single" w:color="B4B4B4" w:sz="4"/>
              <w:right w:val="single" w:color="B4B4B4" w:sz="4"/>
            </w:tcBorders>
            <w:tcMar>
              <w:top w:type="dxa" w:w="100"/>
              <w:left w:type="dxa" w:w="140"/>
              <w:bottom w:type="dxa" w:w="100"/>
              <w:right w:type="dxa" w:w="140"/>
            </w:tcMar>
            <w:vAlign w:val="center"/>
          </w:tcPr>
          <w:p>
            <w:pPr>
              <w:spacing w:after="30" w:before="30"/>
              <w:jc w:val="center"/>
            </w:pPr>
            <w:r>
              <w:rPr>
                <w:rFonts w:ascii="Calibri" w:cs="Calibri" w:eastAsia="Calibri" w:hAnsi="Calibri"/>
                <w:b/>
                <w:bCs/>
                <w:sz w:val="20"/>
                <w:szCs w:val="20"/>
              </w:rPr>
              <w:t xml:space="preserve">M × M</w:t>
            </w:r>
          </w:p>
        </w:tc>
        <w:tc>
          <w:tcPr>
            <w:tcBorders>
              <w:top w:val="single" w:color="B4B4B4" w:sz="4"/>
              <w:left w:val="single" w:color="B4B4B4" w:sz="4"/>
              <w:bottom w:val="single" w:color="B4B4B4" w:sz="4"/>
              <w:right w:val="single" w:color="B4B4B4" w:sz="4"/>
            </w:tcBorders>
            <w:tcMar>
              <w:top w:type="dxa" w:w="100"/>
              <w:left w:type="dxa" w:w="140"/>
              <w:bottom w:type="dxa" w:w="100"/>
              <w:right w:type="dxa" w:w="140"/>
            </w:tcMar>
            <w:vAlign w:val="center"/>
          </w:tcPr>
          <w:p>
            <w:pPr>
              <w:spacing w:after="30" w:before="30"/>
            </w:pPr>
            <w:r>
              <w:rPr>
                <w:rFonts w:ascii="Calibri" w:cs="Calibri" w:eastAsia="Calibri" w:hAnsi="Calibri"/>
                <w:sz w:val="20"/>
                <w:szCs w:val="20"/>
              </w:rPr>
              <w:t xml:space="preserve">Position as QA aid for the partner, not as evidence for clients. Private-account pricing; no public output sharing without customer permission. Pilot with friendly practice that already values QA discipline.</w:t>
            </w:r>
          </w:p>
        </w:tc>
      </w:tr>
      <w:tr>
        <w:tc>
          <w:tcPr>
            <w:tcBorders>
              <w:top w:val="single" w:color="B4B4B4" w:sz="4"/>
              <w:left w:val="single" w:color="B4B4B4" w:sz="4"/>
              <w:bottom w:val="single" w:color="B4B4B4" w:sz="4"/>
              <w:right w:val="single" w:color="B4B4B4" w:sz="4"/>
            </w:tcBorders>
            <w:shd w:fill="F4F6F8" w:val="clear"/>
            <w:tcMar>
              <w:top w:type="dxa" w:w="100"/>
              <w:left w:type="dxa" w:w="140"/>
              <w:bottom w:type="dxa" w:w="100"/>
              <w:right w:type="dxa" w:w="140"/>
            </w:tcMar>
            <w:vAlign w:val="center"/>
          </w:tcPr>
          <w:p>
            <w:pPr>
              <w:spacing w:after="30" w:before="30"/>
              <w:jc w:val="center"/>
            </w:pPr>
            <w:r>
              <w:rPr>
                <w:rFonts w:ascii="Calibri" w:cs="Calibri" w:eastAsia="Calibri" w:hAnsi="Calibri"/>
                <w:b/>
                <w:bCs/>
                <w:sz w:val="20"/>
                <w:szCs w:val="20"/>
              </w:rPr>
              <w:t xml:space="preserve">R6</w:t>
            </w:r>
          </w:p>
        </w:tc>
        <w:tc>
          <w:tcPr>
            <w:tcBorders>
              <w:top w:val="single" w:color="B4B4B4" w:sz="4"/>
              <w:left w:val="single" w:color="B4B4B4" w:sz="4"/>
              <w:bottom w:val="single" w:color="B4B4B4" w:sz="4"/>
              <w:right w:val="single" w:color="B4B4B4" w:sz="4"/>
            </w:tcBorders>
            <w:shd w:fill="F4F6F8" w:val="clear"/>
            <w:tcMar>
              <w:top w:type="dxa" w:w="100"/>
              <w:left w:type="dxa" w:w="140"/>
              <w:bottom w:type="dxa" w:w="100"/>
              <w:right w:type="dxa" w:w="140"/>
            </w:tcMar>
            <w:vAlign w:val="center"/>
          </w:tcPr>
          <w:p>
            <w:pPr>
              <w:spacing w:after="30" w:before="30"/>
            </w:pPr>
            <w:r>
              <w:rPr>
                <w:rFonts w:ascii="Calibri" w:cs="Calibri" w:eastAsia="Calibri" w:hAnsi="Calibri"/>
                <w:sz w:val="20"/>
                <w:szCs w:val="20"/>
              </w:rPr>
              <w:t xml:space="preserve">Data-sovereignty objection — public-sector buyer rejects cloud-hosted approach</w:t>
            </w:r>
          </w:p>
        </w:tc>
        <w:tc>
          <w:tcPr>
            <w:tcBorders>
              <w:top w:val="single" w:color="B4B4B4" w:sz="4"/>
              <w:left w:val="single" w:color="B4B4B4" w:sz="4"/>
              <w:bottom w:val="single" w:color="B4B4B4" w:sz="4"/>
              <w:right w:val="single" w:color="B4B4B4" w:sz="4"/>
            </w:tcBorders>
            <w:shd w:fill="F4F6F8" w:val="clear"/>
            <w:tcMar>
              <w:top w:type="dxa" w:w="100"/>
              <w:left w:type="dxa" w:w="140"/>
              <w:bottom w:type="dxa" w:w="100"/>
              <w:right w:type="dxa" w:w="140"/>
            </w:tcMar>
            <w:vAlign w:val="center"/>
          </w:tcPr>
          <w:p>
            <w:pPr>
              <w:spacing w:after="30" w:before="30"/>
              <w:jc w:val="center"/>
            </w:pPr>
            <w:r>
              <w:rPr>
                <w:rFonts w:ascii="Calibri" w:cs="Calibri" w:eastAsia="Calibri" w:hAnsi="Calibri"/>
                <w:b/>
                <w:bCs/>
                <w:sz w:val="20"/>
                <w:szCs w:val="20"/>
              </w:rPr>
              <w:t xml:space="preserve">M × M</w:t>
            </w:r>
          </w:p>
        </w:tc>
        <w:tc>
          <w:tcPr>
            <w:tcBorders>
              <w:top w:val="single" w:color="B4B4B4" w:sz="4"/>
              <w:left w:val="single" w:color="B4B4B4" w:sz="4"/>
              <w:bottom w:val="single" w:color="B4B4B4" w:sz="4"/>
              <w:right w:val="single" w:color="B4B4B4" w:sz="4"/>
            </w:tcBorders>
            <w:shd w:fill="F4F6F8" w:val="clear"/>
            <w:tcMar>
              <w:top w:type="dxa" w:w="100"/>
              <w:left w:type="dxa" w:w="140"/>
              <w:bottom w:type="dxa" w:w="100"/>
              <w:right w:type="dxa" w:w="140"/>
            </w:tcMar>
            <w:vAlign w:val="center"/>
          </w:tcPr>
          <w:p>
            <w:pPr>
              <w:spacing w:after="30" w:before="30"/>
            </w:pPr>
            <w:r>
              <w:rPr>
                <w:rFonts w:ascii="Calibri" w:cs="Calibri" w:eastAsia="Calibri" w:hAnsi="Calibri"/>
                <w:sz w:val="20"/>
                <w:szCs w:val="20"/>
              </w:rPr>
              <w:t xml:space="preserve">EU-region-only hosting documented; offer single-tenant deployment for Programme-tier customers if required; DPIA template provided; documented sub-processor list.</w:t>
            </w:r>
          </w:p>
        </w:tc>
      </w:tr>
      <w:tr>
        <w:tc>
          <w:tcPr>
            <w:tcBorders>
              <w:top w:val="single" w:color="B4B4B4" w:sz="4"/>
              <w:left w:val="single" w:color="B4B4B4" w:sz="4"/>
              <w:bottom w:val="single" w:color="B4B4B4" w:sz="4"/>
              <w:right w:val="single" w:color="B4B4B4" w:sz="4"/>
            </w:tcBorders>
            <w:tcMar>
              <w:top w:type="dxa" w:w="100"/>
              <w:left w:type="dxa" w:w="140"/>
              <w:bottom w:type="dxa" w:w="100"/>
              <w:right w:type="dxa" w:w="140"/>
            </w:tcMar>
            <w:vAlign w:val="center"/>
          </w:tcPr>
          <w:p>
            <w:pPr>
              <w:spacing w:after="30" w:before="30"/>
              <w:jc w:val="center"/>
            </w:pPr>
            <w:r>
              <w:rPr>
                <w:rFonts w:ascii="Calibri" w:cs="Calibri" w:eastAsia="Calibri" w:hAnsi="Calibri"/>
                <w:b/>
                <w:bCs/>
                <w:sz w:val="20"/>
                <w:szCs w:val="20"/>
              </w:rPr>
              <w:t xml:space="preserve">R7</w:t>
            </w:r>
          </w:p>
        </w:tc>
        <w:tc>
          <w:tcPr>
            <w:tcBorders>
              <w:top w:val="single" w:color="B4B4B4" w:sz="4"/>
              <w:left w:val="single" w:color="B4B4B4" w:sz="4"/>
              <w:bottom w:val="single" w:color="B4B4B4" w:sz="4"/>
              <w:right w:val="single" w:color="B4B4B4" w:sz="4"/>
            </w:tcBorders>
            <w:tcMar>
              <w:top w:type="dxa" w:w="100"/>
              <w:left w:type="dxa" w:w="140"/>
              <w:bottom w:type="dxa" w:w="100"/>
              <w:right w:type="dxa" w:w="140"/>
            </w:tcMar>
            <w:vAlign w:val="center"/>
          </w:tcPr>
          <w:p>
            <w:pPr>
              <w:spacing w:after="30" w:before="30"/>
            </w:pPr>
            <w:r>
              <w:rPr>
                <w:rFonts w:ascii="Calibri" w:cs="Calibri" w:eastAsia="Calibri" w:hAnsi="Calibri"/>
                <w:sz w:val="20"/>
                <w:szCs w:val="20"/>
              </w:rPr>
              <w:t xml:space="preserve">Bus factor — solo founder is the single point of failure</w:t>
            </w:r>
          </w:p>
        </w:tc>
        <w:tc>
          <w:tcPr>
            <w:tcBorders>
              <w:top w:val="single" w:color="B4B4B4" w:sz="4"/>
              <w:left w:val="single" w:color="B4B4B4" w:sz="4"/>
              <w:bottom w:val="single" w:color="B4B4B4" w:sz="4"/>
              <w:right w:val="single" w:color="B4B4B4" w:sz="4"/>
            </w:tcBorders>
            <w:tcMar>
              <w:top w:type="dxa" w:w="100"/>
              <w:left w:type="dxa" w:w="140"/>
              <w:bottom w:type="dxa" w:w="100"/>
              <w:right w:type="dxa" w:w="140"/>
            </w:tcMar>
            <w:vAlign w:val="center"/>
          </w:tcPr>
          <w:p>
            <w:pPr>
              <w:spacing w:after="30" w:before="30"/>
              <w:jc w:val="center"/>
            </w:pPr>
            <w:r>
              <w:rPr>
                <w:rFonts w:ascii="Calibri" w:cs="Calibri" w:eastAsia="Calibri" w:hAnsi="Calibri"/>
                <w:b/>
                <w:bCs/>
                <w:sz w:val="20"/>
                <w:szCs w:val="20"/>
              </w:rPr>
              <w:t xml:space="preserve">M × H</w:t>
            </w:r>
          </w:p>
        </w:tc>
        <w:tc>
          <w:tcPr>
            <w:tcBorders>
              <w:top w:val="single" w:color="B4B4B4" w:sz="4"/>
              <w:left w:val="single" w:color="B4B4B4" w:sz="4"/>
              <w:bottom w:val="single" w:color="B4B4B4" w:sz="4"/>
              <w:right w:val="single" w:color="B4B4B4" w:sz="4"/>
            </w:tcBorders>
            <w:tcMar>
              <w:top w:type="dxa" w:w="100"/>
              <w:left w:type="dxa" w:w="140"/>
              <w:bottom w:type="dxa" w:w="100"/>
              <w:right w:type="dxa" w:w="140"/>
            </w:tcMar>
            <w:vAlign w:val="center"/>
          </w:tcPr>
          <w:p>
            <w:pPr>
              <w:spacing w:after="30" w:before="30"/>
            </w:pPr>
            <w:r>
              <w:rPr>
                <w:rFonts w:ascii="Calibri" w:cs="Calibri" w:eastAsia="Calibri" w:hAnsi="Calibri"/>
                <w:sz w:val="20"/>
                <w:szCs w:val="20"/>
              </w:rPr>
              <w:t xml:space="preserve">Documented build pipeline; codebase in GitHub; recovery runbook; second engineer hire in month 6-9.</w:t>
            </w:r>
          </w:p>
        </w:tc>
      </w:tr>
      <w:tr>
        <w:tc>
          <w:tcPr>
            <w:tcBorders>
              <w:top w:val="single" w:color="B4B4B4" w:sz="4"/>
              <w:left w:val="single" w:color="B4B4B4" w:sz="4"/>
              <w:bottom w:val="single" w:color="B4B4B4" w:sz="4"/>
              <w:right w:val="single" w:color="B4B4B4" w:sz="4"/>
            </w:tcBorders>
            <w:shd w:fill="F4F6F8" w:val="clear"/>
            <w:tcMar>
              <w:top w:type="dxa" w:w="100"/>
              <w:left w:type="dxa" w:w="140"/>
              <w:bottom w:type="dxa" w:w="100"/>
              <w:right w:type="dxa" w:w="140"/>
            </w:tcMar>
            <w:vAlign w:val="center"/>
          </w:tcPr>
          <w:p>
            <w:pPr>
              <w:spacing w:after="30" w:before="30"/>
              <w:jc w:val="center"/>
            </w:pPr>
            <w:r>
              <w:rPr>
                <w:rFonts w:ascii="Calibri" w:cs="Calibri" w:eastAsia="Calibri" w:hAnsi="Calibri"/>
                <w:b/>
                <w:bCs/>
                <w:sz w:val="20"/>
                <w:szCs w:val="20"/>
              </w:rPr>
              <w:t xml:space="preserve">R8</w:t>
            </w:r>
          </w:p>
        </w:tc>
        <w:tc>
          <w:tcPr>
            <w:tcBorders>
              <w:top w:val="single" w:color="B4B4B4" w:sz="4"/>
              <w:left w:val="single" w:color="B4B4B4" w:sz="4"/>
              <w:bottom w:val="single" w:color="B4B4B4" w:sz="4"/>
              <w:right w:val="single" w:color="B4B4B4" w:sz="4"/>
            </w:tcBorders>
            <w:shd w:fill="F4F6F8" w:val="clear"/>
            <w:tcMar>
              <w:top w:type="dxa" w:w="100"/>
              <w:left w:type="dxa" w:w="140"/>
              <w:bottom w:type="dxa" w:w="100"/>
              <w:right w:type="dxa" w:w="140"/>
            </w:tcMar>
            <w:vAlign w:val="center"/>
          </w:tcPr>
          <w:p>
            <w:pPr>
              <w:spacing w:after="30" w:before="30"/>
            </w:pPr>
            <w:r>
              <w:rPr>
                <w:rFonts w:ascii="Calibri" w:cs="Calibri" w:eastAsia="Calibri" w:hAnsi="Calibri"/>
                <w:sz w:val="20"/>
                <w:szCs w:val="20"/>
              </w:rPr>
              <w:t xml:space="preserve">Generative AI regulatory shift — EU AI Act or sector-specific Irish regulation creates compliance burden</w:t>
            </w:r>
          </w:p>
        </w:tc>
        <w:tc>
          <w:tcPr>
            <w:tcBorders>
              <w:top w:val="single" w:color="B4B4B4" w:sz="4"/>
              <w:left w:val="single" w:color="B4B4B4" w:sz="4"/>
              <w:bottom w:val="single" w:color="B4B4B4" w:sz="4"/>
              <w:right w:val="single" w:color="B4B4B4" w:sz="4"/>
            </w:tcBorders>
            <w:shd w:fill="F4F6F8" w:val="clear"/>
            <w:tcMar>
              <w:top w:type="dxa" w:w="100"/>
              <w:left w:type="dxa" w:w="140"/>
              <w:bottom w:type="dxa" w:w="100"/>
              <w:right w:type="dxa" w:w="140"/>
            </w:tcMar>
            <w:vAlign w:val="center"/>
          </w:tcPr>
          <w:p>
            <w:pPr>
              <w:spacing w:after="30" w:before="30"/>
              <w:jc w:val="center"/>
            </w:pPr>
            <w:r>
              <w:rPr>
                <w:rFonts w:ascii="Calibri" w:cs="Calibri" w:eastAsia="Calibri" w:hAnsi="Calibri"/>
                <w:b/>
                <w:bCs/>
                <w:sz w:val="20"/>
                <w:szCs w:val="20"/>
              </w:rPr>
              <w:t xml:space="preserve">L × M</w:t>
            </w:r>
          </w:p>
        </w:tc>
        <w:tc>
          <w:tcPr>
            <w:tcBorders>
              <w:top w:val="single" w:color="B4B4B4" w:sz="4"/>
              <w:left w:val="single" w:color="B4B4B4" w:sz="4"/>
              <w:bottom w:val="single" w:color="B4B4B4" w:sz="4"/>
              <w:right w:val="single" w:color="B4B4B4" w:sz="4"/>
            </w:tcBorders>
            <w:shd w:fill="F4F6F8" w:val="clear"/>
            <w:tcMar>
              <w:top w:type="dxa" w:w="100"/>
              <w:left w:type="dxa" w:w="140"/>
              <w:bottom w:type="dxa" w:w="100"/>
              <w:right w:type="dxa" w:w="140"/>
            </w:tcMar>
            <w:vAlign w:val="center"/>
          </w:tcPr>
          <w:p>
            <w:pPr>
              <w:spacing w:after="30" w:before="30"/>
            </w:pPr>
            <w:r>
              <w:rPr>
                <w:rFonts w:ascii="Calibri" w:cs="Calibri" w:eastAsia="Calibri" w:hAnsi="Calibri"/>
                <w:sz w:val="20"/>
                <w:szCs w:val="20"/>
              </w:rPr>
              <w:t xml:space="preserve">Product is a 'limited-risk' category under the EU AI Act as drafted; positioning as checking tool not decision-maker keeps the product out of high-risk classification. Monitor and adapt.</w:t>
            </w:r>
          </w:p>
        </w:tc>
      </w:tr>
    </w:tbl>
    <w:p>
      <w:r>
        <w:br w:type="page"/>
      </w:r>
    </w:p>
    <w:p>
      <w:pPr>
        <w:pStyle w:val="Heading1"/>
        <w:spacing w:after="200" w:before="400"/>
      </w:pPr>
      <w:r>
        <w:rPr>
          <w:rFonts w:ascii="Calibri" w:cs="Calibri" w:eastAsia="Calibri" w:hAnsi="Calibri"/>
          <w:b/>
          <w:bCs/>
          <w:color w:val="0E3A6E"/>
          <w:sz w:val="32"/>
          <w:szCs w:val="32"/>
        </w:rPr>
        <w:t xml:space="preserve">12. Roadmap and Milestones</w:t>
      </w:r>
    </w:p>
    <w:p>
      <w:pPr>
        <w:pStyle w:val="Heading2"/>
        <w:spacing w:after="140" w:before="280"/>
      </w:pPr>
      <w:r>
        <w:rPr>
          <w:rFonts w:ascii="Calibri" w:cs="Calibri" w:eastAsia="Calibri" w:hAnsi="Calibri"/>
          <w:b/>
          <w:bCs/>
          <w:color w:val="1A1A1A"/>
          <w:sz w:val="26"/>
          <w:szCs w:val="26"/>
        </w:rPr>
        <w:t xml:space="preserve">12.1 90-day MVP plan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5246"/>
      </w:tblGrid>
      <w:tr>
        <w:trPr>
          <w:tblHeader/>
        </w:trPr>
        <w:tc>
          <w:tcPr>
            <w:tcW w:type="dxa" w:w="1500"/>
            <w:tcBorders>
              <w:top w:val="single" w:color="B4B4B4" w:sz="4"/>
              <w:left w:val="single" w:color="B4B4B4" w:sz="4"/>
              <w:bottom w:val="single" w:color="B4B4B4" w:sz="4"/>
              <w:right w:val="single" w:color="B4B4B4" w:sz="4"/>
            </w:tcBorders>
            <w:shd w:fill="0E3A6E" w:val="clear"/>
            <w:tcMar>
              <w:top w:type="dxa" w:w="100"/>
              <w:left w:type="dxa" w:w="140"/>
              <w:bottom w:type="dxa" w:w="100"/>
              <w:right w:type="dxa" w:w="140"/>
            </w:tcMar>
            <w:vAlign w:val="center"/>
          </w:tcPr>
          <w:p>
            <w:pPr>
              <w:spacing w:after="30" w:before="30"/>
            </w:pPr>
            <w:r>
              <w:rPr>
                <w:rFonts w:ascii="Calibri" w:cs="Calibri" w:eastAsia="Calibri" w:hAnsi="Calibri"/>
                <w:b/>
                <w:bCs/>
                <w:color w:val="FFFFFF"/>
                <w:sz w:val="20"/>
                <w:szCs w:val="20"/>
              </w:rPr>
              <w:t xml:space="preserve">Week</w:t>
            </w:r>
          </w:p>
        </w:tc>
        <w:tc>
          <w:tcPr>
            <w:tcW w:type="dxa" w:w="3000"/>
            <w:tcBorders>
              <w:top w:val="single" w:color="B4B4B4" w:sz="4"/>
              <w:left w:val="single" w:color="B4B4B4" w:sz="4"/>
              <w:bottom w:val="single" w:color="B4B4B4" w:sz="4"/>
              <w:right w:val="single" w:color="B4B4B4" w:sz="4"/>
            </w:tcBorders>
            <w:shd w:fill="0E3A6E" w:val="clear"/>
            <w:tcMar>
              <w:top w:type="dxa" w:w="100"/>
              <w:left w:type="dxa" w:w="140"/>
              <w:bottom w:type="dxa" w:w="100"/>
              <w:right w:type="dxa" w:w="140"/>
            </w:tcMar>
            <w:vAlign w:val="center"/>
          </w:tcPr>
          <w:p>
            <w:pPr>
              <w:spacing w:after="30" w:before="30"/>
            </w:pPr>
            <w:r>
              <w:rPr>
                <w:rFonts w:ascii="Calibri" w:cs="Calibri" w:eastAsia="Calibri" w:hAnsi="Calibri"/>
                <w:b/>
                <w:bCs/>
                <w:color w:val="FFFFFF"/>
                <w:sz w:val="20"/>
                <w:szCs w:val="20"/>
              </w:rPr>
              <w:t xml:space="preserve">Build</w:t>
            </w:r>
          </w:p>
        </w:tc>
        <w:tc>
          <w:tcPr>
            <w:tcW w:type="dxa" w:w="5246"/>
            <w:tcBorders>
              <w:top w:val="single" w:color="B4B4B4" w:sz="4"/>
              <w:left w:val="single" w:color="B4B4B4" w:sz="4"/>
              <w:bottom w:val="single" w:color="B4B4B4" w:sz="4"/>
              <w:right w:val="single" w:color="B4B4B4" w:sz="4"/>
            </w:tcBorders>
            <w:shd w:fill="0E3A6E" w:val="clear"/>
            <w:tcMar>
              <w:top w:type="dxa" w:w="100"/>
              <w:left w:type="dxa" w:w="140"/>
              <w:bottom w:type="dxa" w:w="100"/>
              <w:right w:type="dxa" w:w="140"/>
            </w:tcMar>
            <w:vAlign w:val="center"/>
          </w:tcPr>
          <w:p>
            <w:pPr>
              <w:spacing w:after="30" w:before="30"/>
            </w:pPr>
            <w:r>
              <w:rPr>
                <w:rFonts w:ascii="Calibri" w:cs="Calibri" w:eastAsia="Calibri" w:hAnsi="Calibri"/>
                <w:b/>
                <w:bCs/>
                <w:color w:val="FFFFFF"/>
                <w:sz w:val="20"/>
                <w:szCs w:val="20"/>
              </w:rPr>
              <w:t xml:space="preserve">Go-to-market</w:t>
            </w:r>
          </w:p>
        </w:tc>
      </w:tr>
      <w:tr>
        <w:tc>
          <w:tcPr>
            <w:tcBorders>
              <w:top w:val="single" w:color="B4B4B4" w:sz="4"/>
              <w:left w:val="single" w:color="B4B4B4" w:sz="4"/>
              <w:bottom w:val="single" w:color="B4B4B4" w:sz="4"/>
              <w:right w:val="single" w:color="B4B4B4" w:sz="4"/>
            </w:tcBorders>
            <w:tcMar>
              <w:top w:type="dxa" w:w="100"/>
              <w:left w:type="dxa" w:w="140"/>
              <w:bottom w:type="dxa" w:w="100"/>
              <w:right w:type="dxa" w:w="140"/>
            </w:tcMar>
            <w:vAlign w:val="center"/>
          </w:tcPr>
          <w:p>
            <w:pPr>
              <w:spacing w:after="30" w:before="30"/>
            </w:pPr>
            <w:r>
              <w:rPr>
                <w:rFonts w:ascii="Calibri" w:cs="Calibri" w:eastAsia="Calibri" w:hAnsi="Calibri"/>
                <w:b/>
                <w:bCs/>
                <w:sz w:val="20"/>
                <w:szCs w:val="20"/>
              </w:rPr>
              <w:t xml:space="preserve">W1-2</w:t>
            </w:r>
          </w:p>
        </w:tc>
        <w:tc>
          <w:tcPr>
            <w:tcBorders>
              <w:top w:val="single" w:color="B4B4B4" w:sz="4"/>
              <w:left w:val="single" w:color="B4B4B4" w:sz="4"/>
              <w:bottom w:val="single" w:color="B4B4B4" w:sz="4"/>
              <w:right w:val="single" w:color="B4B4B4" w:sz="4"/>
            </w:tcBorders>
            <w:tcMar>
              <w:top w:type="dxa" w:w="100"/>
              <w:left w:type="dxa" w:w="140"/>
              <w:bottom w:type="dxa" w:w="100"/>
              <w:right w:type="dxa" w:w="140"/>
            </w:tcMar>
            <w:vAlign w:val="center"/>
          </w:tcPr>
          <w:p>
            <w:pPr>
              <w:spacing w:after="30" w:before="30"/>
            </w:pPr>
            <w:r>
              <w:rPr>
                <w:rFonts w:ascii="Calibri" w:cs="Calibri" w:eastAsia="Calibri" w:hAnsi="Calibri"/>
                <w:sz w:val="20"/>
                <w:szCs w:val="20"/>
              </w:rPr>
              <w:t xml:space="preserve">Brand, domain, hosting, GitHub, Convex project, Vercel project, Stripe account</w:t>
            </w:r>
          </w:p>
        </w:tc>
        <w:tc>
          <w:tcPr>
            <w:tcBorders>
              <w:top w:val="single" w:color="B4B4B4" w:sz="4"/>
              <w:left w:val="single" w:color="B4B4B4" w:sz="4"/>
              <w:bottom w:val="single" w:color="B4B4B4" w:sz="4"/>
              <w:right w:val="single" w:color="B4B4B4" w:sz="4"/>
            </w:tcBorders>
            <w:tcMar>
              <w:top w:type="dxa" w:w="100"/>
              <w:left w:type="dxa" w:w="140"/>
              <w:bottom w:type="dxa" w:w="100"/>
              <w:right w:type="dxa" w:w="140"/>
            </w:tcMar>
            <w:vAlign w:val="center"/>
          </w:tcPr>
          <w:p>
            <w:pPr>
              <w:spacing w:after="30" w:before="30"/>
            </w:pPr>
            <w:r>
              <w:rPr>
                <w:rFonts w:ascii="Calibri" w:cs="Calibri" w:eastAsia="Calibri" w:hAnsi="Calibri"/>
                <w:sz w:val="20"/>
                <w:szCs w:val="20"/>
              </w:rPr>
              <w:t xml:space="preserve">Customer-discovery calls with 8-12 senior design partners and pre-con directors</w:t>
            </w:r>
          </w:p>
        </w:tc>
      </w:tr>
      <w:tr>
        <w:tc>
          <w:tcPr>
            <w:tcBorders>
              <w:top w:val="single" w:color="B4B4B4" w:sz="4"/>
              <w:left w:val="single" w:color="B4B4B4" w:sz="4"/>
              <w:bottom w:val="single" w:color="B4B4B4" w:sz="4"/>
              <w:right w:val="single" w:color="B4B4B4" w:sz="4"/>
            </w:tcBorders>
            <w:shd w:fill="F4F6F8" w:val="clear"/>
            <w:tcMar>
              <w:top w:type="dxa" w:w="100"/>
              <w:left w:type="dxa" w:w="140"/>
              <w:bottom w:type="dxa" w:w="100"/>
              <w:right w:type="dxa" w:w="140"/>
            </w:tcMar>
            <w:vAlign w:val="center"/>
          </w:tcPr>
          <w:p>
            <w:pPr>
              <w:spacing w:after="30" w:before="30"/>
            </w:pPr>
            <w:r>
              <w:rPr>
                <w:rFonts w:ascii="Calibri" w:cs="Calibri" w:eastAsia="Calibri" w:hAnsi="Calibri"/>
                <w:b/>
                <w:bCs/>
                <w:sz w:val="20"/>
                <w:szCs w:val="20"/>
              </w:rPr>
              <w:t xml:space="preserve">W3-4</w:t>
            </w:r>
          </w:p>
        </w:tc>
        <w:tc>
          <w:tcPr>
            <w:tcBorders>
              <w:top w:val="single" w:color="B4B4B4" w:sz="4"/>
              <w:left w:val="single" w:color="B4B4B4" w:sz="4"/>
              <w:bottom w:val="single" w:color="B4B4B4" w:sz="4"/>
              <w:right w:val="single" w:color="B4B4B4" w:sz="4"/>
            </w:tcBorders>
            <w:shd w:fill="F4F6F8" w:val="clear"/>
            <w:tcMar>
              <w:top w:type="dxa" w:w="100"/>
              <w:left w:type="dxa" w:w="140"/>
              <w:bottom w:type="dxa" w:w="100"/>
              <w:right w:type="dxa" w:w="140"/>
            </w:tcMar>
            <w:vAlign w:val="center"/>
          </w:tcPr>
          <w:p>
            <w:pPr>
              <w:spacing w:after="30" w:before="30"/>
            </w:pPr>
            <w:r>
              <w:rPr>
                <w:rFonts w:ascii="Calibri" w:cs="Calibri" w:eastAsia="Calibri" w:hAnsi="Calibri"/>
                <w:sz w:val="20"/>
                <w:szCs w:val="20"/>
              </w:rPr>
              <w:t xml:space="preserve">Authentication, project workspace, file upload, pack metadata extraction</w:t>
            </w:r>
          </w:p>
        </w:tc>
        <w:tc>
          <w:tcPr>
            <w:tcBorders>
              <w:top w:val="single" w:color="B4B4B4" w:sz="4"/>
              <w:left w:val="single" w:color="B4B4B4" w:sz="4"/>
              <w:bottom w:val="single" w:color="B4B4B4" w:sz="4"/>
              <w:right w:val="single" w:color="B4B4B4" w:sz="4"/>
            </w:tcBorders>
            <w:shd w:fill="F4F6F8" w:val="clear"/>
            <w:tcMar>
              <w:top w:type="dxa" w:w="100"/>
              <w:left w:type="dxa" w:w="140"/>
              <w:bottom w:type="dxa" w:w="100"/>
              <w:right w:type="dxa" w:w="140"/>
            </w:tcMar>
            <w:vAlign w:val="center"/>
          </w:tcPr>
          <w:p>
            <w:pPr>
              <w:spacing w:after="30" w:before="30"/>
            </w:pPr>
            <w:r>
              <w:rPr>
                <w:rFonts w:ascii="Calibri" w:cs="Calibri" w:eastAsia="Calibri" w:hAnsi="Calibri"/>
                <w:sz w:val="20"/>
                <w:szCs w:val="20"/>
              </w:rPr>
              <w:t xml:space="preserve">Website v1 (landing page, pricing, about, contact, ToU draft)</w:t>
            </w:r>
          </w:p>
        </w:tc>
      </w:tr>
      <w:tr>
        <w:tc>
          <w:tcPr>
            <w:tcBorders>
              <w:top w:val="single" w:color="B4B4B4" w:sz="4"/>
              <w:left w:val="single" w:color="B4B4B4" w:sz="4"/>
              <w:bottom w:val="single" w:color="B4B4B4" w:sz="4"/>
              <w:right w:val="single" w:color="B4B4B4" w:sz="4"/>
            </w:tcBorders>
            <w:tcMar>
              <w:top w:type="dxa" w:w="100"/>
              <w:left w:type="dxa" w:w="140"/>
              <w:bottom w:type="dxa" w:w="100"/>
              <w:right w:type="dxa" w:w="140"/>
            </w:tcMar>
            <w:vAlign w:val="center"/>
          </w:tcPr>
          <w:p>
            <w:pPr>
              <w:spacing w:after="30" w:before="30"/>
            </w:pPr>
            <w:r>
              <w:rPr>
                <w:rFonts w:ascii="Calibri" w:cs="Calibri" w:eastAsia="Calibri" w:hAnsi="Calibri"/>
                <w:b/>
                <w:bCs/>
                <w:sz w:val="20"/>
                <w:szCs w:val="20"/>
              </w:rPr>
              <w:t xml:space="preserve">W5-6</w:t>
            </w:r>
          </w:p>
        </w:tc>
        <w:tc>
          <w:tcPr>
            <w:tcBorders>
              <w:top w:val="single" w:color="B4B4B4" w:sz="4"/>
              <w:left w:val="single" w:color="B4B4B4" w:sz="4"/>
              <w:bottom w:val="single" w:color="B4B4B4" w:sz="4"/>
              <w:right w:val="single" w:color="B4B4B4" w:sz="4"/>
            </w:tcBorders>
            <w:tcMar>
              <w:top w:type="dxa" w:w="100"/>
              <w:left w:type="dxa" w:w="140"/>
              <w:bottom w:type="dxa" w:w="100"/>
              <w:right w:type="dxa" w:w="140"/>
            </w:tcMar>
            <w:vAlign w:val="center"/>
          </w:tcPr>
          <w:p>
            <w:pPr>
              <w:spacing w:after="30" w:before="30"/>
            </w:pPr>
            <w:r>
              <w:rPr>
                <w:rFonts w:ascii="Calibri" w:cs="Calibri" w:eastAsia="Calibri" w:hAnsi="Calibri"/>
                <w:sz w:val="20"/>
                <w:szCs w:val="20"/>
              </w:rPr>
              <w:t xml:space="preserve">Skill orchestration layer, page-range targeting, batch processing pipeline</w:t>
            </w:r>
          </w:p>
        </w:tc>
        <w:tc>
          <w:tcPr>
            <w:tcBorders>
              <w:top w:val="single" w:color="B4B4B4" w:sz="4"/>
              <w:left w:val="single" w:color="B4B4B4" w:sz="4"/>
              <w:bottom w:val="single" w:color="B4B4B4" w:sz="4"/>
              <w:right w:val="single" w:color="B4B4B4" w:sz="4"/>
            </w:tcBorders>
            <w:tcMar>
              <w:top w:type="dxa" w:w="100"/>
              <w:left w:type="dxa" w:w="140"/>
              <w:bottom w:type="dxa" w:w="100"/>
              <w:right w:type="dxa" w:w="140"/>
            </w:tcMar>
            <w:vAlign w:val="center"/>
          </w:tcPr>
          <w:p>
            <w:pPr>
              <w:spacing w:after="30" w:before="30"/>
            </w:pPr>
            <w:r>
              <w:rPr>
                <w:rFonts w:ascii="Calibri" w:cs="Calibri" w:eastAsia="Calibri" w:hAnsi="Calibri"/>
                <w:sz w:val="20"/>
                <w:szCs w:val="20"/>
              </w:rPr>
              <w:t xml:space="preserve">Anonymised case study from 27 May validation engagement (with permission)</w:t>
            </w:r>
          </w:p>
        </w:tc>
      </w:tr>
      <w:tr>
        <w:tc>
          <w:tcPr>
            <w:tcBorders>
              <w:top w:val="single" w:color="B4B4B4" w:sz="4"/>
              <w:left w:val="single" w:color="B4B4B4" w:sz="4"/>
              <w:bottom w:val="single" w:color="B4B4B4" w:sz="4"/>
              <w:right w:val="single" w:color="B4B4B4" w:sz="4"/>
            </w:tcBorders>
            <w:shd w:fill="F4F6F8" w:val="clear"/>
            <w:tcMar>
              <w:top w:type="dxa" w:w="100"/>
              <w:left w:type="dxa" w:w="140"/>
              <w:bottom w:type="dxa" w:w="100"/>
              <w:right w:type="dxa" w:w="140"/>
            </w:tcMar>
            <w:vAlign w:val="center"/>
          </w:tcPr>
          <w:p>
            <w:pPr>
              <w:spacing w:after="30" w:before="30"/>
            </w:pPr>
            <w:r>
              <w:rPr>
                <w:rFonts w:ascii="Calibri" w:cs="Calibri" w:eastAsia="Calibri" w:hAnsi="Calibri"/>
                <w:b/>
                <w:bCs/>
                <w:sz w:val="20"/>
                <w:szCs w:val="20"/>
              </w:rPr>
              <w:t xml:space="preserve">W7-8</w:t>
            </w:r>
          </w:p>
        </w:tc>
        <w:tc>
          <w:tcPr>
            <w:tcBorders>
              <w:top w:val="single" w:color="B4B4B4" w:sz="4"/>
              <w:left w:val="single" w:color="B4B4B4" w:sz="4"/>
              <w:bottom w:val="single" w:color="B4B4B4" w:sz="4"/>
              <w:right w:val="single" w:color="B4B4B4" w:sz="4"/>
            </w:tcBorders>
            <w:shd w:fill="F4F6F8" w:val="clear"/>
            <w:tcMar>
              <w:top w:type="dxa" w:w="100"/>
              <w:left w:type="dxa" w:w="140"/>
              <w:bottom w:type="dxa" w:w="100"/>
              <w:right w:type="dxa" w:w="140"/>
            </w:tcMar>
            <w:vAlign w:val="center"/>
          </w:tcPr>
          <w:p>
            <w:pPr>
              <w:spacing w:after="30" w:before="30"/>
            </w:pPr>
            <w:r>
              <w:rPr>
                <w:rFonts w:ascii="Calibri" w:cs="Calibri" w:eastAsia="Calibri" w:hAnsi="Calibri"/>
                <w:sz w:val="20"/>
                <w:szCs w:val="20"/>
              </w:rPr>
              <w:t xml:space="preserve">Findings register generator (Excel + Word), severity rollup, evidence citation</w:t>
            </w:r>
          </w:p>
        </w:tc>
        <w:tc>
          <w:tcPr>
            <w:tcBorders>
              <w:top w:val="single" w:color="B4B4B4" w:sz="4"/>
              <w:left w:val="single" w:color="B4B4B4" w:sz="4"/>
              <w:bottom w:val="single" w:color="B4B4B4" w:sz="4"/>
              <w:right w:val="single" w:color="B4B4B4" w:sz="4"/>
            </w:tcBorders>
            <w:shd w:fill="F4F6F8" w:val="clear"/>
            <w:tcMar>
              <w:top w:type="dxa" w:w="100"/>
              <w:left w:type="dxa" w:w="140"/>
              <w:bottom w:type="dxa" w:w="100"/>
              <w:right w:type="dxa" w:w="140"/>
            </w:tcMar>
            <w:vAlign w:val="center"/>
          </w:tcPr>
          <w:p>
            <w:pPr>
              <w:spacing w:after="30" w:before="30"/>
            </w:pPr>
            <w:r>
              <w:rPr>
                <w:rFonts w:ascii="Calibri" w:cs="Calibri" w:eastAsia="Calibri" w:hAnsi="Calibri"/>
                <w:sz w:val="20"/>
                <w:szCs w:val="20"/>
              </w:rPr>
              <w:t xml:space="preserve">First CPD-accredited webinar booked (RIAI / IEI), pilot customer onboarding template</w:t>
            </w:r>
          </w:p>
        </w:tc>
      </w:tr>
      <w:tr>
        <w:tc>
          <w:tcPr>
            <w:tcBorders>
              <w:top w:val="single" w:color="B4B4B4" w:sz="4"/>
              <w:left w:val="single" w:color="B4B4B4" w:sz="4"/>
              <w:bottom w:val="single" w:color="B4B4B4" w:sz="4"/>
              <w:right w:val="single" w:color="B4B4B4" w:sz="4"/>
            </w:tcBorders>
            <w:tcMar>
              <w:top w:type="dxa" w:w="100"/>
              <w:left w:type="dxa" w:w="140"/>
              <w:bottom w:type="dxa" w:w="100"/>
              <w:right w:type="dxa" w:w="140"/>
            </w:tcMar>
            <w:vAlign w:val="center"/>
          </w:tcPr>
          <w:p>
            <w:pPr>
              <w:spacing w:after="30" w:before="30"/>
            </w:pPr>
            <w:r>
              <w:rPr>
                <w:rFonts w:ascii="Calibri" w:cs="Calibri" w:eastAsia="Calibri" w:hAnsi="Calibri"/>
                <w:b/>
                <w:bCs/>
                <w:sz w:val="20"/>
                <w:szCs w:val="20"/>
              </w:rPr>
              <w:t xml:space="preserve">W9-10</w:t>
            </w:r>
          </w:p>
        </w:tc>
        <w:tc>
          <w:tcPr>
            <w:tcBorders>
              <w:top w:val="single" w:color="B4B4B4" w:sz="4"/>
              <w:left w:val="single" w:color="B4B4B4" w:sz="4"/>
              <w:bottom w:val="single" w:color="B4B4B4" w:sz="4"/>
              <w:right w:val="single" w:color="B4B4B4" w:sz="4"/>
            </w:tcBorders>
            <w:tcMar>
              <w:top w:type="dxa" w:w="100"/>
              <w:left w:type="dxa" w:w="140"/>
              <w:bottom w:type="dxa" w:w="100"/>
              <w:right w:type="dxa" w:w="140"/>
            </w:tcMar>
            <w:vAlign w:val="center"/>
          </w:tcPr>
          <w:p>
            <w:pPr>
              <w:spacing w:after="30" w:before="30"/>
            </w:pPr>
            <w:r>
              <w:rPr>
                <w:rFonts w:ascii="Calibri" w:cs="Calibri" w:eastAsia="Calibri" w:hAnsi="Calibri"/>
                <w:sz w:val="20"/>
                <w:szCs w:val="20"/>
              </w:rPr>
              <w:t xml:space="preserve">Stripe billing, per-check checkout, subscription management, customer dashboard</w:t>
            </w:r>
          </w:p>
        </w:tc>
        <w:tc>
          <w:tcPr>
            <w:tcBorders>
              <w:top w:val="single" w:color="B4B4B4" w:sz="4"/>
              <w:left w:val="single" w:color="B4B4B4" w:sz="4"/>
              <w:bottom w:val="single" w:color="B4B4B4" w:sz="4"/>
              <w:right w:val="single" w:color="B4B4B4" w:sz="4"/>
            </w:tcBorders>
            <w:tcMar>
              <w:top w:type="dxa" w:w="100"/>
              <w:left w:type="dxa" w:w="140"/>
              <w:bottom w:type="dxa" w:w="100"/>
              <w:right w:type="dxa" w:w="140"/>
            </w:tcMar>
            <w:vAlign w:val="center"/>
          </w:tcPr>
          <w:p>
            <w:pPr>
              <w:spacing w:after="30" w:before="30"/>
            </w:pPr>
            <w:r>
              <w:rPr>
                <w:rFonts w:ascii="Calibri" w:cs="Calibri" w:eastAsia="Calibri" w:hAnsi="Calibri"/>
                <w:sz w:val="20"/>
                <w:szCs w:val="20"/>
              </w:rPr>
              <w:t xml:space="preserve">First three paying customers signed (€450-€1,200 of first revenue)</w:t>
            </w:r>
          </w:p>
        </w:tc>
      </w:tr>
      <w:tr>
        <w:tc>
          <w:tcPr>
            <w:tcBorders>
              <w:top w:val="single" w:color="B4B4B4" w:sz="4"/>
              <w:left w:val="single" w:color="B4B4B4" w:sz="4"/>
              <w:bottom w:val="single" w:color="B4B4B4" w:sz="4"/>
              <w:right w:val="single" w:color="B4B4B4" w:sz="4"/>
            </w:tcBorders>
            <w:shd w:fill="F4F6F8" w:val="clear"/>
            <w:tcMar>
              <w:top w:type="dxa" w:w="100"/>
              <w:left w:type="dxa" w:w="140"/>
              <w:bottom w:type="dxa" w:w="100"/>
              <w:right w:type="dxa" w:w="140"/>
            </w:tcMar>
            <w:vAlign w:val="center"/>
          </w:tcPr>
          <w:p>
            <w:pPr>
              <w:spacing w:after="30" w:before="30"/>
            </w:pPr>
            <w:r>
              <w:rPr>
                <w:rFonts w:ascii="Calibri" w:cs="Calibri" w:eastAsia="Calibri" w:hAnsi="Calibri"/>
                <w:b/>
                <w:bCs/>
                <w:sz w:val="20"/>
                <w:szCs w:val="20"/>
              </w:rPr>
              <w:t xml:space="preserve">W11-12</w:t>
            </w:r>
          </w:p>
        </w:tc>
        <w:tc>
          <w:tcPr>
            <w:tcBorders>
              <w:top w:val="single" w:color="B4B4B4" w:sz="4"/>
              <w:left w:val="single" w:color="B4B4B4" w:sz="4"/>
              <w:bottom w:val="single" w:color="B4B4B4" w:sz="4"/>
              <w:right w:val="single" w:color="B4B4B4" w:sz="4"/>
            </w:tcBorders>
            <w:shd w:fill="F4F6F8" w:val="clear"/>
            <w:tcMar>
              <w:top w:type="dxa" w:w="100"/>
              <w:left w:type="dxa" w:w="140"/>
              <w:bottom w:type="dxa" w:w="100"/>
              <w:right w:type="dxa" w:w="140"/>
            </w:tcMar>
            <w:vAlign w:val="center"/>
          </w:tcPr>
          <w:p>
            <w:pPr>
              <w:spacing w:after="30" w:before="30"/>
            </w:pPr>
            <w:r>
              <w:rPr>
                <w:rFonts w:ascii="Calibri" w:cs="Calibri" w:eastAsia="Calibri" w:hAnsi="Calibri"/>
                <w:sz w:val="20"/>
                <w:szCs w:val="20"/>
              </w:rPr>
              <w:t xml:space="preserve">Quality regression suite, telemetry, automated cost monitoring, hardening</w:t>
            </w:r>
          </w:p>
        </w:tc>
        <w:tc>
          <w:tcPr>
            <w:tcBorders>
              <w:top w:val="single" w:color="B4B4B4" w:sz="4"/>
              <w:left w:val="single" w:color="B4B4B4" w:sz="4"/>
              <w:bottom w:val="single" w:color="B4B4B4" w:sz="4"/>
              <w:right w:val="single" w:color="B4B4B4" w:sz="4"/>
            </w:tcBorders>
            <w:shd w:fill="F4F6F8" w:val="clear"/>
            <w:tcMar>
              <w:top w:type="dxa" w:w="100"/>
              <w:left w:type="dxa" w:w="140"/>
              <w:bottom w:type="dxa" w:w="100"/>
              <w:right w:type="dxa" w:w="140"/>
            </w:tcMar>
            <w:vAlign w:val="center"/>
          </w:tcPr>
          <w:p>
            <w:pPr>
              <w:spacing w:after="30" w:before="30"/>
            </w:pPr>
            <w:r>
              <w:rPr>
                <w:rFonts w:ascii="Calibri" w:cs="Calibri" w:eastAsia="Calibri" w:hAnsi="Calibri"/>
                <w:sz w:val="20"/>
                <w:szCs w:val="20"/>
              </w:rPr>
              <w:t xml:space="preserve">Soft public launch via LinkedIn and RIAI Practice Series. Target 10 paying customers and €2k MRR by end of week 12.</w:t>
            </w:r>
          </w:p>
        </w:tc>
      </w:tr>
    </w:tbl>
    <w:p>
      <w:pPr>
        <w:pStyle w:val="Heading2"/>
        <w:spacing w:after="140" w:before="280"/>
      </w:pPr>
      <w:r>
        <w:rPr>
          <w:rFonts w:ascii="Calibri" w:cs="Calibri" w:eastAsia="Calibri" w:hAnsi="Calibri"/>
          <w:b/>
          <w:bCs/>
          <w:color w:val="1A1A1A"/>
          <w:sz w:val="26"/>
          <w:szCs w:val="26"/>
        </w:rPr>
        <w:t xml:space="preserve">12.2 12-month milestones</w:t>
      </w:r>
    </w:p>
    <w:p>
      <w:pPr>
        <w:pStyle w:val="ListParagraph"/>
        <w:numPr>
          <w:ilvl w:val="0"/>
          <w:numId w:val="2"/>
        </w:numPr>
        <w:spacing w:after="30" w:before="30"/>
      </w:pPr>
      <w:r>
        <w:rPr>
          <w:rFonts w:ascii="Calibri" w:cs="Calibri" w:eastAsia="Calibri" w:hAnsi="Calibri"/>
          <w:sz w:val="22"/>
          <w:szCs w:val="22"/>
        </w:rPr>
        <w:t xml:space="preserve">Month 3 — MVP live, 5+ pilot customers, first €5k of revenue.</w:t>
      </w:r>
    </w:p>
    <w:p>
      <w:pPr>
        <w:pStyle w:val="ListParagraph"/>
        <w:numPr>
          <w:ilvl w:val="0"/>
          <w:numId w:val="2"/>
        </w:numPr>
        <w:spacing w:after="30" w:before="30"/>
      </w:pPr>
      <w:r>
        <w:rPr>
          <w:rFonts w:ascii="Calibri" w:cs="Calibri" w:eastAsia="Calibri" w:hAnsi="Calibri"/>
          <w:sz w:val="22"/>
          <w:szCs w:val="22"/>
        </w:rPr>
        <w:t xml:space="preserve">Month 6 — 30+ paying customers, €8k+ MRR, first Subscription customer.</w:t>
      </w:r>
    </w:p>
    <w:p>
      <w:pPr>
        <w:pStyle w:val="ListParagraph"/>
        <w:numPr>
          <w:ilvl w:val="0"/>
          <w:numId w:val="2"/>
        </w:numPr>
        <w:spacing w:after="30" w:before="30"/>
      </w:pPr>
      <w:r>
        <w:rPr>
          <w:rFonts w:ascii="Calibri" w:cs="Calibri" w:eastAsia="Calibri" w:hAnsi="Calibri"/>
          <w:sz w:val="22"/>
          <w:szCs w:val="22"/>
        </w:rPr>
        <w:t xml:space="preserve">Month 9 — 60+ paying customers, €15k+ MRR, first Programme-tier conversation with Employer-side buyer.</w:t>
      </w:r>
    </w:p>
    <w:p>
      <w:pPr>
        <w:pStyle w:val="ListParagraph"/>
        <w:numPr>
          <w:ilvl w:val="0"/>
          <w:numId w:val="2"/>
        </w:numPr>
        <w:spacing w:after="30" w:before="30"/>
      </w:pPr>
      <w:r>
        <w:rPr>
          <w:rFonts w:ascii="Calibri" w:cs="Calibri" w:eastAsia="Calibri" w:hAnsi="Calibri"/>
          <w:sz w:val="22"/>
          <w:szCs w:val="22"/>
        </w:rPr>
        <w:t xml:space="preserve">Month 12 — 100+ paying customers, €20k+ MRR, first signed Programme deal.</w:t>
      </w:r>
    </w:p>
    <w:p>
      <w:r>
        <w:br w:type="page"/>
      </w:r>
    </w:p>
    <w:p>
      <w:pPr>
        <w:pStyle w:val="Heading1"/>
        <w:spacing w:after="200" w:before="400"/>
      </w:pPr>
      <w:r>
        <w:rPr>
          <w:rFonts w:ascii="Calibri" w:cs="Calibri" w:eastAsia="Calibri" w:hAnsi="Calibri"/>
          <w:b/>
          <w:bCs/>
          <w:color w:val="0E3A6E"/>
          <w:sz w:val="32"/>
          <w:szCs w:val="32"/>
        </w:rPr>
        <w:t xml:space="preserve">13. Appendices</w:t>
      </w:r>
    </w:p>
    <w:p>
      <w:pPr>
        <w:pStyle w:val="Heading2"/>
        <w:spacing w:after="140" w:before="280"/>
      </w:pPr>
      <w:r>
        <w:rPr>
          <w:rFonts w:ascii="Calibri" w:cs="Calibri" w:eastAsia="Calibri" w:hAnsi="Calibri"/>
          <w:b/>
          <w:bCs/>
          <w:color w:val="1A1A1A"/>
          <w:sz w:val="26"/>
          <w:szCs w:val="26"/>
        </w:rPr>
        <w:t xml:space="preserve">Appendix A — Validation engagement summary</w:t>
      </w:r>
    </w:p>
    <w:p>
      <w:pPr>
        <w:spacing w:after="80" w:before="80"/>
      </w:pPr>
      <w:r>
        <w:rPr>
          <w:rFonts w:ascii="Calibri" w:cs="Calibri" w:eastAsia="Calibri" w:hAnsi="Calibri"/>
          <w:sz w:val="22"/>
          <w:szCs w:val="22"/>
        </w:rPr>
        <w:t xml:space="preserve">Full evidence base from the 27 May 2026 validation engagement is maintained in the project workspace at C:\Users\gavin\Documents\Claude\Projects\57 Rathbeale Road Design Review, including:</w:t>
      </w:r>
    </w:p>
    <w:p>
      <w:pPr>
        <w:pStyle w:val="ListParagraph"/>
        <w:numPr>
          <w:ilvl w:val="0"/>
          <w:numId w:val="2"/>
        </w:numPr>
        <w:spacing w:after="30" w:before="30"/>
      </w:pPr>
      <w:r>
        <w:rPr>
          <w:rFonts w:ascii="Calibri" w:cs="Calibri" w:eastAsia="Calibri" w:hAnsi="Calibri"/>
          <w:sz w:val="22"/>
          <w:szCs w:val="22"/>
        </w:rPr>
        <w:t xml:space="preserve">Findings Register v0.8 (Scan View).xlsx — 327 findings, scannable layout, element + standard tags.</w:t>
      </w:r>
    </w:p>
    <w:p>
      <w:pPr>
        <w:pStyle w:val="ListParagraph"/>
        <w:numPr>
          <w:ilvl w:val="0"/>
          <w:numId w:val="2"/>
        </w:numPr>
        <w:spacing w:after="30" w:before="30"/>
      </w:pPr>
      <w:r>
        <w:rPr>
          <w:rFonts w:ascii="Calibri" w:cs="Calibri" w:eastAsia="Calibri" w:hAnsi="Calibri"/>
          <w:sz w:val="22"/>
          <w:szCs w:val="22"/>
        </w:rPr>
        <w:t xml:space="preserve">Pack Manifest — Stage 2C (Day 1).xlsx — 161-file inventory and gap analysis.</w:t>
      </w:r>
    </w:p>
    <w:p>
      <w:pPr>
        <w:pStyle w:val="ListParagraph"/>
        <w:numPr>
          <w:ilvl w:val="0"/>
          <w:numId w:val="2"/>
        </w:numPr>
        <w:spacing w:after="30" w:before="30"/>
      </w:pPr>
      <w:r>
        <w:rPr>
          <w:rFonts w:ascii="Calibri" w:cs="Calibri" w:eastAsia="Calibri" w:hAnsi="Calibri"/>
          <w:sz w:val="22"/>
          <w:szCs w:val="22"/>
        </w:rPr>
        <w:t xml:space="preserve">findings_v07_removed.json — audit trail of findings filtered out following project-scope correction.</w:t>
      </w:r>
    </w:p>
    <w:p>
      <w:pPr>
        <w:pStyle w:val="Heading2"/>
        <w:spacing w:after="140" w:before="280"/>
      </w:pPr>
      <w:r>
        <w:rPr>
          <w:rFonts w:ascii="Calibri" w:cs="Calibri" w:eastAsia="Calibri" w:hAnsi="Calibri"/>
          <w:b/>
          <w:bCs/>
          <w:color w:val="1A1A1A"/>
          <w:sz w:val="26"/>
          <w:szCs w:val="26"/>
        </w:rPr>
        <w:t xml:space="preserve">Appendix B — Glossary</w:t>
      </w:r>
    </w:p>
    <w:p>
      <w:pPr>
        <w:pStyle w:val="ListParagraph"/>
        <w:numPr>
          <w:ilvl w:val="0"/>
          <w:numId w:val="2"/>
        </w:numPr>
        <w:spacing w:after="30" w:before="30"/>
      </w:pPr>
      <w:r>
        <w:rPr>
          <w:rFonts w:ascii="Calibri" w:cs="Calibri" w:eastAsia="Calibri" w:hAnsi="Calibri"/>
          <w:sz w:val="22"/>
          <w:szCs w:val="22"/>
        </w:rPr>
        <w:t xml:space="preserve">ARM4 — Construction Procurement: Method and Procedure Document, the CWMF construction procurement guidance, supplement 1 issue 2.</w:t>
      </w:r>
    </w:p>
    <w:p>
      <w:pPr>
        <w:pStyle w:val="ListParagraph"/>
        <w:numPr>
          <w:ilvl w:val="0"/>
          <w:numId w:val="2"/>
        </w:numPr>
        <w:spacing w:after="30" w:before="30"/>
      </w:pPr>
      <w:r>
        <w:rPr>
          <w:rFonts w:ascii="Calibri" w:cs="Calibri" w:eastAsia="Calibri" w:hAnsi="Calibri"/>
          <w:sz w:val="22"/>
          <w:szCs w:val="22"/>
        </w:rPr>
        <w:t xml:space="preserve">Assigned Certifier — BCAR SI 9/2014 role; chartered professional who certifies the works comply with the design and the building regulations.</w:t>
      </w:r>
    </w:p>
    <w:p>
      <w:pPr>
        <w:pStyle w:val="ListParagraph"/>
        <w:numPr>
          <w:ilvl w:val="0"/>
          <w:numId w:val="2"/>
        </w:numPr>
        <w:spacing w:after="30" w:before="30"/>
      </w:pPr>
      <w:r>
        <w:rPr>
          <w:rFonts w:ascii="Calibri" w:cs="Calibri" w:eastAsia="Calibri" w:hAnsi="Calibri"/>
          <w:sz w:val="22"/>
          <w:szCs w:val="22"/>
        </w:rPr>
        <w:t xml:space="preserve">BCAR — Building Control Amendment Regulations, SI 9/2014; the Irish statutory regime requiring assignment of Design Certifier and Assigned Certifier on regulated building works.</w:t>
      </w:r>
    </w:p>
    <w:p>
      <w:pPr>
        <w:pStyle w:val="ListParagraph"/>
        <w:numPr>
          <w:ilvl w:val="0"/>
          <w:numId w:val="2"/>
        </w:numPr>
        <w:spacing w:after="30" w:before="30"/>
      </w:pPr>
      <w:r>
        <w:rPr>
          <w:rFonts w:ascii="Calibri" w:cs="Calibri" w:eastAsia="Calibri" w:hAnsi="Calibri"/>
          <w:sz w:val="22"/>
          <w:szCs w:val="22"/>
        </w:rPr>
        <w:t xml:space="preserve">CWMF — Capital Works Management Framework; the Irish public-sector capital procurement framework.</w:t>
      </w:r>
    </w:p>
    <w:p>
      <w:pPr>
        <w:pStyle w:val="ListParagraph"/>
        <w:numPr>
          <w:ilvl w:val="0"/>
          <w:numId w:val="2"/>
        </w:numPr>
        <w:spacing w:after="30" w:before="30"/>
      </w:pPr>
      <w:r>
        <w:rPr>
          <w:rFonts w:ascii="Calibri" w:cs="Calibri" w:eastAsia="Calibri" w:hAnsi="Calibri"/>
          <w:sz w:val="22"/>
          <w:szCs w:val="22"/>
        </w:rPr>
        <w:t xml:space="preserve">DAC — Disability Access Certificate; statutory certification under Part 3 of the Building Control Regulations.</w:t>
      </w:r>
    </w:p>
    <w:p>
      <w:pPr>
        <w:pStyle w:val="ListParagraph"/>
        <w:numPr>
          <w:ilvl w:val="0"/>
          <w:numId w:val="2"/>
        </w:numPr>
        <w:spacing w:after="30" w:before="30"/>
      </w:pPr>
      <w:r>
        <w:rPr>
          <w:rFonts w:ascii="Calibri" w:cs="Calibri" w:eastAsia="Calibri" w:hAnsi="Calibri"/>
          <w:sz w:val="22"/>
          <w:szCs w:val="22"/>
        </w:rPr>
        <w:t xml:space="preserve">FSC — Fire Safety Certificate; statutory certification of compliance with TGD-B under the Building Control Regulations.</w:t>
      </w:r>
    </w:p>
    <w:p>
      <w:pPr>
        <w:pStyle w:val="ListParagraph"/>
        <w:numPr>
          <w:ilvl w:val="0"/>
          <w:numId w:val="2"/>
        </w:numPr>
        <w:spacing w:after="30" w:before="30"/>
      </w:pPr>
      <w:r>
        <w:rPr>
          <w:rFonts w:ascii="Calibri" w:cs="Calibri" w:eastAsia="Calibri" w:hAnsi="Calibri"/>
          <w:sz w:val="22"/>
          <w:szCs w:val="22"/>
        </w:rPr>
        <w:t xml:space="preserve">HBN — Health Building Notes; UK NHS guidance frequently referenced in Irish HSE projects.</w:t>
      </w:r>
    </w:p>
    <w:p>
      <w:pPr>
        <w:pStyle w:val="ListParagraph"/>
        <w:numPr>
          <w:ilvl w:val="0"/>
          <w:numId w:val="2"/>
        </w:numPr>
        <w:spacing w:after="30" w:before="30"/>
      </w:pPr>
      <w:r>
        <w:rPr>
          <w:rFonts w:ascii="Calibri" w:cs="Calibri" w:eastAsia="Calibri" w:hAnsi="Calibri"/>
          <w:sz w:val="22"/>
          <w:szCs w:val="22"/>
        </w:rPr>
        <w:t xml:space="preserve">HTM — Health Technical Memoranda; UK NHS technical guidance similarly referenced.</w:t>
      </w:r>
    </w:p>
    <w:p>
      <w:pPr>
        <w:pStyle w:val="ListParagraph"/>
        <w:numPr>
          <w:ilvl w:val="0"/>
          <w:numId w:val="2"/>
        </w:numPr>
        <w:spacing w:after="30" w:before="30"/>
      </w:pPr>
      <w:r>
        <w:rPr>
          <w:rFonts w:ascii="Calibri" w:cs="Calibri" w:eastAsia="Calibri" w:hAnsi="Calibri"/>
          <w:sz w:val="22"/>
          <w:szCs w:val="22"/>
        </w:rPr>
        <w:t xml:space="preserve">OGP — Office of Government Procurement; the Irish central procurement office.</w:t>
      </w:r>
    </w:p>
    <w:p>
      <w:pPr>
        <w:pStyle w:val="ListParagraph"/>
        <w:numPr>
          <w:ilvl w:val="0"/>
          <w:numId w:val="2"/>
        </w:numPr>
        <w:spacing w:after="30" w:before="30"/>
      </w:pPr>
      <w:r>
        <w:rPr>
          <w:rFonts w:ascii="Calibri" w:cs="Calibri" w:eastAsia="Calibri" w:hAnsi="Calibri"/>
          <w:sz w:val="22"/>
          <w:szCs w:val="22"/>
        </w:rPr>
        <w:t xml:space="preserve">PW-CF — Public Works Contracts; the Irish standard form contracts (PW-CF1 through PW-CF5+) used on CWMF works.</w:t>
      </w:r>
    </w:p>
    <w:p>
      <w:pPr>
        <w:pStyle w:val="ListParagraph"/>
        <w:numPr>
          <w:ilvl w:val="0"/>
          <w:numId w:val="2"/>
        </w:numPr>
        <w:spacing w:after="30" w:before="30"/>
      </w:pPr>
      <w:r>
        <w:rPr>
          <w:rFonts w:ascii="Calibri" w:cs="Calibri" w:eastAsia="Calibri" w:hAnsi="Calibri"/>
          <w:sz w:val="22"/>
          <w:szCs w:val="22"/>
        </w:rPr>
        <w:t xml:space="preserve">S.38/39 — Section 38 and Section 39 of the Health Act 2004; the legal basis under which HSE funds non-statutory healthcare bodies.</w:t>
      </w:r>
    </w:p>
    <w:p>
      <w:pPr>
        <w:pStyle w:val="ListParagraph"/>
        <w:numPr>
          <w:ilvl w:val="0"/>
          <w:numId w:val="2"/>
        </w:numPr>
        <w:spacing w:after="30" w:before="30"/>
      </w:pPr>
      <w:r>
        <w:rPr>
          <w:rFonts w:ascii="Calibri" w:cs="Calibri" w:eastAsia="Calibri" w:hAnsi="Calibri"/>
          <w:sz w:val="22"/>
          <w:szCs w:val="22"/>
        </w:rPr>
        <w:t xml:space="preserve">SI — Statutory Instrument; the Irish form of secondary legislation.</w:t>
      </w:r>
    </w:p>
    <w:p>
      <w:pPr>
        <w:pStyle w:val="ListParagraph"/>
        <w:numPr>
          <w:ilvl w:val="0"/>
          <w:numId w:val="2"/>
        </w:numPr>
        <w:spacing w:after="30" w:before="30"/>
      </w:pPr>
      <w:r>
        <w:rPr>
          <w:rFonts w:ascii="Calibri" w:cs="Calibri" w:eastAsia="Calibri" w:hAnsi="Calibri"/>
          <w:sz w:val="22"/>
          <w:szCs w:val="22"/>
        </w:rPr>
        <w:t xml:space="preserve">TGD — Technical Guidance Document; statutory guidance under the Building Regulations, lettered A through M.</w:t>
      </w:r>
    </w:p>
    <w:p>
      <w:pPr>
        <w:pStyle w:val="Heading2"/>
        <w:spacing w:after="140" w:before="280"/>
      </w:pPr>
      <w:r>
        <w:rPr>
          <w:rFonts w:ascii="Calibri" w:cs="Calibri" w:eastAsia="Calibri" w:hAnsi="Calibri"/>
          <w:b/>
          <w:bCs/>
          <w:color w:val="1A1A1A"/>
          <w:sz w:val="26"/>
          <w:szCs w:val="26"/>
        </w:rPr>
        <w:t xml:space="preserve">Appendix C — Terms of Use principles (to be drafted with solicitor)</w:t>
      </w:r>
    </w:p>
    <w:p>
      <w:pPr>
        <w:pStyle w:val="ListParagraph"/>
        <w:numPr>
          <w:ilvl w:val="0"/>
          <w:numId w:val="2"/>
        </w:numPr>
        <w:spacing w:after="30" w:before="30"/>
      </w:pPr>
      <w:r>
        <w:rPr>
          <w:rFonts w:ascii="Calibri" w:cs="Calibri" w:eastAsia="Calibri" w:hAnsi="Calibri"/>
          <w:sz w:val="22"/>
          <w:szCs w:val="22"/>
        </w:rPr>
        <w:t xml:space="preserve">VerifIQ outputs are indicative software outputs, not professional advice.</w:t>
      </w:r>
    </w:p>
    <w:p>
      <w:pPr>
        <w:pStyle w:val="ListParagraph"/>
        <w:numPr>
          <w:ilvl w:val="0"/>
          <w:numId w:val="2"/>
        </w:numPr>
        <w:spacing w:after="30" w:before="30"/>
      </w:pPr>
      <w:r>
        <w:rPr>
          <w:rFonts w:ascii="Calibri" w:cs="Calibri" w:eastAsia="Calibri" w:hAnsi="Calibri"/>
          <w:sz w:val="22"/>
          <w:szCs w:val="22"/>
        </w:rPr>
        <w:t xml:space="preserve">Users are responsible for verification of every finding and for any decision taken based on the output.</w:t>
      </w:r>
    </w:p>
    <w:p>
      <w:pPr>
        <w:pStyle w:val="ListParagraph"/>
        <w:numPr>
          <w:ilvl w:val="0"/>
          <w:numId w:val="2"/>
        </w:numPr>
        <w:spacing w:after="30" w:before="30"/>
      </w:pPr>
      <w:r>
        <w:rPr>
          <w:rFonts w:ascii="Calibri" w:cs="Calibri" w:eastAsia="Calibri" w:hAnsi="Calibri"/>
          <w:sz w:val="22"/>
          <w:szCs w:val="22"/>
        </w:rPr>
        <w:t xml:space="preserve">VerifIQ makes no representation or warranty of fitness for purpose, compliance, completeness, accuracy or reliability.</w:t>
      </w:r>
    </w:p>
    <w:p>
      <w:pPr>
        <w:pStyle w:val="ListParagraph"/>
        <w:numPr>
          <w:ilvl w:val="0"/>
          <w:numId w:val="2"/>
        </w:numPr>
        <w:spacing w:after="30" w:before="30"/>
      </w:pPr>
      <w:r>
        <w:rPr>
          <w:rFonts w:ascii="Calibri" w:cs="Calibri" w:eastAsia="Calibri" w:hAnsi="Calibri"/>
          <w:sz w:val="22"/>
          <w:szCs w:val="22"/>
        </w:rPr>
        <w:t xml:space="preserve">Liability of VerifIQ to a user is limited to the fees paid by that user in the 12 months preceding the claim, save where mandatory consumer law provides otherwise.</w:t>
      </w:r>
    </w:p>
    <w:p>
      <w:pPr>
        <w:pStyle w:val="ListParagraph"/>
        <w:numPr>
          <w:ilvl w:val="0"/>
          <w:numId w:val="2"/>
        </w:numPr>
        <w:spacing w:after="30" w:before="30"/>
      </w:pPr>
      <w:r>
        <w:rPr>
          <w:rFonts w:ascii="Calibri" w:cs="Calibri" w:eastAsia="Calibri" w:hAnsi="Calibri"/>
          <w:sz w:val="22"/>
          <w:szCs w:val="22"/>
        </w:rPr>
        <w:t xml:space="preserve">Customer data is hosted in EU regions only; sub-processors are listed and updated in a publicly accessible register; data retention follows the published policy.</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746"/>
      </w:tabs>
    </w:pPr>
    <w:r>
      <w:rPr>
        <w:rFonts w:ascii="Calibri" w:cs="Calibri" w:eastAsia="Calibri" w:hAnsi="Calibri"/>
        <w:color w:val="5A5A5A"/>
        <w:sz w:val="18"/>
        <w:szCs w:val="18"/>
      </w:rPr>
      <w:t xml:space="preserve">© VerifIQ / GovIQ. Working draft — not for external circulation.</w:t>
    </w:r>
    <w:r>
      <w:rPr>
        <w:rFonts w:ascii="Calibri" w:cs="Calibri" w:eastAsia="Calibri" w:hAnsi="Calibri"/>
        <w:color w:val="5A5A5A"/>
        <w:sz w:val="18"/>
        <w:szCs w:val="18"/>
      </w:rPr>
      <w:t xml:space="preserve">	Page </w:t>
    </w:r>
    <w:r>
      <w:rPr>
        <w:rFonts w:ascii="Calibri" w:cs="Calibri" w:eastAsia="Calibri" w:hAnsi="Calibri"/>
        <w:color w:val="5A5A5A"/>
        <w:sz w:val="18"/>
        <w:szCs w:val="18"/>
      </w:rPr>
      <w:fldChar w:fldCharType="begin"/>
      <w:instrText xml:space="preserve">PAGE</w:instrText>
      <w:fldChar w:fldCharType="separate"/>
      <w:fldChar w:fldCharType="end"/>
    </w:r>
    <w:r>
      <w:rPr>
        <w:rFonts w:ascii="Calibri" w:cs="Calibri" w:eastAsia="Calibri" w:hAnsi="Calibri"/>
        <w:color w:val="5A5A5A"/>
        <w:sz w:val="18"/>
        <w:szCs w:val="18"/>
      </w:rPr>
      <w:t xml:space="preserve"> of </w:t>
    </w:r>
    <w:r>
      <w:rPr>
        <w:rFonts w:ascii="Calibri" w:cs="Calibri" w:eastAsia="Calibri" w:hAnsi="Calibri"/>
        <w:color w:val="5A5A5A"/>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746"/>
      </w:tabs>
    </w:pPr>
    <w:r>
      <w:rPr>
        <w:rFonts w:ascii="Calibri" w:cs="Calibri" w:eastAsia="Calibri" w:hAnsi="Calibri"/>
        <w:color w:val="5A5A5A"/>
        <w:sz w:val="18"/>
        <w:szCs w:val="18"/>
      </w:rPr>
      <w:t xml:space="preserve">VerifIQ — Feasibility Study and Business Plan</w:t>
    </w:r>
    <w:r>
      <w:rPr>
        <w:rFonts w:ascii="Calibri" w:cs="Calibri" w:eastAsia="Calibri" w:hAnsi="Calibri"/>
        <w:color w:val="5A5A5A"/>
        <w:sz w:val="18"/>
        <w:szCs w:val="18"/>
      </w:rPr>
      <w:t xml:space="preserve">	v0.1  ·  27-May-2026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Calibri" w:cs="Calibri" w:eastAsia="Calibri" w:hAnsi="Calibri"/>
      <w:b/>
      <w:bCs/>
      <w:color w:val="0E3A6E"/>
      <w:sz w:val="32"/>
      <w:szCs w:val="32"/>
    </w:rPr>
  </w:style>
  <w:style w:type="paragraph" w:styleId="Heading2">
    <w:name w:val="Heading 2"/>
    <w:basedOn w:val="Normal"/>
    <w:next w:val="Normal"/>
    <w:qFormat/>
    <w:pPr>
      <w:spacing w:after="140" w:before="280"/>
      <w:outlineLvl w:val="1"/>
    </w:pPr>
    <w:rPr>
      <w:rFonts w:ascii="Calibri" w:cs="Calibri" w:eastAsia="Calibri" w:hAnsi="Calibri"/>
      <w:b/>
      <w:bCs/>
      <w:color w:val="1A1A1A"/>
      <w:sz w:val="26"/>
      <w:szCs w:val="26"/>
    </w:rPr>
  </w:style>
  <w:style w:type="paragraph" w:styleId="Heading3">
    <w:name w:val="Heading 3"/>
    <w:basedOn w:val="Normal"/>
    <w:next w:val="Normal"/>
    <w:qFormat/>
    <w:pPr>
      <w:spacing w:after="100" w:before="200"/>
      <w:outlineLvl w:val="2"/>
    </w:pPr>
    <w:rPr>
      <w:rFonts w:ascii="Calibri" w:cs="Calibri" w:eastAsia="Calibri" w:hAnsi="Calibri"/>
      <w:b/>
      <w:bCs/>
      <w:color w:val="0E3A6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VerifIQ — Feasibility Study and Business Plan v0.1</dc:title>
  <dc:creator>VerifIQ / GovIQ</dc:creator>
  <dc:description>Working draft feasibility study and business plan for VerifIQ checking system</dc:description>
  <cp:lastModifiedBy>Un-named</cp:lastModifiedBy>
  <cp:revision>1</cp:revision>
  <dcterms:created xsi:type="dcterms:W3CDTF">2026-05-29T15:43:59.188Z</dcterms:created>
  <dcterms:modified xsi:type="dcterms:W3CDTF">2026-05-29T15:43:59.188Z</dcterms:modified>
</cp:coreProperties>
</file>

<file path=docProps/custom.xml><?xml version="1.0" encoding="utf-8"?>
<Properties xmlns="http://schemas.openxmlformats.org/officeDocument/2006/custom-properties" xmlns:vt="http://schemas.openxmlformats.org/officeDocument/2006/docPropsVTypes"/>
</file>