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0E3A6E"/>
          <w:sz w:val="96"/>
          <w:szCs w:val="96"/>
        </w:rPr>
        <w:t xml:space="preserve">VerifIQ</w:t>
      </w:r>
    </w:p>
    <w:p>
      <w:pPr>
        <w:spacing w:after="200" w:before="0"/>
        <w:jc w:val="center"/>
      </w:pPr>
      <w:r>
        <w:rPr>
          <w:rFonts w:ascii="Calibri" w:cs="Calibri" w:eastAsia="Calibri" w:hAnsi="Calibri"/>
          <w:i/>
          <w:iCs/>
          <w:color w:val="5A5A5A"/>
          <w:sz w:val="32"/>
          <w:szCs w:val="32"/>
        </w:rPr>
        <w:t xml:space="preserve">Find tender pack issues faster.</w:t>
      </w:r>
    </w:p>
    <w:p>
      <w:pPr>
        <w:spacing w:after="80" w:before="200"/>
        <w:jc w:val="center"/>
      </w:pPr>
      <w:r>
        <w:rPr>
          <w:rFonts w:ascii="Calibri" w:cs="Calibri" w:eastAsia="Calibri" w:hAnsi="Calibri"/>
          <w:color w:val="1A1A1A"/>
          <w:sz w:val="22"/>
          <w:szCs w:val="22"/>
        </w:rPr>
        <w:t xml:space="preserve">A checking system for the Irish construction document market.</w:t>
      </w:r>
    </w:p>
    <w:p>
      <w:pPr>
        <w:pBdr>
          <w:top w:val="single" w:color="0E3A6E" w:sz="8" w:space="8"/>
        </w:pBdr>
        <w:spacing w:after="0" w:before="600"/>
        <w:jc w:val="center"/>
      </w:pPr>
      <w:r>
        <w:t xml:space="preserve"/>
      </w:r>
    </w:p>
    <w:p>
      <w:pPr>
        <w:spacing w:after="0" w:before="240"/>
        <w:jc w:val="center"/>
      </w:pPr>
      <w:r>
        <w:rPr>
          <w:rFonts w:ascii="Calibri" w:cs="Calibri" w:eastAsia="Calibri" w:hAnsi="Calibri"/>
          <w:b/>
          <w:bCs/>
          <w:color w:val="0E3A6E"/>
          <w:sz w:val="22"/>
          <w:szCs w:val="22"/>
        </w:rPr>
        <w:t xml:space="preserve">Investor &amp; Strategic Partner Prospectus</w:t>
      </w:r>
    </w:p>
    <w:p>
      <w:pPr>
        <w:spacing w:after="0" w:before="0"/>
        <w:jc w:val="center"/>
      </w:pPr>
      <w:r>
        <w:rPr>
          <w:rFonts w:ascii="Calibri" w:cs="Calibri" w:eastAsia="Calibri" w:hAnsi="Calibri"/>
          <w:color w:val="5A5A5A"/>
          <w:sz w:val="18"/>
          <w:szCs w:val="18"/>
        </w:rPr>
        <w:t xml:space="preserve">Version 0.1  ·  May 2026  ·  Confidential</w:t>
      </w:r>
    </w:p>
    <w:p>
      <w:pPr>
        <w:spacing w:before="600"/>
        <w:jc w:val="center"/>
      </w:pPr>
      <w:r>
        <w:rPr>
          <w:rFonts w:ascii="Calibri" w:cs="Calibri" w:eastAsia="Calibri" w:hAnsi="Calibri"/>
          <w:b/>
          <w:bCs/>
          <w:color w:val="1A1A1A"/>
          <w:sz w:val="20"/>
          <w:szCs w:val="20"/>
        </w:rPr>
        <w:t xml:space="preserve">Liam Dunne  ·  Founder</w:t>
      </w:r>
    </w:p>
    <w:p>
      <w:pPr>
        <w:spacing w:after="0" w:before="0"/>
        <w:jc w:val="center"/>
      </w:pPr>
      <w:r>
        <w:rPr>
          <w:rFonts w:ascii="Calibri" w:cs="Calibri" w:eastAsia="Calibri" w:hAnsi="Calibri"/>
          <w:color w:val="5A5A5A"/>
          <w:sz w:val="18"/>
          <w:szCs w:val="18"/>
        </w:rPr>
        <w:t xml:space="preserve">liam@goviq.ie  ·  GovIQ family</w:t>
      </w:r>
    </w:p>
    <w:p>
      <w:r>
        <w:br w:type="page"/>
      </w:r>
    </w:p>
    <w:p>
      <w:pPr>
        <w:pStyle w:val="Heading1"/>
        <w:spacing w:after="200" w:before="400"/>
      </w:pPr>
      <w:r>
        <w:rPr>
          <w:rFonts w:ascii="Calibri" w:cs="Calibri" w:eastAsia="Calibri" w:hAnsi="Calibri"/>
          <w:b/>
          <w:bCs/>
          <w:color w:val="0E3A6E"/>
          <w:sz w:val="32"/>
          <w:szCs w:val="32"/>
        </w:rPr>
        <w:t xml:space="preserve">The opportunity</w:t>
      </w:r>
    </w:p>
    <w:p>
      <w:pPr>
        <w:spacing w:after="80" w:before="80"/>
      </w:pPr>
      <w:r>
        <w:rPr>
          <w:rFonts w:ascii="Calibri" w:cs="Calibri" w:eastAsia="Calibri" w:hAnsi="Calibri"/>
          <w:sz w:val="22"/>
          <w:szCs w:val="22"/>
        </w:rPr>
        <w:t xml:space="preserve">The Irish construction industry produces tender packs, design specifications and drawing sets to one of the densest regulatory environments in Europe. Public-sector capital alone runs at approximately €16.5 billion per year, governed by the Capital Works Management Framework, the Public Works Contracts, BCAR personal liability, FSC / DAC pathways, Eurocodes with Irish National Annexes, IS / IS EN / BS / BS EN / TGD A through M standards, and sector-specific HSE / HBN / HTM / HIQA guidance.</w:t>
      </w:r>
    </w:p>
    <w:p>
      <w:pPr>
        <w:spacing w:after="80" w:before="80"/>
      </w:pPr>
      <w:r>
        <w:rPr>
          <w:rFonts w:ascii="Calibri" w:cs="Calibri" w:eastAsia="Calibri" w:hAnsi="Calibri"/>
          <w:sz w:val="22"/>
          <w:szCs w:val="22"/>
        </w:rPr>
        <w:t xml:space="preserve">Design teams use commercial specification libraries (NBS Chorus and similar) to manage this complexity. In practice these libraries are imported lightly, edited inconsistently and rarely brought to current standards on each project. The result is a systemic document-quality problem that surfaces at tender, at award, at construction and at BCAR sign-off.</w:t>
      </w:r>
    </w:p>
    <w:p>
      <w:pPr>
        <w:spacing w:after="80" w:before="240"/>
        <w:jc w:val="center"/>
      </w:pPr>
      <w:r>
        <w:rPr>
          <w:rFonts w:ascii="Calibri" w:cs="Calibri" w:eastAsia="Calibri" w:hAnsi="Calibri"/>
          <w:b/>
          <w:bCs/>
          <w:color w:val="0E3A6E"/>
          <w:sz w:val="56"/>
          <w:szCs w:val="56"/>
        </w:rPr>
        <w:t xml:space="preserve">327</w:t>
      </w:r>
    </w:p>
    <w:p>
      <w:pPr>
        <w:spacing w:after="240" w:before="0"/>
        <w:jc w:val="center"/>
      </w:pPr>
      <w:r>
        <w:rPr>
          <w:rFonts w:ascii="Calibri" w:cs="Calibri" w:eastAsia="Calibri" w:hAnsi="Calibri"/>
          <w:color w:val="1A1A1A"/>
          <w:sz w:val="22"/>
          <w:szCs w:val="22"/>
        </w:rPr>
        <w:t xml:space="preserve">issues surfaced in one Stage 2C pack on 27 May 2026</w:t>
      </w:r>
    </w:p>
    <w:p>
      <w:pPr>
        <w:spacing w:after="240" w:before="0"/>
        <w:jc w:val="center"/>
      </w:pPr>
      <w:r>
        <w:rPr>
          <w:rFonts w:ascii="Calibri" w:cs="Calibri" w:eastAsia="Calibri" w:hAnsi="Calibri"/>
          <w:i/>
          <w:iCs/>
          <w:color w:val="5A5A5A"/>
          <w:sz w:val="18"/>
          <w:szCs w:val="18"/>
        </w:rPr>
        <w:t xml:space="preserve">1 operator  ·  1 working day  ·  161 PDF files  ·  560 pages of specifications</w:t>
      </w:r>
    </w:p>
    <w:p>
      <w:pPr>
        <w:pStyle w:val="Heading2"/>
        <w:spacing w:after="140" w:before="280"/>
      </w:pPr>
      <w:r>
        <w:rPr>
          <w:rFonts w:ascii="Calibri" w:cs="Calibri" w:eastAsia="Calibri" w:hAnsi="Calibri"/>
          <w:b/>
          <w:bCs/>
          <w:color w:val="1A1A1A"/>
          <w:sz w:val="24"/>
          <w:szCs w:val="24"/>
        </w:rPr>
        <w:t xml:space="preserve">What we found</w:t>
      </w:r>
    </w:p>
    <w:p>
      <w:pPr>
        <w:pStyle w:val="ListParagraph"/>
        <w:numPr>
          <w:ilvl w:val="0"/>
          <w:numId w:val="2"/>
        </w:numPr>
        <w:spacing w:after="40" w:before="40"/>
      </w:pPr>
      <w:r>
        <w:rPr>
          <w:rFonts w:ascii="Calibri" w:cs="Calibri" w:eastAsia="Calibri" w:hAnsi="Calibri"/>
          <w:sz w:val="22"/>
          <w:szCs w:val="22"/>
        </w:rPr>
        <w:t xml:space="preserve">File substitution errors in two architectural schedules worth €150-300k of unpriceable envelope at tender.</w:t>
      </w:r>
    </w:p>
    <w:p>
      <w:pPr>
        <w:pStyle w:val="ListParagraph"/>
        <w:numPr>
          <w:ilvl w:val="0"/>
          <w:numId w:val="2"/>
        </w:numPr>
        <w:spacing w:after="40" w:before="40"/>
      </w:pPr>
      <w:r>
        <w:rPr>
          <w:rFonts w:ascii="Calibri" w:cs="Calibri" w:eastAsia="Calibri" w:hAnsi="Calibri"/>
          <w:sz w:val="22"/>
          <w:szCs w:val="22"/>
        </w:rPr>
        <w:t xml:space="preserve">Wrong-project cut-paste across all four discipline specifications — lightning protection text describing a school in County Mayo, residential apartment cabling, basement and underpinning specifications in a single-storey building.</w:t>
      </w:r>
    </w:p>
    <w:p>
      <w:pPr>
        <w:pStyle w:val="ListParagraph"/>
        <w:numPr>
          <w:ilvl w:val="0"/>
          <w:numId w:val="2"/>
        </w:numPr>
        <w:spacing w:after="40" w:before="40"/>
      </w:pPr>
      <w:r>
        <w:rPr>
          <w:rFonts w:ascii="Calibri" w:cs="Calibri" w:eastAsia="Calibri" w:hAnsi="Calibri"/>
          <w:sz w:val="22"/>
          <w:szCs w:val="22"/>
        </w:rPr>
        <w:t xml:space="preserve">Outdated statutory citations including BS 476 Part 8:1972 (withdrawn), IS 3218:2013 (superseded), BS 7671 (UK) instead of I.S. 10101:2020+A1:2024.</w:t>
      </w:r>
    </w:p>
    <w:p>
      <w:pPr>
        <w:pStyle w:val="ListParagraph"/>
        <w:numPr>
          <w:ilvl w:val="0"/>
          <w:numId w:val="2"/>
        </w:numPr>
        <w:spacing w:after="40" w:before="40"/>
      </w:pPr>
      <w:r>
        <w:rPr>
          <w:rFonts w:ascii="Calibri" w:cs="Calibri" w:eastAsia="Calibri" w:hAnsi="Calibri"/>
          <w:sz w:val="22"/>
          <w:szCs w:val="22"/>
        </w:rPr>
        <w:t xml:space="preserve">VAT shown at 21% on the Bill of Quantities (the correct Irish standard rate has been 23% since 2024).</w:t>
      </w:r>
    </w:p>
    <w:p>
      <w:pPr>
        <w:pStyle w:val="ListParagraph"/>
        <w:numPr>
          <w:ilvl w:val="0"/>
          <w:numId w:val="2"/>
        </w:numPr>
        <w:spacing w:after="40" w:before="40"/>
      </w:pPr>
      <w:r>
        <w:rPr>
          <w:rFonts w:ascii="Calibri" w:cs="Calibri" w:eastAsia="Calibri" w:hAnsi="Calibri"/>
          <w:sz w:val="22"/>
          <w:szCs w:val="22"/>
        </w:rPr>
        <w:t xml:space="preserve">Drawing register issued on three different dates across discipline packs.</w:t>
      </w:r>
    </w:p>
    <w:p>
      <w:r>
        <w:br w:type="page"/>
      </w:r>
    </w:p>
    <w:p>
      <w:pPr>
        <w:pStyle w:val="Heading1"/>
        <w:spacing w:after="200" w:before="400"/>
      </w:pPr>
      <w:r>
        <w:rPr>
          <w:rFonts w:ascii="Calibri" w:cs="Calibri" w:eastAsia="Calibri" w:hAnsi="Calibri"/>
          <w:b/>
          <w:bCs/>
          <w:color w:val="0E3A6E"/>
          <w:sz w:val="32"/>
          <w:szCs w:val="32"/>
        </w:rPr>
        <w:t xml:space="preserve">The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49B00" w:sz="16"/>
              <w:left w:val="single" w:color="D49B00" w:sz="16"/>
              <w:bottom w:val="single" w:color="D49B00" w:sz="4"/>
              <w:right w:val="single" w:color="D49B00" w:sz="4"/>
            </w:tcBorders>
            <w:shd w:fill="FFF4D6" w:val="clear"/>
            <w:tcMar>
              <w:top w:type="dxa" w:w="160"/>
              <w:left w:type="dxa" w:w="200"/>
              <w:bottom w:type="dxa" w:w="160"/>
              <w:right w:type="dxa" w:w="200"/>
            </w:tcMar>
          </w:tcPr>
          <w:p>
            <w:pPr>
              <w:spacing w:after="80" w:before="0"/>
            </w:pPr>
            <w:r>
              <w:rPr>
                <w:rFonts w:ascii="Calibri" w:cs="Calibri" w:eastAsia="Calibri" w:hAnsi="Calibri"/>
                <w:b/>
                <w:bCs/>
                <w:color w:val="1A1A1A"/>
                <w:sz w:val="22"/>
                <w:szCs w:val="22"/>
              </w:rPr>
              <w:t xml:space="preserve">VerifIQ is a checking system, not a review service.</w:t>
            </w:r>
          </w:p>
          <w:p>
            <w:pPr>
              <w:spacing w:after="40" w:before="40"/>
            </w:pPr>
            <w:r>
              <w:rPr>
                <w:rFonts w:ascii="Calibri" w:cs="Calibri" w:eastAsia="Calibri" w:hAnsi="Calibri"/>
                <w:sz w:val="20"/>
                <w:szCs w:val="20"/>
              </w:rPr>
              <w:t xml:space="preserve">Users upload tender packs to a secure workspace. VerifIQ surfaces possible issues with source-quoted evidence and recommends what to verify. The user verifies locally and decides what to act on.</w:t>
            </w:r>
          </w:p>
          <w:p>
            <w:pPr>
              <w:spacing w:after="40" w:before="40"/>
            </w:pPr>
            <w:r>
              <w:rPr>
                <w:rFonts w:ascii="Calibri" w:cs="Calibri" w:eastAsia="Calibri" w:hAnsi="Calibri"/>
                <w:sz w:val="20"/>
                <w:szCs w:val="20"/>
              </w:rPr>
              <w:t xml:space="preserve">VerifIQ does not provide a professional opinion. It does not certify, sign off or issue compliance statements. It does not carry professional indemnity exposure.</w:t>
            </w:r>
          </w:p>
          <w:p>
            <w:pPr>
              <w:spacing w:after="40" w:before="40"/>
            </w:pPr>
            <w:r>
              <w:rPr>
                <w:rFonts w:ascii="Calibri" w:cs="Calibri" w:eastAsia="Calibri" w:hAnsi="Calibri"/>
                <w:sz w:val="20"/>
                <w:szCs w:val="20"/>
              </w:rPr>
              <w:t xml:space="preserve">It is a software utility that saves time. The user keeps the professional judgement.</w:t>
            </w:r>
          </w:p>
        </w:tc>
      </w:tr>
    </w:tbl>
    <w:p>
      <w:pPr>
        <w:pStyle w:val="Heading2"/>
        <w:spacing w:after="140" w:before="280"/>
      </w:pPr>
      <w:r>
        <w:rPr>
          <w:rFonts w:ascii="Calibri" w:cs="Calibri" w:eastAsia="Calibri" w:hAnsi="Calibri"/>
          <w:b/>
          <w:bCs/>
          <w:color w:val="1A1A1A"/>
          <w:sz w:val="24"/>
          <w:szCs w:val="24"/>
        </w:rPr>
        <w:t xml:space="preserve">Three buyer groups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tblHeader/>
        </w:trPr>
        <w:tc>
          <w:tcPr>
            <w:tcW w:type="dxa" w:w="3248"/>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Design teams</w:t>
            </w:r>
          </w:p>
        </w:tc>
        <w:tc>
          <w:tcPr>
            <w:tcW w:type="dxa" w:w="3248"/>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Contractors</w:t>
            </w:r>
          </w:p>
        </w:tc>
        <w:tc>
          <w:tcPr>
            <w:tcW w:type="dxa" w:w="3248"/>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Employer-side</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80" w:before="80"/>
            </w:pPr>
            <w:r>
              <w:rPr>
                <w:rFonts w:ascii="Calibri" w:cs="Calibri" w:eastAsia="Calibri" w:hAnsi="Calibri"/>
                <w:b/>
                <w:bCs/>
                <w:sz w:val="22"/>
                <w:szCs w:val="22"/>
              </w:rPr>
              <w:t xml:space="preserve">Catch issues before the client does.</w:t>
            </w:r>
          </w:p>
          <w:p>
            <w:r>
              <w:rPr>
                <w:rFonts w:ascii="Calibri" w:cs="Calibri" w:eastAsia="Calibri" w:hAnsi="Calibri"/>
                <w:sz w:val="20"/>
                <w:szCs w:val="20"/>
              </w:rPr>
              <w:t xml:space="preserve">Reduce internal QA time, defend against PI patterns, fewer post-issue addenda.</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80" w:before="80"/>
            </w:pPr>
            <w:r>
              <w:rPr>
                <w:rFonts w:ascii="Calibri" w:cs="Calibri" w:eastAsia="Calibri" w:hAnsi="Calibri"/>
                <w:b/>
                <w:bCs/>
                <w:sz w:val="22"/>
                <w:szCs w:val="22"/>
              </w:rPr>
              <w:t xml:space="preserve">Know what you are pricing.</w:t>
            </w:r>
          </w:p>
          <w:p>
            <w:r>
              <w:rPr>
                <w:rFonts w:ascii="Calibri" w:cs="Calibri" w:eastAsia="Calibri" w:hAnsi="Calibri"/>
                <w:sz w:val="20"/>
                <w:szCs w:val="20"/>
              </w:rPr>
              <w:t xml:space="preserve">Identify pricing risk before committing bid resource. Spot variation triggers. Defensible bid record.</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80" w:before="80"/>
            </w:pPr>
            <w:r>
              <w:rPr>
                <w:rFonts w:ascii="Calibri" w:cs="Calibri" w:eastAsia="Calibri" w:hAnsi="Calibri"/>
                <w:b/>
                <w:bCs/>
                <w:sz w:val="22"/>
                <w:szCs w:val="22"/>
              </w:rPr>
              <w:t xml:space="preserve">Check what your design team produced.</w:t>
            </w:r>
          </w:p>
          <w:p>
            <w:r>
              <w:rPr>
                <w:rFonts w:ascii="Calibri" w:cs="Calibri" w:eastAsia="Calibri" w:hAnsi="Calibri"/>
                <w:sz w:val="20"/>
                <w:szCs w:val="20"/>
              </w:rPr>
              <w:t xml:space="preserve">Reduce post-award variation exposure. Pre-issue governance record. Framework-panel performance data.</w:t>
            </w:r>
          </w:p>
        </w:tc>
      </w:tr>
    </w:tbl>
    <w:p>
      <w:pPr>
        <w:pStyle w:val="Heading2"/>
        <w:spacing w:after="140" w:before="280"/>
      </w:pPr>
      <w:r>
        <w:rPr>
          <w:rFonts w:ascii="Calibri" w:cs="Calibri" w:eastAsia="Calibri" w:hAnsi="Calibri"/>
          <w:b/>
          <w:bCs/>
          <w:color w:val="1A1A1A"/>
          <w:sz w:val="24"/>
          <w:szCs w:val="24"/>
        </w:rPr>
        <w:t xml:space="preserve">Why now</w:t>
      </w:r>
    </w:p>
    <w:p>
      <w:pPr>
        <w:pStyle w:val="ListParagraph"/>
        <w:numPr>
          <w:ilvl w:val="0"/>
          <w:numId w:val="2"/>
        </w:numPr>
        <w:spacing w:after="40" w:before="40"/>
      </w:pPr>
      <w:r>
        <w:rPr>
          <w:rFonts w:ascii="Calibri" w:cs="Calibri" w:eastAsia="Calibri" w:hAnsi="Calibri"/>
          <w:sz w:val="22"/>
          <w:szCs w:val="22"/>
        </w:rPr>
        <w:t xml:space="preserve">Generative AI inference cost has dropped 30-50% per year and continues to drop. Per-check token cost of €1-€10 is now compatible with €100-€800 retail pricing at healthy gross margin.</w:t>
      </w:r>
    </w:p>
    <w:p>
      <w:pPr>
        <w:pStyle w:val="ListParagraph"/>
        <w:numPr>
          <w:ilvl w:val="0"/>
          <w:numId w:val="2"/>
        </w:numPr>
        <w:spacing w:after="40" w:before="40"/>
      </w:pPr>
      <w:r>
        <w:rPr>
          <w:rFonts w:ascii="Calibri" w:cs="Calibri" w:eastAsia="Calibri" w:hAnsi="Calibri"/>
          <w:sz w:val="22"/>
          <w:szCs w:val="22"/>
        </w:rPr>
        <w:t xml:space="preserve">BCAR personal liability (SI 9/2014, in force since 2014) is mature. Design partners understand the exposure and are buying mitigations.</w:t>
      </w:r>
    </w:p>
    <w:p>
      <w:pPr>
        <w:pStyle w:val="ListParagraph"/>
        <w:numPr>
          <w:ilvl w:val="0"/>
          <w:numId w:val="2"/>
        </w:numPr>
        <w:spacing w:after="40" w:before="40"/>
      </w:pPr>
      <w:r>
        <w:rPr>
          <w:rFonts w:ascii="Calibri" w:cs="Calibri" w:eastAsia="Calibri" w:hAnsi="Calibri"/>
          <w:sz w:val="22"/>
          <w:szCs w:val="22"/>
        </w:rPr>
        <w:t xml:space="preserve">PI premiums for Irish architects and engineers rose 300-1000% between 2018 and 2024. Underwriters are differentiating premiums for firms with QA tooling.</w:t>
      </w:r>
    </w:p>
    <w:p>
      <w:pPr>
        <w:pStyle w:val="ListParagraph"/>
        <w:numPr>
          <w:ilvl w:val="0"/>
          <w:numId w:val="2"/>
        </w:numPr>
        <w:spacing w:after="40" w:before="40"/>
      </w:pPr>
      <w:r>
        <w:rPr>
          <w:rFonts w:ascii="Calibri" w:cs="Calibri" w:eastAsia="Calibri" w:hAnsi="Calibri"/>
          <w:sz w:val="22"/>
          <w:szCs w:val="22"/>
        </w:rPr>
        <w:t xml:space="preserve">Standards currency (IS 3218:2024, EU 2024/573 F-Gas, TGD-B 2024) changes faster than design teams can track. The compliance burden is endemic.</w:t>
      </w:r>
    </w:p>
    <w:p>
      <w:r>
        <w:br w:type="page"/>
      </w:r>
    </w:p>
    <w:p>
      <w:pPr>
        <w:pStyle w:val="Heading1"/>
        <w:spacing w:after="200" w:before="400"/>
      </w:pPr>
      <w:r>
        <w:rPr>
          <w:rFonts w:ascii="Calibri" w:cs="Calibri" w:eastAsia="Calibri" w:hAnsi="Calibri"/>
          <w:b/>
          <w:bCs/>
          <w:color w:val="0E3A6E"/>
          <w:sz w:val="32"/>
          <w:szCs w:val="32"/>
        </w:rPr>
        <w:t xml:space="preserve">The market</w:t>
      </w:r>
    </w:p>
    <w:p>
      <w:pPr>
        <w:pStyle w:val="Heading2"/>
        <w:spacing w:after="140" w:before="280"/>
      </w:pPr>
      <w:r>
        <w:rPr>
          <w:rFonts w:ascii="Calibri" w:cs="Calibri" w:eastAsia="Calibri" w:hAnsi="Calibri"/>
          <w:b/>
          <w:bCs/>
          <w:color w:val="1A1A1A"/>
          <w:sz w:val="24"/>
          <w:szCs w:val="24"/>
        </w:rPr>
        <w:t xml:space="preserve">Ireland addressable, steady-state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2246"/>
      </w:tblGrid>
      <w:tr>
        <w:trPr>
          <w:tblHeader/>
        </w:trPr>
        <w:tc>
          <w:tcPr>
            <w:tcW w:type="dxa" w:w="3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Segment</w:t>
            </w:r>
          </w:p>
        </w:tc>
        <w:tc>
          <w:tcPr>
            <w:tcW w:type="dxa" w:w="2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Active buyers</w:t>
            </w:r>
          </w:p>
        </w:tc>
        <w:tc>
          <w:tcPr>
            <w:tcW w:type="dxa" w:w="2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Avg price/year</w:t>
            </w:r>
          </w:p>
        </w:tc>
        <w:tc>
          <w:tcPr>
            <w:tcW w:type="dxa" w:w="22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Annual TAM</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RIAI practices (CWMF / S38-39 / OGP)</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500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€2k-€15k</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€1.5-7.5m</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C&amp;S / M&amp;E / EE consultancies</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300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€1k-€8k</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€500k-€2.5m</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Main contractors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120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€2k-€12k</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€400k-€1.5m</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Employer-side capital programmes</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30+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€20k-€120k</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€600k-€3.5m</w:t>
            </w:r>
          </w:p>
        </w:tc>
      </w:tr>
      <w:tr>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Total Ireland addressable</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color w:val="FFFFFF"/>
                <w:sz w:val="20"/>
                <w:szCs w:val="20"/>
              </w:rPr>
              <w:t xml:space="preserve"/>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color w:val="FFFFFF"/>
                <w:sz w:val="20"/>
                <w:szCs w:val="20"/>
              </w:rPr>
              <w:t xml:space="preserve"/>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2"/>
                <w:szCs w:val="22"/>
              </w:rPr>
              <w:t xml:space="preserve">€3m-€15m ARR</w:t>
            </w:r>
          </w:p>
        </w:tc>
      </w:tr>
    </w:tbl>
    <w:p>
      <w:pPr>
        <w:pStyle w:val="Heading2"/>
        <w:spacing w:after="140" w:before="280"/>
      </w:pPr>
      <w:r>
        <w:rPr>
          <w:rFonts w:ascii="Calibri" w:cs="Calibri" w:eastAsia="Calibri" w:hAnsi="Calibri"/>
          <w:b/>
          <w:bCs/>
          <w:color w:val="1A1A1A"/>
          <w:sz w:val="24"/>
          <w:szCs w:val="24"/>
        </w:rPr>
        <w:t xml:space="preserve">Why this expands</w:t>
      </w:r>
    </w:p>
    <w:p>
      <w:pPr>
        <w:pStyle w:val="ListParagraph"/>
        <w:numPr>
          <w:ilvl w:val="0"/>
          <w:numId w:val="2"/>
        </w:numPr>
        <w:spacing w:after="40" w:before="40"/>
      </w:pPr>
      <w:r>
        <w:rPr>
          <w:rFonts w:ascii="Calibri" w:cs="Calibri" w:eastAsia="Calibri" w:hAnsi="Calibri"/>
          <w:sz w:val="22"/>
          <w:szCs w:val="22"/>
        </w:rPr>
        <w:t xml:space="preserve">UK extension multiplies by ~10× — same review logic, swap to BS EN + Approved Documents + Building Safety Act 2022 + Hackitt-led Building Safety Regulator regime.</w:t>
      </w:r>
    </w:p>
    <w:p>
      <w:pPr>
        <w:pStyle w:val="ListParagraph"/>
        <w:numPr>
          <w:ilvl w:val="0"/>
          <w:numId w:val="2"/>
        </w:numPr>
        <w:spacing w:after="40" w:before="40"/>
      </w:pPr>
      <w:r>
        <w:rPr>
          <w:rFonts w:ascii="Calibri" w:cs="Calibri" w:eastAsia="Calibri" w:hAnsi="Calibri"/>
          <w:sz w:val="22"/>
          <w:szCs w:val="22"/>
        </w:rPr>
        <w:t xml:space="preserve">EU expansion (PT, ES, IT, DE) adds further 50-100× — each market has national EN annexes and national building codes that follow the same import / drift / cut-paste failure pattern.</w:t>
      </w:r>
    </w:p>
    <w:p>
      <w:pPr>
        <w:pStyle w:val="ListParagraph"/>
        <w:numPr>
          <w:ilvl w:val="0"/>
          <w:numId w:val="2"/>
        </w:numPr>
        <w:spacing w:after="40" w:before="40"/>
      </w:pPr>
      <w:r>
        <w:rPr>
          <w:rFonts w:ascii="Calibri" w:cs="Calibri" w:eastAsia="Calibri" w:hAnsi="Calibri"/>
          <w:sz w:val="22"/>
          <w:szCs w:val="22"/>
        </w:rPr>
        <w:t xml:space="preserve">BIM extension (IFC + Revit) opens an adjacent, much larger market. Year 2 roadmap.</w:t>
      </w:r>
    </w:p>
    <w:p>
      <w:pPr>
        <w:pStyle w:val="Heading2"/>
        <w:spacing w:after="140" w:before="280"/>
      </w:pPr>
      <w:r>
        <w:rPr>
          <w:rFonts w:ascii="Calibri" w:cs="Calibri" w:eastAsia="Calibri" w:hAnsi="Calibri"/>
          <w:b/>
          <w:bCs/>
          <w:color w:val="1A1A1A"/>
          <w:sz w:val="24"/>
          <w:szCs w:val="24"/>
        </w:rPr>
        <w:t xml:space="preserve">Defensibility</w:t>
      </w:r>
    </w:p>
    <w:p>
      <w:pPr>
        <w:pStyle w:val="ListParagraph"/>
        <w:numPr>
          <w:ilvl w:val="0"/>
          <w:numId w:val="2"/>
        </w:numPr>
        <w:spacing w:after="40" w:before="40"/>
      </w:pPr>
      <w:r>
        <w:rPr>
          <w:rFonts w:ascii="Calibri" w:cs="Calibri" w:eastAsia="Calibri" w:hAnsi="Calibri"/>
          <w:sz w:val="22"/>
          <w:szCs w:val="22"/>
        </w:rPr>
        <w:t xml:space="preserve">Curated Irish standards corpus — chartered Irish IP, 6-12 months to replicate even with funding.</w:t>
      </w:r>
    </w:p>
    <w:p>
      <w:pPr>
        <w:pStyle w:val="ListParagraph"/>
        <w:numPr>
          <w:ilvl w:val="0"/>
          <w:numId w:val="2"/>
        </w:numPr>
        <w:spacing w:after="40" w:before="40"/>
      </w:pPr>
      <w:r>
        <w:rPr>
          <w:rFonts w:ascii="Calibri" w:cs="Calibri" w:eastAsia="Calibri" w:hAnsi="Calibri"/>
          <w:sz w:val="22"/>
          <w:szCs w:val="22"/>
        </w:rPr>
        <w:t xml:space="preserve">Pattern library that compounds — by Year 2, VerifIQ has surfaced 50,000+ verifiable findings across hundreds of packs. The pattern library is a moat that grows with usage.</w:t>
      </w:r>
    </w:p>
    <w:p>
      <w:pPr>
        <w:pStyle w:val="ListParagraph"/>
        <w:numPr>
          <w:ilvl w:val="0"/>
          <w:numId w:val="2"/>
        </w:numPr>
        <w:spacing w:after="40" w:before="40"/>
      </w:pPr>
      <w:r>
        <w:rPr>
          <w:rFonts w:ascii="Calibri" w:cs="Calibri" w:eastAsia="Calibri" w:hAnsi="Calibri"/>
          <w:sz w:val="22"/>
          <w:szCs w:val="22"/>
        </w:rPr>
        <w:t xml:space="preserve">First-mover positioning with RIAI / Engineers Ireland / SCSI / OGP. Single trusted relationship per gatekeeper is difficult to dislodge.</w:t>
      </w:r>
    </w:p>
    <w:p>
      <w:pPr>
        <w:pStyle w:val="ListParagraph"/>
        <w:numPr>
          <w:ilvl w:val="0"/>
          <w:numId w:val="2"/>
        </w:numPr>
        <w:spacing w:after="40" w:before="40"/>
      </w:pPr>
      <w:r>
        <w:rPr>
          <w:rFonts w:ascii="Calibri" w:cs="Calibri" w:eastAsia="Calibri" w:hAnsi="Calibri"/>
          <w:sz w:val="22"/>
          <w:szCs w:val="22"/>
        </w:rPr>
        <w:t xml:space="preserve">PI broker partnerships as channel moat. Co-marketing with major Irish underwriters is the wedge generic AI cannot replicate.</w:t>
      </w:r>
    </w:p>
    <w:p>
      <w:r>
        <w:br w:type="page"/>
      </w:r>
    </w:p>
    <w:p>
      <w:pPr>
        <w:pStyle w:val="Heading1"/>
        <w:spacing w:after="200" w:before="400"/>
      </w:pPr>
      <w:r>
        <w:rPr>
          <w:rFonts w:ascii="Calibri" w:cs="Calibri" w:eastAsia="Calibri" w:hAnsi="Calibri"/>
          <w:b/>
          <w:bCs/>
          <w:color w:val="0E3A6E"/>
          <w:sz w:val="32"/>
          <w:szCs w:val="32"/>
        </w:rPr>
        <w:t xml:space="preserve">Product and business model</w:t>
      </w:r>
    </w:p>
    <w:p>
      <w:pPr>
        <w:pStyle w:val="Heading2"/>
        <w:spacing w:after="140" w:before="280"/>
      </w:pPr>
      <w:r>
        <w:rPr>
          <w:rFonts w:ascii="Calibri" w:cs="Calibri" w:eastAsia="Calibri" w:hAnsi="Calibri"/>
          <w:b/>
          <w:bCs/>
          <w:color w:val="1A1A1A"/>
          <w:sz w:val="24"/>
          <w:szCs w:val="24"/>
        </w:rPr>
        <w:t xml:space="preserve">Two-tier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73"/>
        <w:gridCol w:w="3273"/>
      </w:tblGrid>
      <w:tr>
        <w:trPr>
          <w:tblHeader/>
        </w:trPr>
        <w:tc>
          <w:tcPr>
            <w:tcW w:type="dxa" w:w="32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
            </w:r>
          </w:p>
        </w:tc>
        <w:tc>
          <w:tcPr>
            <w:tcW w:type="dxa" w:w="3273"/>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Per-check (PAYG)</w:t>
            </w:r>
          </w:p>
        </w:tc>
        <w:tc>
          <w:tcPr>
            <w:tcW w:type="dxa" w:w="3273"/>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Subscription</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1 — Small (&lt;200 pages)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0E3A6E"/>
                <w:sz w:val="22"/>
                <w:szCs w:val="22"/>
              </w:rPr>
              <w:t xml:space="preserve">€150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Starter: €1,200/yr — 12 checks</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2 — Mid (200-600 pages)</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0E3A6E"/>
                <w:sz w:val="22"/>
                <w:szCs w:val="22"/>
              </w:rPr>
              <w:t xml:space="preserve">€400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Practice: €4,800/yr — 18 mid</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3 — Large (600-1500 pages)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0E3A6E"/>
                <w:sz w:val="22"/>
                <w:szCs w:val="22"/>
              </w:rPr>
              <w:t xml:space="preserve">€800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Enterprise: €18,000/yr</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4 — Programme</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Custom</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Programme: €40-120k/yr</w:t>
            </w:r>
          </w:p>
        </w:tc>
      </w:tr>
    </w:tbl>
    <w:p>
      <w:pPr>
        <w:pStyle w:val="Heading2"/>
        <w:spacing w:after="140" w:before="280"/>
      </w:pPr>
      <w:r>
        <w:rPr>
          <w:rFonts w:ascii="Calibri" w:cs="Calibri" w:eastAsia="Calibri" w:hAnsi="Calibri"/>
          <w:b/>
          <w:bCs/>
          <w:color w:val="1A1A1A"/>
          <w:sz w:val="24"/>
          <w:szCs w:val="24"/>
        </w:rPr>
        <w:t xml:space="preserve">Unit economics</w:t>
      </w:r>
    </w:p>
    <w:p>
      <w:pPr>
        <w:pStyle w:val="ListParagraph"/>
        <w:numPr>
          <w:ilvl w:val="0"/>
          <w:numId w:val="2"/>
        </w:numPr>
        <w:spacing w:after="40" w:before="40"/>
      </w:pPr>
      <w:r>
        <w:rPr>
          <w:rFonts w:ascii="Calibri" w:cs="Calibri" w:eastAsia="Calibri" w:hAnsi="Calibri"/>
          <w:sz w:val="22"/>
          <w:szCs w:val="22"/>
        </w:rPr>
        <w:t xml:space="preserve">Tier 2 inference cost approximately €4-€35 against €400 list price.</w:t>
      </w:r>
    </w:p>
    <w:p>
      <w:pPr>
        <w:pStyle w:val="ListParagraph"/>
        <w:numPr>
          <w:ilvl w:val="0"/>
          <w:numId w:val="2"/>
        </w:numPr>
        <w:spacing w:after="40" w:before="40"/>
      </w:pPr>
      <w:r>
        <w:rPr>
          <w:rFonts w:ascii="Calibri" w:cs="Calibri" w:eastAsia="Calibri" w:hAnsi="Calibri"/>
          <w:sz w:val="22"/>
          <w:szCs w:val="22"/>
        </w:rPr>
        <w:t xml:space="preserve">Gross margin per check: 85-95%.</w:t>
      </w:r>
    </w:p>
    <w:p>
      <w:pPr>
        <w:pStyle w:val="ListParagraph"/>
        <w:numPr>
          <w:ilvl w:val="0"/>
          <w:numId w:val="2"/>
        </w:numPr>
        <w:spacing w:after="40" w:before="40"/>
      </w:pPr>
      <w:r>
        <w:rPr>
          <w:rFonts w:ascii="Calibri" w:cs="Calibri" w:eastAsia="Calibri" w:hAnsi="Calibri"/>
          <w:sz w:val="22"/>
          <w:szCs w:val="22"/>
        </w:rPr>
        <w:t xml:space="preserve">Margin robust to 3× spike in inference pricing.</w:t>
      </w:r>
    </w:p>
    <w:p>
      <w:pPr>
        <w:pStyle w:val="ListParagraph"/>
        <w:numPr>
          <w:ilvl w:val="0"/>
          <w:numId w:val="2"/>
        </w:numPr>
        <w:spacing w:after="40" w:before="40"/>
      </w:pPr>
      <w:r>
        <w:rPr>
          <w:rFonts w:ascii="Calibri" w:cs="Calibri" w:eastAsia="Calibri" w:hAnsi="Calibri"/>
          <w:sz w:val="22"/>
          <w:szCs w:val="22"/>
        </w:rPr>
        <w:t xml:space="preserve">Customer acquisition cost (CAC) target: €400-€1,200 at launch, falling as channel partnerships mature.</w:t>
      </w:r>
    </w:p>
    <w:p>
      <w:pPr>
        <w:pStyle w:val="ListParagraph"/>
        <w:numPr>
          <w:ilvl w:val="0"/>
          <w:numId w:val="2"/>
        </w:numPr>
        <w:spacing w:after="40" w:before="40"/>
      </w:pPr>
      <w:r>
        <w:rPr>
          <w:rFonts w:ascii="Calibri" w:cs="Calibri" w:eastAsia="Calibri" w:hAnsi="Calibri"/>
          <w:sz w:val="22"/>
          <w:szCs w:val="22"/>
        </w:rPr>
        <w:t xml:space="preserve">Payback per customer: &lt;6 months at all tiers.</w:t>
      </w:r>
    </w:p>
    <w:p>
      <w:pPr>
        <w:pStyle w:val="ListParagraph"/>
        <w:numPr>
          <w:ilvl w:val="0"/>
          <w:numId w:val="2"/>
        </w:numPr>
        <w:spacing w:after="40" w:before="40"/>
      </w:pPr>
      <w:r>
        <w:rPr>
          <w:rFonts w:ascii="Calibri" w:cs="Calibri" w:eastAsia="Calibri" w:hAnsi="Calibri"/>
          <w:sz w:val="22"/>
          <w:szCs w:val="22"/>
        </w:rPr>
        <w:t xml:space="preserve">Logo retention target: &gt;90% on annual subscriptions; &gt;85% on programme.</w:t>
      </w:r>
    </w:p>
    <w:p>
      <w:r>
        <w:br w:type="page"/>
      </w:r>
    </w:p>
    <w:p>
      <w:pPr>
        <w:pStyle w:val="Heading1"/>
        <w:spacing w:after="200" w:before="400"/>
      </w:pPr>
      <w:r>
        <w:rPr>
          <w:rFonts w:ascii="Calibri" w:cs="Calibri" w:eastAsia="Calibri" w:hAnsi="Calibri"/>
          <w:b/>
          <w:bCs/>
          <w:color w:val="0E3A6E"/>
          <w:sz w:val="32"/>
          <w:szCs w:val="32"/>
        </w:rPr>
        <w:t xml:space="preserve">Financial projection</w:t>
      </w:r>
    </w:p>
    <w:p>
      <w:pPr>
        <w:pStyle w:val="Heading2"/>
        <w:spacing w:after="140" w:before="280"/>
      </w:pPr>
      <w:r>
        <w:rPr>
          <w:rFonts w:ascii="Calibri" w:cs="Calibri" w:eastAsia="Calibri" w:hAnsi="Calibri"/>
          <w:b/>
          <w:bCs/>
          <w:color w:val="1A1A1A"/>
          <w:sz w:val="24"/>
          <w:szCs w:val="24"/>
        </w:rPr>
        <w:t xml:space="preserve">Three-year base case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082"/>
        <w:gridCol w:w="2082"/>
        <w:gridCol w:w="2082"/>
      </w:tblGrid>
      <w:tr>
        <w:trPr>
          <w:tblHeader/>
        </w:trPr>
        <w:tc>
          <w:tcPr>
            <w:tcW w:type="dxa" w:w="3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w:t>
            </w:r>
          </w:p>
        </w:tc>
        <w:tc>
          <w:tcPr>
            <w:tcW w:type="dxa" w:w="2082"/>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Year 1</w:t>
            </w:r>
          </w:p>
        </w:tc>
        <w:tc>
          <w:tcPr>
            <w:tcW w:type="dxa" w:w="2082"/>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Year 2</w:t>
            </w:r>
          </w:p>
        </w:tc>
        <w:tc>
          <w:tcPr>
            <w:tcW w:type="dxa" w:w="2082"/>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Year 3</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Revenue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180,000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860,000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2,400,000</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Gross profit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150,000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741,000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2,085,000</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Gross margin %</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1F6B3A"/>
                <w:sz w:val="20"/>
                <w:szCs w:val="20"/>
              </w:rPr>
              <w:t xml:space="preserve">83%</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1F6B3A"/>
                <w:sz w:val="20"/>
                <w:szCs w:val="20"/>
              </w:rPr>
              <w:t xml:space="preserve">86%</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1F6B3A"/>
                <w:sz w:val="20"/>
                <w:szCs w:val="20"/>
              </w:rPr>
              <w:t xml:space="preserve">87%</w:t>
            </w:r>
          </w:p>
        </w:tc>
      </w:tr>
      <w:tr>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Operating profit / (loss)</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(33,000)</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278,000</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1,335,000</w:t>
            </w:r>
          </w:p>
        </w:tc>
      </w:tr>
    </w:tbl>
    <w:p>
      <w:pPr>
        <w:pStyle w:val="Heading2"/>
        <w:spacing w:after="140" w:before="280"/>
      </w:pPr>
      <w:r>
        <w:rPr>
          <w:rFonts w:ascii="Calibri" w:cs="Calibri" w:eastAsia="Calibri" w:hAnsi="Calibri"/>
          <w:b/>
          <w:bCs/>
          <w:color w:val="1A1A1A"/>
          <w:sz w:val="24"/>
          <w:szCs w:val="24"/>
        </w:rPr>
        <w:t xml:space="preserve">Capital strategy</w:t>
      </w:r>
    </w:p>
    <w:p>
      <w:pPr>
        <w:pStyle w:val="ListParagraph"/>
        <w:numPr>
          <w:ilvl w:val="0"/>
          <w:numId w:val="2"/>
        </w:numPr>
        <w:spacing w:after="40" w:before="40"/>
      </w:pPr>
      <w:r>
        <w:rPr>
          <w:rFonts w:ascii="Calibri" w:cs="Calibri" w:eastAsia="Calibri" w:hAnsi="Calibri"/>
          <w:sz w:val="22"/>
          <w:szCs w:val="22"/>
        </w:rPr>
        <w:t xml:space="preserve">Bridge Year 1 operating loss of approximately €33k + working capital of €30k = €60-80k total cash need.</w:t>
      </w:r>
    </w:p>
    <w:p>
      <w:pPr>
        <w:pStyle w:val="ListParagraph"/>
        <w:numPr>
          <w:ilvl w:val="0"/>
          <w:numId w:val="2"/>
        </w:numPr>
        <w:spacing w:after="40" w:before="40"/>
      </w:pPr>
      <w:r>
        <w:rPr>
          <w:rFonts w:ascii="Calibri" w:cs="Calibri" w:eastAsia="Calibri" w:hAnsi="Calibri"/>
          <w:sz w:val="22"/>
          <w:szCs w:val="22"/>
        </w:rPr>
        <w:t xml:space="preserve">Bridge funded by founder cash, soft credit, or friends-and-family / angel cheque.</w:t>
      </w:r>
    </w:p>
    <w:p>
      <w:pPr>
        <w:pStyle w:val="ListParagraph"/>
        <w:numPr>
          <w:ilvl w:val="0"/>
          <w:numId w:val="2"/>
        </w:numPr>
        <w:spacing w:after="40" w:before="40"/>
      </w:pPr>
      <w:r>
        <w:rPr>
          <w:rFonts w:ascii="Calibri" w:cs="Calibri" w:eastAsia="Calibri" w:hAnsi="Calibri"/>
          <w:sz w:val="22"/>
          <w:szCs w:val="22"/>
        </w:rPr>
        <w:t xml:space="preserve">Series A is NOT required and not recommended at this stage. Cash-positive from Year 2.</w:t>
      </w:r>
    </w:p>
    <w:p>
      <w:pPr>
        <w:pStyle w:val="ListParagraph"/>
        <w:numPr>
          <w:ilvl w:val="0"/>
          <w:numId w:val="2"/>
        </w:numPr>
        <w:spacing w:after="40" w:before="40"/>
      </w:pPr>
      <w:r>
        <w:rPr>
          <w:rFonts w:ascii="Calibri" w:cs="Calibri" w:eastAsia="Calibri" w:hAnsi="Calibri"/>
          <w:sz w:val="22"/>
          <w:szCs w:val="22"/>
        </w:rPr>
        <w:t xml:space="preserve">Series A reconsidered in Year 3 if UK expansion thesis validates and a venture-scale path becomes the right capital strategy.</w:t>
      </w:r>
    </w:p>
    <w:p>
      <w:r>
        <w:br w:type="page"/>
      </w:r>
    </w:p>
    <w:p>
      <w:pPr>
        <w:pStyle w:val="Heading1"/>
        <w:spacing w:after="200" w:before="400"/>
      </w:pPr>
      <w:r>
        <w:rPr>
          <w:rFonts w:ascii="Calibri" w:cs="Calibri" w:eastAsia="Calibri" w:hAnsi="Calibri"/>
          <w:b/>
          <w:bCs/>
          <w:color w:val="0E3A6E"/>
          <w:sz w:val="32"/>
          <w:szCs w:val="32"/>
        </w:rPr>
        <w:t xml:space="preserve">Traction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49B00" w:sz="16"/>
              <w:left w:val="single" w:color="D49B00" w:sz="16"/>
              <w:bottom w:val="single" w:color="D49B00" w:sz="4"/>
              <w:right w:val="single" w:color="D49B00" w:sz="4"/>
            </w:tcBorders>
            <w:shd w:fill="FFF4D6" w:val="clear"/>
            <w:tcMar>
              <w:top w:type="dxa" w:w="160"/>
              <w:left w:type="dxa" w:w="200"/>
              <w:bottom w:type="dxa" w:w="160"/>
              <w:right w:type="dxa" w:w="200"/>
            </w:tcMar>
          </w:tcPr>
          <w:p>
            <w:pPr>
              <w:spacing w:after="80" w:before="0"/>
            </w:pPr>
            <w:r>
              <w:rPr>
                <w:rFonts w:ascii="Calibri" w:cs="Calibri" w:eastAsia="Calibri" w:hAnsi="Calibri"/>
                <w:b/>
                <w:bCs/>
                <w:color w:val="1A1A1A"/>
                <w:sz w:val="22"/>
                <w:szCs w:val="22"/>
              </w:rPr>
              <w:t xml:space="preserve">Primary evidence — May 2026</w:t>
            </w:r>
          </w:p>
          <w:p>
            <w:pPr>
              <w:spacing w:after="40" w:before="40"/>
            </w:pPr>
            <w:r>
              <w:rPr>
                <w:rFonts w:ascii="Calibri" w:cs="Calibri" w:eastAsia="Calibri" w:hAnsi="Calibri"/>
                <w:sz w:val="20"/>
                <w:szCs w:val="20"/>
              </w:rPr>
              <w:t xml:space="preserve">On 27 May 2026 the VerifIQ workflow was run against a real Stage 2C tender pack for an Irish public-sector capital project.</w:t>
            </w:r>
          </w:p>
          <w:p>
            <w:pPr>
              <w:spacing w:after="40" w:before="40"/>
            </w:pPr>
            <w:r>
              <w:rPr>
                <w:rFonts w:ascii="Calibri" w:cs="Calibri" w:eastAsia="Calibri" w:hAnsi="Calibri"/>
                <w:sz w:val="20"/>
                <w:szCs w:val="20"/>
              </w:rPr>
              <w:t xml:space="preserve">One operator. One working day. 161 files. 560 pages of specifications.</w:t>
            </w:r>
          </w:p>
          <w:p>
            <w:pPr>
              <w:spacing w:after="40" w:before="40"/>
            </w:pPr>
            <w:r>
              <w:rPr>
                <w:rFonts w:ascii="Calibri" w:cs="Calibri" w:eastAsia="Calibri" w:hAnsi="Calibri"/>
                <w:sz w:val="20"/>
                <w:szCs w:val="20"/>
              </w:rPr>
              <w:t xml:space="preserve">The system surfaced 327 substantive findings, including 30 CRITICAL items spanning all four design disciplines.</w:t>
            </w:r>
          </w:p>
          <w:p>
            <w:pPr>
              <w:spacing w:after="40" w:before="40"/>
            </w:pPr>
            <w:r>
              <w:rPr>
                <w:rFonts w:ascii="Calibri" w:cs="Calibri" w:eastAsia="Calibri" w:hAnsi="Calibri"/>
                <w:sz w:val="20"/>
                <w:szCs w:val="20"/>
              </w:rPr>
              <w:t xml:space="preserve">Every finding has a verbatim source quote, page reference and standard citation in the underlying Excel register.</w:t>
            </w:r>
          </w:p>
        </w:tc>
      </w:tr>
    </w:tbl>
    <w:p>
      <w:pPr>
        <w:pStyle w:val="Heading2"/>
        <w:spacing w:after="140" w:before="280"/>
      </w:pPr>
      <w:r>
        <w:rPr>
          <w:rFonts w:ascii="Calibri" w:cs="Calibri" w:eastAsia="Calibri" w:hAnsi="Calibri"/>
          <w:b/>
          <w:bCs/>
          <w:color w:val="1A1A1A"/>
          <w:sz w:val="24"/>
          <w:szCs w:val="24"/>
        </w:rPr>
        <w:t xml:space="preserve">What the evidence shows</w:t>
      </w:r>
    </w:p>
    <w:p>
      <w:pPr>
        <w:pStyle w:val="ListParagraph"/>
        <w:numPr>
          <w:ilvl w:val="0"/>
          <w:numId w:val="2"/>
        </w:numPr>
        <w:spacing w:after="40" w:before="40"/>
      </w:pPr>
      <w:r>
        <w:rPr>
          <w:rFonts w:ascii="Calibri" w:cs="Calibri" w:eastAsia="Calibri" w:hAnsi="Calibri"/>
          <w:sz w:val="22"/>
          <w:szCs w:val="22"/>
        </w:rPr>
        <w:t xml:space="preserve">Severity distribution validates the value proposition — issues exist in real packs, at scale, across all disciplines.</w:t>
      </w:r>
    </w:p>
    <w:p>
      <w:pPr>
        <w:pStyle w:val="ListParagraph"/>
        <w:numPr>
          <w:ilvl w:val="0"/>
          <w:numId w:val="2"/>
        </w:numPr>
        <w:spacing w:after="40" w:before="40"/>
      </w:pPr>
      <w:r>
        <w:rPr>
          <w:rFonts w:ascii="Calibri" w:cs="Calibri" w:eastAsia="Calibri" w:hAnsi="Calibri"/>
          <w:sz w:val="22"/>
          <w:szCs w:val="22"/>
        </w:rPr>
        <w:t xml:space="preserve">Operator-to-output ratio (1 day / 327 findings) is 5-10× better than human peer review at equivalent depth.</w:t>
      </w:r>
    </w:p>
    <w:p>
      <w:pPr>
        <w:pStyle w:val="ListParagraph"/>
        <w:numPr>
          <w:ilvl w:val="0"/>
          <w:numId w:val="2"/>
        </w:numPr>
        <w:spacing w:after="40" w:before="40"/>
      </w:pPr>
      <w:r>
        <w:rPr>
          <w:rFonts w:ascii="Calibri" w:cs="Calibri" w:eastAsia="Calibri" w:hAnsi="Calibri"/>
          <w:sz w:val="22"/>
          <w:szCs w:val="22"/>
        </w:rPr>
        <w:t xml:space="preserve">Pattern repeatability is observable — the four disciplines exhibit the same NBS-Chorus / wrong-project / outdated-standards failure modes.</w:t>
      </w:r>
    </w:p>
    <w:p>
      <w:pPr>
        <w:pStyle w:val="ListParagraph"/>
        <w:numPr>
          <w:ilvl w:val="0"/>
          <w:numId w:val="2"/>
        </w:numPr>
        <w:spacing w:after="40" w:before="40"/>
      </w:pPr>
      <w:r>
        <w:rPr>
          <w:rFonts w:ascii="Calibri" w:cs="Calibri" w:eastAsia="Calibri" w:hAnsi="Calibri"/>
          <w:sz w:val="22"/>
          <w:szCs w:val="22"/>
        </w:rPr>
        <w:t xml:space="preserve">Buyer reaction (qualitative, design-partner-side) — 'this is what I've been afraid of'.</w:t>
      </w:r>
    </w:p>
    <w:p>
      <w:pPr>
        <w:pStyle w:val="Heading2"/>
        <w:spacing w:after="140" w:before="280"/>
      </w:pPr>
      <w:r>
        <w:rPr>
          <w:rFonts w:ascii="Calibri" w:cs="Calibri" w:eastAsia="Calibri" w:hAnsi="Calibri"/>
          <w:b/>
          <w:bCs/>
          <w:color w:val="1A1A1A"/>
          <w:sz w:val="24"/>
          <w:szCs w:val="24"/>
        </w:rPr>
        <w:t xml:space="preserve">Next traction milestones</w:t>
      </w:r>
    </w:p>
    <w:p>
      <w:pPr>
        <w:pStyle w:val="ListParagraph"/>
        <w:numPr>
          <w:ilvl w:val="0"/>
          <w:numId w:val="2"/>
        </w:numPr>
        <w:spacing w:after="40" w:before="40"/>
      </w:pPr>
      <w:r>
        <w:rPr>
          <w:rFonts w:ascii="Calibri" w:cs="Calibri" w:eastAsia="Calibri" w:hAnsi="Calibri"/>
          <w:sz w:val="22"/>
          <w:szCs w:val="22"/>
        </w:rPr>
        <w:t xml:space="preserve">Month 1-2: anonymise May case study for public use; build first marketing collateral around it.</w:t>
      </w:r>
    </w:p>
    <w:p>
      <w:pPr>
        <w:pStyle w:val="ListParagraph"/>
        <w:numPr>
          <w:ilvl w:val="0"/>
          <w:numId w:val="2"/>
        </w:numPr>
        <w:spacing w:after="40" w:before="40"/>
      </w:pPr>
      <w:r>
        <w:rPr>
          <w:rFonts w:ascii="Calibri" w:cs="Calibri" w:eastAsia="Calibri" w:hAnsi="Calibri"/>
          <w:sz w:val="22"/>
          <w:szCs w:val="22"/>
        </w:rPr>
        <w:t xml:space="preserve">Month 2-3: MVP live, 3-5 friendly pilot customers signed.</w:t>
      </w:r>
    </w:p>
    <w:p>
      <w:pPr>
        <w:pStyle w:val="ListParagraph"/>
        <w:numPr>
          <w:ilvl w:val="0"/>
          <w:numId w:val="2"/>
        </w:numPr>
        <w:spacing w:after="40" w:before="40"/>
      </w:pPr>
      <w:r>
        <w:rPr>
          <w:rFonts w:ascii="Calibri" w:cs="Calibri" w:eastAsia="Calibri" w:hAnsi="Calibri"/>
          <w:sz w:val="22"/>
          <w:szCs w:val="22"/>
        </w:rPr>
        <w:t xml:space="preserve">Month 4-6: First paying customers, €5-10k early revenue.</w:t>
      </w:r>
    </w:p>
    <w:p>
      <w:pPr>
        <w:pStyle w:val="ListParagraph"/>
        <w:numPr>
          <w:ilvl w:val="0"/>
          <w:numId w:val="2"/>
        </w:numPr>
        <w:spacing w:after="40" w:before="40"/>
      </w:pPr>
      <w:r>
        <w:rPr>
          <w:rFonts w:ascii="Calibri" w:cs="Calibri" w:eastAsia="Calibri" w:hAnsi="Calibri"/>
          <w:sz w:val="22"/>
          <w:szCs w:val="22"/>
        </w:rPr>
        <w:t xml:space="preserve">Month 6-12: 30-100 paying customers, €20k MRR target, first Programme conversation.</w:t>
      </w:r>
    </w:p>
    <w:p>
      <w:r>
        <w:br w:type="page"/>
      </w:r>
    </w:p>
    <w:p>
      <w:pPr>
        <w:pStyle w:val="Heading1"/>
        <w:spacing w:after="200" w:before="400"/>
      </w:pPr>
      <w:r>
        <w:rPr>
          <w:rFonts w:ascii="Calibri" w:cs="Calibri" w:eastAsia="Calibri" w:hAnsi="Calibri"/>
          <w:b/>
          <w:bCs/>
          <w:color w:val="0E3A6E"/>
          <w:sz w:val="32"/>
          <w:szCs w:val="32"/>
        </w:rPr>
        <w:t xml:space="preserve">Team</w:t>
      </w:r>
    </w:p>
    <w:p>
      <w:pPr>
        <w:pStyle w:val="Heading2"/>
        <w:spacing w:after="140" w:before="280"/>
      </w:pPr>
      <w:r>
        <w:rPr>
          <w:rFonts w:ascii="Calibri" w:cs="Calibri" w:eastAsia="Calibri" w:hAnsi="Calibri"/>
          <w:b/>
          <w:bCs/>
          <w:color w:val="1A1A1A"/>
          <w:sz w:val="24"/>
          <w:szCs w:val="24"/>
        </w:rPr>
        <w:t xml:space="preserve">Founder</w:t>
      </w:r>
    </w:p>
    <w:p>
      <w:pPr>
        <w:spacing w:after="80" w:before="80"/>
      </w:pPr>
      <w:r>
        <w:rPr>
          <w:rFonts w:ascii="Calibri" w:cs="Calibri" w:eastAsia="Calibri" w:hAnsi="Calibri"/>
          <w:sz w:val="22"/>
          <w:szCs w:val="22"/>
        </w:rPr>
        <w:t xml:space="preserve">Liam Dunne is the founder and director of GovIQ, an Irish public-sector compliance and capital-governance platform. VerifIQ extends the GovIQ product surface into the design-document checking domain.</w:t>
      </w:r>
    </w:p>
    <w:p>
      <w:pPr>
        <w:pStyle w:val="ListParagraph"/>
        <w:numPr>
          <w:ilvl w:val="0"/>
          <w:numId w:val="2"/>
        </w:numPr>
        <w:spacing w:after="40" w:before="40"/>
      </w:pPr>
      <w:r>
        <w:rPr>
          <w:rFonts w:ascii="Calibri" w:cs="Calibri" w:eastAsia="Calibri" w:hAnsi="Calibri"/>
          <w:sz w:val="22"/>
          <w:szCs w:val="22"/>
        </w:rPr>
        <w:t xml:space="preserve">Domain expertise — Irish public-sector procurement, capital governance, CWMF and PW-CF processes, BCAR pathways.</w:t>
      </w:r>
    </w:p>
    <w:p>
      <w:pPr>
        <w:pStyle w:val="ListParagraph"/>
        <w:numPr>
          <w:ilvl w:val="0"/>
          <w:numId w:val="2"/>
        </w:numPr>
        <w:spacing w:after="40" w:before="40"/>
      </w:pPr>
      <w:r>
        <w:rPr>
          <w:rFonts w:ascii="Calibri" w:cs="Calibri" w:eastAsia="Calibri" w:hAnsi="Calibri"/>
          <w:sz w:val="22"/>
          <w:szCs w:val="22"/>
        </w:rPr>
        <w:t xml:space="preserve">Commercial relationships — direct engagement with HSE Estates, OGP framework holders, Section 38/39 healthcare bodies via GovIQ.</w:t>
      </w:r>
    </w:p>
    <w:p>
      <w:pPr>
        <w:pStyle w:val="ListParagraph"/>
        <w:numPr>
          <w:ilvl w:val="0"/>
          <w:numId w:val="2"/>
        </w:numPr>
        <w:spacing w:after="40" w:before="40"/>
      </w:pPr>
      <w:r>
        <w:rPr>
          <w:rFonts w:ascii="Calibri" w:cs="Calibri" w:eastAsia="Calibri" w:hAnsi="Calibri"/>
          <w:sz w:val="22"/>
          <w:szCs w:val="22"/>
        </w:rPr>
        <w:t xml:space="preserve">Technical capability — architects and builds the Convex + Next.js SaaS stack used for GovIQ.</w:t>
      </w:r>
    </w:p>
    <w:p>
      <w:pPr>
        <w:pStyle w:val="ListParagraph"/>
        <w:numPr>
          <w:ilvl w:val="0"/>
          <w:numId w:val="2"/>
        </w:numPr>
        <w:spacing w:after="40" w:before="40"/>
      </w:pPr>
      <w:r>
        <w:rPr>
          <w:rFonts w:ascii="Calibri" w:cs="Calibri" w:eastAsia="Calibri" w:hAnsi="Calibri"/>
          <w:sz w:val="22"/>
          <w:szCs w:val="22"/>
        </w:rPr>
        <w:t xml:space="preserve">Validation engagement — personally executed the May 2026 review that produced the evidence base for this prospectus.</w:t>
      </w:r>
    </w:p>
    <w:p>
      <w:pPr>
        <w:pStyle w:val="Heading2"/>
        <w:spacing w:after="140" w:before="280"/>
      </w:pPr>
      <w:r>
        <w:rPr>
          <w:rFonts w:ascii="Calibri" w:cs="Calibri" w:eastAsia="Calibri" w:hAnsi="Calibri"/>
          <w:b/>
          <w:bCs/>
          <w:color w:val="1A1A1A"/>
          <w:sz w:val="24"/>
          <w:szCs w:val="24"/>
        </w:rPr>
        <w:t xml:space="preserve">Year-1 hiring plan</w:t>
      </w:r>
    </w:p>
    <w:p>
      <w:pPr>
        <w:pStyle w:val="ListParagraph"/>
        <w:numPr>
          <w:ilvl w:val="0"/>
          <w:numId w:val="2"/>
        </w:numPr>
        <w:spacing w:after="40" w:before="40"/>
      </w:pPr>
      <w:r>
        <w:rPr>
          <w:rFonts w:ascii="Calibri" w:cs="Calibri" w:eastAsia="Calibri" w:hAnsi="Calibri"/>
          <w:sz w:val="22"/>
          <w:szCs w:val="22"/>
        </w:rPr>
        <w:t xml:space="preserve">Part-time chartered Irish professional (architect or engineer) for output quality validation and standards corpus maintenance.</w:t>
      </w:r>
    </w:p>
    <w:p>
      <w:pPr>
        <w:pStyle w:val="ListParagraph"/>
        <w:numPr>
          <w:ilvl w:val="0"/>
          <w:numId w:val="2"/>
        </w:numPr>
        <w:spacing w:after="40" w:before="40"/>
      </w:pPr>
      <w:r>
        <w:rPr>
          <w:rFonts w:ascii="Calibri" w:cs="Calibri" w:eastAsia="Calibri" w:hAnsi="Calibri"/>
          <w:sz w:val="22"/>
          <w:szCs w:val="22"/>
        </w:rPr>
        <w:t xml:space="preserve">First full-time product engineer (Convex + React) — Month 6-9.</w:t>
      </w:r>
    </w:p>
    <w:p>
      <w:pPr>
        <w:pStyle w:val="ListParagraph"/>
        <w:numPr>
          <w:ilvl w:val="0"/>
          <w:numId w:val="2"/>
        </w:numPr>
        <w:spacing w:after="40" w:before="40"/>
      </w:pPr>
      <w:r>
        <w:rPr>
          <w:rFonts w:ascii="Calibri" w:cs="Calibri" w:eastAsia="Calibri" w:hAnsi="Calibri"/>
          <w:sz w:val="22"/>
          <w:szCs w:val="22"/>
        </w:rPr>
        <w:t xml:space="preserve">Part-time customer success contractor for pilot onboarding — Month 9-12.</w:t>
      </w:r>
    </w:p>
    <w:p>
      <w:pPr>
        <w:pStyle w:val="ListParagraph"/>
        <w:numPr>
          <w:ilvl w:val="0"/>
          <w:numId w:val="2"/>
        </w:numPr>
        <w:spacing w:after="40" w:before="40"/>
      </w:pPr>
      <w:r>
        <w:rPr>
          <w:rFonts w:ascii="Calibri" w:cs="Calibri" w:eastAsia="Calibri" w:hAnsi="Calibri"/>
          <w:sz w:val="22"/>
          <w:szCs w:val="22"/>
        </w:rPr>
        <w:t xml:space="preserve">Year 2 additions: second product engineer, full-time customer success, part-time PI broker channel manager.</w:t>
      </w:r>
    </w:p>
    <w:p>
      <w:r>
        <w:br w:type="page"/>
      </w:r>
    </w:p>
    <w:p>
      <w:pPr>
        <w:pStyle w:val="Heading1"/>
        <w:spacing w:after="200" w:before="400"/>
      </w:pPr>
      <w:r>
        <w:rPr>
          <w:rFonts w:ascii="Calibri" w:cs="Calibri" w:eastAsia="Calibri" w:hAnsi="Calibri"/>
          <w:b/>
          <w:bCs/>
          <w:color w:val="0E3A6E"/>
          <w:sz w:val="32"/>
          <w:szCs w:val="32"/>
        </w:rPr>
        <w:t xml:space="preserve">The ask</w:t>
      </w:r>
    </w:p>
    <w:p>
      <w:pPr>
        <w:spacing w:after="80" w:before="80"/>
      </w:pPr>
      <w:r>
        <w:rPr>
          <w:rFonts w:ascii="Calibri" w:cs="Calibri" w:eastAsia="Calibri" w:hAnsi="Calibri"/>
          <w:sz w:val="22"/>
          <w:szCs w:val="22"/>
        </w:rPr>
        <w:t xml:space="preserve">VerifIQ is intentionally capital-light. The base case requires €60-80k of bridge financing in Year 1 to cover the operating loss period before the company is cash-positive in Year 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49B00" w:sz="16"/>
              <w:left w:val="single" w:color="D49B00" w:sz="16"/>
              <w:bottom w:val="single" w:color="D49B00" w:sz="4"/>
              <w:right w:val="single" w:color="D49B00" w:sz="4"/>
            </w:tcBorders>
            <w:shd w:fill="FFF4D6" w:val="clear"/>
            <w:tcMar>
              <w:top w:type="dxa" w:w="160"/>
              <w:left w:type="dxa" w:w="200"/>
              <w:bottom w:type="dxa" w:w="160"/>
              <w:right w:type="dxa" w:w="200"/>
            </w:tcMar>
          </w:tcPr>
          <w:p>
            <w:pPr>
              <w:spacing w:after="80" w:before="0"/>
            </w:pPr>
            <w:r>
              <w:rPr>
                <w:rFonts w:ascii="Calibri" w:cs="Calibri" w:eastAsia="Calibri" w:hAnsi="Calibri"/>
                <w:b/>
                <w:bCs/>
                <w:color w:val="1A1A1A"/>
                <w:sz w:val="22"/>
                <w:szCs w:val="22"/>
              </w:rPr>
              <w:t xml:space="preserve">Three possible structures, in increasing scale</w:t>
            </w:r>
          </w:p>
          <w:p>
            <w:pPr>
              <w:spacing w:after="40" w:before="40"/>
            </w:pPr>
            <w:r>
              <w:rPr>
                <w:rFonts w:ascii="Calibri" w:cs="Calibri" w:eastAsia="Calibri" w:hAnsi="Calibri"/>
                <w:sz w:val="20"/>
                <w:szCs w:val="20"/>
              </w:rPr>
              <w:t xml:space="preserve">Founder-funded: Liam covers the Year-1 bridge from personal resources. No equity dilution. Founder retains 100%.</w:t>
            </w:r>
          </w:p>
          <w:p>
            <w:pPr>
              <w:spacing w:after="40" w:before="40"/>
            </w:pPr>
            <w:r>
              <w:rPr>
                <w:rFonts w:ascii="Calibri" w:cs="Calibri" w:eastAsia="Calibri" w:hAnsi="Calibri"/>
                <w:sz w:val="20"/>
                <w:szCs w:val="20"/>
              </w:rPr>
              <w:t xml:space="preserve">Friends &amp; family / angel: €80-150k for 5-12% equity. Provides cushion for slower pilot conversion or for marketing acceleration.</w:t>
            </w:r>
          </w:p>
          <w:p>
            <w:pPr>
              <w:spacing w:after="40" w:before="40"/>
            </w:pPr>
            <w:r>
              <w:rPr>
                <w:rFonts w:ascii="Calibri" w:cs="Calibri" w:eastAsia="Calibri" w:hAnsi="Calibri"/>
                <w:sz w:val="20"/>
                <w:szCs w:val="20"/>
              </w:rPr>
              <w:t xml:space="preserve">Strategic partner: a PI broker, RIAI, Engineers Ireland, an Irish construction insurer or a major Irish design practice takes 10-20% as a co-marketing / channel partnership.</w:t>
            </w:r>
          </w:p>
        </w:tc>
      </w:tr>
    </w:tbl>
    <w:p>
      <w:pPr>
        <w:pStyle w:val="Heading2"/>
        <w:spacing w:after="140" w:before="280"/>
      </w:pPr>
      <w:r>
        <w:rPr>
          <w:rFonts w:ascii="Calibri" w:cs="Calibri" w:eastAsia="Calibri" w:hAnsi="Calibri"/>
          <w:b/>
          <w:bCs/>
          <w:color w:val="1A1A1A"/>
          <w:sz w:val="24"/>
          <w:szCs w:val="24"/>
        </w:rPr>
        <w:t xml:space="preserve">What strategic conversations look like</w:t>
      </w:r>
    </w:p>
    <w:p>
      <w:pPr>
        <w:pStyle w:val="ListParagraph"/>
        <w:numPr>
          <w:ilvl w:val="0"/>
          <w:numId w:val="2"/>
        </w:numPr>
        <w:spacing w:after="40" w:before="40"/>
      </w:pPr>
      <w:r>
        <w:rPr>
          <w:rFonts w:ascii="Calibri" w:cs="Calibri" w:eastAsia="Calibri" w:hAnsi="Calibri"/>
          <w:sz w:val="22"/>
          <w:szCs w:val="22"/>
        </w:rPr>
        <w:t xml:space="preserve">Pilot partnership — a friendly design practice or contractor commits to 12-month exclusive use in their lane (small geography, single discipline) in exchange for product-shaping input and discounted pricing.</w:t>
      </w:r>
    </w:p>
    <w:p>
      <w:pPr>
        <w:pStyle w:val="ListParagraph"/>
        <w:numPr>
          <w:ilvl w:val="0"/>
          <w:numId w:val="2"/>
        </w:numPr>
        <w:spacing w:after="40" w:before="40"/>
      </w:pPr>
      <w:r>
        <w:rPr>
          <w:rFonts w:ascii="Calibri" w:cs="Calibri" w:eastAsia="Calibri" w:hAnsi="Calibri"/>
          <w:sz w:val="22"/>
          <w:szCs w:val="22"/>
        </w:rPr>
        <w:t xml:space="preserve">Channel partnership — a PI broker offers VerifIQ at preferential terms to their book of design firms; underwriter differentiates premiums for firms using the tool. Revenue-share or co-marketing structure.</w:t>
      </w:r>
    </w:p>
    <w:p>
      <w:pPr>
        <w:pStyle w:val="ListParagraph"/>
        <w:numPr>
          <w:ilvl w:val="0"/>
          <w:numId w:val="2"/>
        </w:numPr>
        <w:spacing w:after="40" w:before="40"/>
      </w:pPr>
      <w:r>
        <w:rPr>
          <w:rFonts w:ascii="Calibri" w:cs="Calibri" w:eastAsia="Calibri" w:hAnsi="Calibri"/>
          <w:sz w:val="22"/>
          <w:szCs w:val="22"/>
        </w:rPr>
        <w:t xml:space="preserve">Public-sector pilot — HSE Estates, OGP framework holder or large Section 38/39 body pilots VerifIQ at programme tier; first 6 months at cost; case study produced as the outcome.</w:t>
      </w:r>
    </w:p>
    <w:p>
      <w:pPr>
        <w:pStyle w:val="ListParagraph"/>
        <w:numPr>
          <w:ilvl w:val="0"/>
          <w:numId w:val="2"/>
        </w:numPr>
        <w:spacing w:after="40" w:before="40"/>
      </w:pPr>
      <w:r>
        <w:rPr>
          <w:rFonts w:ascii="Calibri" w:cs="Calibri" w:eastAsia="Calibri" w:hAnsi="Calibri"/>
          <w:sz w:val="22"/>
          <w:szCs w:val="22"/>
        </w:rPr>
        <w:t xml:space="preserve">M&amp;A / acquihire conversation — strategic Irish or UK construction software player evaluates VerifIQ as a bolt-on. Not the recommended path at this stage; documented for completeness.</w:t>
      </w:r>
    </w:p>
    <w:p>
      <w:pPr>
        <w:pStyle w:val="Heading2"/>
        <w:spacing w:after="140" w:before="280"/>
      </w:pPr>
      <w:r>
        <w:rPr>
          <w:rFonts w:ascii="Calibri" w:cs="Calibri" w:eastAsia="Calibri" w:hAnsi="Calibri"/>
          <w:b/>
          <w:bCs/>
          <w:color w:val="1A1A1A"/>
          <w:sz w:val="24"/>
          <w:szCs w:val="24"/>
        </w:rPr>
        <w:t xml:space="preserve">What we are looking for from each partner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Partner type</w:t>
            </w:r>
          </w:p>
        </w:tc>
        <w:tc>
          <w:tcPr>
            <w:tcW w:type="dxa" w:w="67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What we want</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Friendly design practice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Commit one project to use VerifIQ pre-issue. Provide candid feedback on output. Co-author public case study (anonymised if preferred).</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Main contractor</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Use VerifIQ as part of bid validation on 3 tenders. Provide quantitative feedback on variation exposure detected vs not detected. Co-author case study.</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Public-sector buyer</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6-12 month programme pilot at preferential pricing. Defined evaluation criteria. Internal report at conclusion.</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PI broker / underwriter</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Co-marketing arrangement with their book. Reciprocal: VerifIQ recommends them; they recommend VerifIQ. Premium differentiation for VerifIQ-using insureds.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Angel investor</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€80-150k cheque, board observer right, intros into the Irish construction ecosystem. 18-24 month return horizon to Series A or strategic exit.</w:t>
            </w:r>
          </w:p>
        </w:tc>
      </w:tr>
    </w:tbl>
    <w:p>
      <w:r>
        <w:br w:type="page"/>
      </w:r>
    </w:p>
    <w:p>
      <w:pPr>
        <w:pStyle w:val="Heading1"/>
        <w:spacing w:after="200" w:before="400"/>
      </w:pPr>
      <w:r>
        <w:rPr>
          <w:rFonts w:ascii="Calibri" w:cs="Calibri" w:eastAsia="Calibri" w:hAnsi="Calibri"/>
          <w:b/>
          <w:bCs/>
          <w:color w:val="0E3A6E"/>
          <w:sz w:val="32"/>
          <w:szCs w:val="32"/>
        </w:rPr>
        <w:t xml:space="preserve">Close</w:t>
      </w:r>
    </w:p>
    <w:p>
      <w:pPr>
        <w:pStyle w:val="Heading2"/>
        <w:spacing w:after="140" w:before="280"/>
      </w:pPr>
      <w:r>
        <w:rPr>
          <w:rFonts w:ascii="Calibri" w:cs="Calibri" w:eastAsia="Calibri" w:hAnsi="Calibri"/>
          <w:b/>
          <w:bCs/>
          <w:color w:val="1A1A1A"/>
          <w:sz w:val="24"/>
          <w:szCs w:val="24"/>
        </w:rPr>
        <w:t xml:space="preserve">What we are building</w:t>
      </w:r>
    </w:p>
    <w:p>
      <w:pPr>
        <w:spacing w:after="80" w:before="80"/>
      </w:pPr>
      <w:r>
        <w:rPr>
          <w:rFonts w:ascii="Calibri" w:cs="Calibri" w:eastAsia="Calibri" w:hAnsi="Calibri"/>
          <w:sz w:val="22"/>
          <w:szCs w:val="22"/>
        </w:rPr>
        <w:t xml:space="preserve">A vertical, defensible SaaS utility for one of Europe's densest regulatory construction environments. Built on real evidence. Capital-light. Margin-rich. Founder-led with domain depth.</w:t>
      </w:r>
    </w:p>
    <w:p>
      <w:pPr>
        <w:pStyle w:val="Heading2"/>
        <w:spacing w:after="140" w:before="280"/>
      </w:pPr>
      <w:r>
        <w:rPr>
          <w:rFonts w:ascii="Calibri" w:cs="Calibri" w:eastAsia="Calibri" w:hAnsi="Calibri"/>
          <w:b/>
          <w:bCs/>
          <w:color w:val="1A1A1A"/>
          <w:sz w:val="24"/>
          <w:szCs w:val="24"/>
        </w:rPr>
        <w:t xml:space="preserve">Why we are confident</w:t>
      </w:r>
    </w:p>
    <w:p>
      <w:pPr>
        <w:spacing w:after="80" w:before="80"/>
      </w:pPr>
      <w:r>
        <w:rPr>
          <w:rFonts w:ascii="Calibri" w:cs="Calibri" w:eastAsia="Calibri" w:hAnsi="Calibri"/>
          <w:sz w:val="22"/>
          <w:szCs w:val="22"/>
        </w:rPr>
        <w:t xml:space="preserve">Because we have done it. The 27 May 2026 validation engagement was not a demo. It was a real review of a real pack with output that holds up to chartered scrutiny. The pattern that surfaced is systemic across Irish design documentation. The product builds on that evidence.</w:t>
      </w:r>
    </w:p>
    <w:p>
      <w:pPr>
        <w:pStyle w:val="Heading2"/>
        <w:spacing w:after="140" w:before="280"/>
      </w:pPr>
      <w:r>
        <w:rPr>
          <w:rFonts w:ascii="Calibri" w:cs="Calibri" w:eastAsia="Calibri" w:hAnsi="Calibri"/>
          <w:b/>
          <w:bCs/>
          <w:color w:val="1A1A1A"/>
          <w:sz w:val="24"/>
          <w:szCs w:val="24"/>
        </w:rPr>
        <w:t xml:space="preserve">Why now</w:t>
      </w:r>
    </w:p>
    <w:p>
      <w:pPr>
        <w:spacing w:after="80" w:before="80"/>
      </w:pPr>
      <w:r>
        <w:rPr>
          <w:rFonts w:ascii="Calibri" w:cs="Calibri" w:eastAsia="Calibri" w:hAnsi="Calibri"/>
          <w:sz w:val="22"/>
          <w:szCs w:val="22"/>
        </w:rPr>
        <w:t xml:space="preserve">Inference cost has fallen far enough. BCAR liability is mature enough. PI premium pressure has bitten hard enough. Standards complexity has compounded enough. The market is ready and there is no incumbent.</w:t>
      </w:r>
    </w:p>
    <w:p>
      <w:pPr>
        <w:pStyle w:val="Heading2"/>
        <w:spacing w:after="140" w:before="280"/>
      </w:pPr>
      <w:r>
        <w:rPr>
          <w:rFonts w:ascii="Calibri" w:cs="Calibri" w:eastAsia="Calibri" w:hAnsi="Calibri"/>
          <w:b/>
          <w:bCs/>
          <w:color w:val="1A1A1A"/>
          <w:sz w:val="24"/>
          <w:szCs w:val="24"/>
        </w:rPr>
        <w:t xml:space="preserve">How to engage</w:t>
      </w:r>
    </w:p>
    <w:p>
      <w:pPr>
        <w:spacing w:after="80" w:before="240"/>
        <w:jc w:val="center"/>
      </w:pPr>
      <w:r>
        <w:rPr>
          <w:rFonts w:ascii="Calibri" w:cs="Calibri" w:eastAsia="Calibri" w:hAnsi="Calibri"/>
          <w:b/>
          <w:bCs/>
          <w:color w:val="0E3A6E"/>
          <w:sz w:val="28"/>
          <w:szCs w:val="28"/>
        </w:rPr>
        <w:t xml:space="preserve">liam@goviq.ie</w:t>
      </w:r>
    </w:p>
    <w:p>
      <w:pPr>
        <w:spacing w:after="80" w:before="0"/>
        <w:jc w:val="center"/>
      </w:pPr>
      <w:r>
        <w:rPr>
          <w:rFonts w:ascii="Calibri" w:cs="Calibri" w:eastAsia="Calibri" w:hAnsi="Calibri"/>
          <w:color w:val="5A5A5A"/>
          <w:sz w:val="22"/>
          <w:szCs w:val="22"/>
        </w:rPr>
        <w:t xml:space="preserve">verifiq.ie  ·  goviq.ie</w:t>
      </w:r>
    </w:p>
    <w:p>
      <w:pPr>
        <w:pBdr>
          <w:top w:val="single" w:color="0E3A6E" w:sz="8" w:space="8"/>
        </w:pBdr>
        <w:spacing w:after="200" w:before="400"/>
        <w:jc w:val="center"/>
      </w:pPr>
      <w:r>
        <w:t xml:space="preserve"/>
      </w:r>
    </w:p>
    <w:p>
      <w:pPr>
        <w:spacing w:after="80" w:before="240"/>
        <w:jc w:val="center"/>
      </w:pPr>
      <w:r>
        <w:rPr>
          <w:rFonts w:ascii="Calibri" w:cs="Calibri" w:eastAsia="Calibri" w:hAnsi="Calibri"/>
          <w:b/>
          <w:bCs/>
          <w:color w:val="0E3A6E"/>
          <w:sz w:val="32"/>
          <w:szCs w:val="32"/>
        </w:rPr>
        <w:t xml:space="preserve">VerifIQ</w:t>
      </w:r>
    </w:p>
    <w:p>
      <w:pPr>
        <w:spacing w:after="80" w:before="0"/>
        <w:jc w:val="center"/>
      </w:pPr>
      <w:r>
        <w:rPr>
          <w:rFonts w:ascii="Calibri" w:cs="Calibri" w:eastAsia="Calibri" w:hAnsi="Calibri"/>
          <w:i/>
          <w:iCs/>
          <w:color w:val="5A5A5A"/>
          <w:sz w:val="22"/>
          <w:szCs w:val="22"/>
        </w:rPr>
        <w:t xml:space="preserve">Find tender pack issues faster.</w:t>
      </w:r>
    </w:p>
    <w:p>
      <w:pPr>
        <w:spacing w:after="0" w:before="200"/>
        <w:jc w:val="center"/>
      </w:pPr>
      <w:r>
        <w:rPr>
          <w:rFonts w:ascii="Calibri" w:cs="Calibri" w:eastAsia="Calibri" w:hAnsi="Calibri"/>
          <w:color w:val="5A5A5A"/>
          <w:sz w:val="18"/>
          <w:szCs w:val="18"/>
        </w:rPr>
        <w:t xml:space="preserve">An Irish company.  Built for Irish standards.  EU data residency.</w:t>
      </w:r>
    </w:p>
    <w:p>
      <w:pPr>
        <w:spacing w:before="400"/>
        <w:jc w:val="center"/>
      </w:pPr>
      <w:r>
        <w:rPr>
          <w:rFonts w:ascii="Calibri" w:cs="Calibri" w:eastAsia="Calibri" w:hAnsi="Calibri"/>
          <w:i/>
          <w:iCs/>
          <w:color w:val="5A5A5A"/>
          <w:sz w:val="16"/>
          <w:szCs w:val="16"/>
        </w:rPr>
        <w:t xml:space="preserve">Important: VerifIQ is a software checking tool. Its outputs are indicative, not professional advice.</w:t>
      </w:r>
    </w:p>
    <w:p>
      <w:pPr>
        <w:spacing w:before="0"/>
        <w:jc w:val="center"/>
      </w:pPr>
      <w:r>
        <w:rPr>
          <w:rFonts w:ascii="Calibri" w:cs="Calibri" w:eastAsia="Calibri" w:hAnsi="Calibri"/>
          <w:i/>
          <w:iCs/>
          <w:color w:val="5A5A5A"/>
          <w:sz w:val="16"/>
          <w:szCs w:val="16"/>
        </w:rPr>
        <w:t xml:space="preserve">VerifIQ does not provide design review, certification, or compliance opinions. Users are responsible for verifying every finding.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Calibri" w:cs="Calibri" w:eastAsia="Calibri" w:hAnsi="Calibri"/>
        <w:color w:val="5A5A5A"/>
        <w:sz w:val="18"/>
        <w:szCs w:val="18"/>
      </w:rPr>
      <w:t xml:space="preserve">© VerifIQ / GovIQ 2026. Confidential.</w:t>
    </w:r>
    <w:r>
      <w:rPr>
        <w:rFonts w:ascii="Calibri" w:cs="Calibri" w:eastAsia="Calibri" w:hAnsi="Calibri"/>
        <w:color w:val="5A5A5A"/>
        <w:sz w:val="18"/>
        <w:szCs w:val="18"/>
      </w:rPr>
      <w:t xml:space="preserve">	Page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color w:val="5A5A5A"/>
        <w:sz w:val="18"/>
        <w:szCs w:val="18"/>
      </w:rPr>
      <w:t xml:space="preserve"> of </w:t>
    </w:r>
    <w:r>
      <w:rPr>
        <w:rFonts w:ascii="Calibri" w:cs="Calibri" w:eastAsia="Calibri" w:hAnsi="Calibri"/>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Calibri" w:cs="Calibri" w:eastAsia="Calibri" w:hAnsi="Calibri"/>
        <w:color w:val="5A5A5A"/>
        <w:sz w:val="18"/>
        <w:szCs w:val="18"/>
      </w:rPr>
      <w:t xml:space="preserve">VerifIQ — Investor Prospectus</w:t>
    </w:r>
    <w:r>
      <w:rPr>
        <w:rFonts w:ascii="Calibri" w:cs="Calibri" w:eastAsia="Calibri" w:hAnsi="Calibri"/>
        <w:color w:val="5A5A5A"/>
        <w:sz w:val="18"/>
        <w:szCs w:val="18"/>
      </w:rPr>
      <w:t xml:space="preserve">	v0.1  ·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E3A6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VerifIQ — Investor &amp; Strategic Partner Prospectus v0.1</dc:title>
  <dc:creator>VerifIQ / GovIQ</dc:creator>
  <cp:lastModifiedBy>Un-named</cp:lastModifiedBy>
  <cp:revision>1</cp:revision>
  <dcterms:created xsi:type="dcterms:W3CDTF">2026-05-29T16:06:23.152Z</dcterms:created>
  <dcterms:modified xsi:type="dcterms:W3CDTF">2026-05-29T16:06:23.152Z</dcterms:modified>
</cp:coreProperties>
</file>

<file path=docProps/custom.xml><?xml version="1.0" encoding="utf-8"?>
<Properties xmlns="http://schemas.openxmlformats.org/officeDocument/2006/custom-properties" xmlns:vt="http://schemas.openxmlformats.org/officeDocument/2006/docPropsVTypes"/>
</file>