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120"/>
        <w:jc w:val="center"/>
      </w:pPr>
      <w:r>
        <w:rPr>
          <w:rFonts w:ascii="Arial" w:cs="Arial" w:eastAsia="Arial" w:hAnsi="Arial"/>
          <w:b/>
          <w:bCs/>
          <w:color w:val="1B2A4A"/>
          <w:sz w:val="60"/>
          <w:szCs w:val="60"/>
        </w:rPr>
        <w:t xml:space="preserve">PROJECT CODEX</w:t>
      </w:r>
    </w:p>
    <w:p>
      <w:pPr>
        <w:pBdr>
          <w:bottom w:val="single" w:color="2E75B6" w:sz="6" w:space="12"/>
        </w:pBdr>
        <w:spacing w:after="40"/>
        <w:jc w:val="center"/>
      </w:pPr>
      <w:r>
        <w:rPr>
          <w:rFonts w:ascii="Arial" w:cs="Arial" w:eastAsia="Arial" w:hAnsi="Arial"/>
          <w:color w:val="2E75B6"/>
          <w:sz w:val="28"/>
          <w:szCs w:val="28"/>
        </w:rPr>
        <w:t xml:space="preserve">AI-Native Code Coordination Architecture</w:t>
      </w:r>
    </w:p>
    <w:p>
      <w:pPr>
        <w:spacing w:before="400" w:after="400"/>
      </w:pPr>
    </w:p>
    <w:p>
      <w:pPr>
        <w:spacing w:after="80"/>
        <w:jc w:val="center"/>
      </w:pPr>
      <w:r>
        <w:rPr>
          <w:rFonts w:ascii="Arial" w:cs="Arial" w:eastAsia="Arial" w:hAnsi="Arial"/>
          <w:color w:val="666666"/>
          <w:sz w:val="22"/>
          <w:szCs w:val="22"/>
        </w:rPr>
        <w:t xml:space="preserve">Replacing filesystem + Git + PR review</w:t>
      </w:r>
    </w:p>
    <w:p>
      <w:pPr>
        <w:spacing w:after="80"/>
        <w:jc w:val="center"/>
      </w:pPr>
      <w:r>
        <w:rPr>
          <w:rFonts w:ascii="Arial" w:cs="Arial" w:eastAsia="Arial" w:hAnsi="Arial"/>
          <w:color w:val="666666"/>
          <w:sz w:val="22"/>
          <w:szCs w:val="22"/>
        </w:rPr>
        <w:t xml:space="preserve">for the age of concurrent AI agent development</w:t>
      </w:r>
    </w:p>
    <w:p>
      <w:pPr>
        <w:spacing w:before="600" w:after="600"/>
      </w:pPr>
    </w:p>
    <w:p>
      <w:pPr>
        <w:spacing w:after="60"/>
        <w:jc w:val="center"/>
      </w:pPr>
      <w:r>
        <w:rPr>
          <w:rFonts w:ascii="Arial" w:cs="Arial" w:eastAsia="Arial" w:hAnsi="Arial"/>
          <w:b/>
          <w:bCs/>
          <w:color w:val="1B2A4A"/>
          <w:sz w:val="24"/>
          <w:szCs w:val="24"/>
        </w:rPr>
        <w:t xml:space="preserve">Nexum Corpus</w:t>
      </w:r>
    </w:p>
    <w:p>
      <w:pPr>
        <w:spacing w:after="60"/>
        <w:jc w:val="center"/>
      </w:pPr>
      <w:r>
        <w:rPr>
          <w:rFonts w:ascii="Arial" w:cs="Arial" w:eastAsia="Arial" w:hAnsi="Arial"/>
          <w:color w:val="666666"/>
          <w:sz w:val="20"/>
          <w:szCs w:val="20"/>
        </w:rPr>
        <w:t xml:space="preserve">Working Document — v3.0</w:t>
      </w:r>
    </w:p>
    <w:p>
      <w:pPr>
        <w:jc w:val="center"/>
      </w:pPr>
      <w:r>
        <w:rPr>
          <w:rFonts w:ascii="Arial" w:cs="Arial" w:eastAsia="Arial" w:hAnsi="Arial"/>
          <w:color w:val="666666"/>
          <w:sz w:val="20"/>
          <w:szCs w:val="20"/>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line="276"/>
      </w:pPr>
      <w:r>
        <w:rPr>
          <w:rFonts w:ascii="Arial" w:cs="Arial" w:eastAsia="Arial" w:hAnsi="Arial"/>
          <w:sz w:val="22"/>
          <w:szCs w:val="22"/>
        </w:rPr>
        <w:t xml:space="preserve">Software development is undergoing a phase transition. In 2025, GitHub processed 518.7 million pull requests (+29% year-over-year) and nearly one billion commits (+25%), while review engagement declined 27%. Forty-one percent of all code written is now AI-generated. Every major platform—GitHub, Anthropic, OpenAI, Google, Cursor—has shipped multi-agent coding capabilities. The infrastructure these agents operate on—a twenty-year-old paradigm of flat files, text-based diffing, and human PR review—was designed for sequential human teams writing hundreds of lines per day, not fleets of AI agents generating thousands of lines per minute.</w:t>
      </w:r>
    </w:p>
    <w:p>
      <w:pPr>
        <w:spacing w:after="160" w:line="276"/>
      </w:pPr>
      <w:r>
        <w:rPr>
          <w:rFonts w:ascii="Arial" w:cs="Arial" w:eastAsia="Arial" w:hAnsi="Arial"/>
          <w:sz w:val="22"/>
          <w:szCs w:val="22"/>
        </w:rPr>
        <w:t xml:space="preserve">This document proposes </w:t>
      </w:r>
      <w:r>
        <w:rPr>
          <w:rFonts w:ascii="Arial" w:cs="Arial" w:eastAsia="Arial" w:hAnsi="Arial"/>
          <w:b/>
          <w:bCs/>
          <w:sz w:val="22"/>
          <w:szCs w:val="22"/>
        </w:rPr>
        <w:t xml:space="preserve">Project Codex</w:t>
      </w:r>
      <w:r>
        <w:rPr>
          <w:rFonts w:ascii="Arial" w:cs="Arial" w:eastAsia="Arial" w:hAnsi="Arial"/>
          <w:sz w:val="22"/>
          <w:szCs w:val="22"/>
        </w:rPr>
        <w:t xml:space="preserve">, a five-layer architecture that replaces filesystem + Git + PR review with a purpose-built system for concurrent AI agent development. The architecture separates the probabilistic generation engine (the AI) from a deterministic coordination and validation chassis. The AI reads and computes. The architecture writes and governs.</w:t>
      </w:r>
    </w:p>
    <w:p>
      <w:pPr>
        <w:spacing w:after="160" w:line="276"/>
      </w:pPr>
      <w:r>
        <w:rPr>
          <w:rFonts w:ascii="Arial" w:cs="Arial" w:eastAsia="Arial" w:hAnsi="Arial"/>
          <w:sz w:val="22"/>
          <w:szCs w:val="22"/>
        </w:rPr>
        <w:t xml:space="preserve">The core insight: the transition to machine-speed development is not a storage problem. It is a </w:t>
      </w:r>
      <w:r>
        <w:rPr>
          <w:rFonts w:ascii="Arial" w:cs="Arial" w:eastAsia="Arial" w:hAnsi="Arial"/>
          <w:b/>
          <w:bCs/>
          <w:sz w:val="22"/>
          <w:szCs w:val="22"/>
        </w:rPr>
        <w:t xml:space="preserve">distributed semantic consensus problem</w:t>
      </w:r>
      <w:r>
        <w:rPr>
          <w:rFonts w:ascii="Arial" w:cs="Arial" w:eastAsia="Arial" w:hAnsi="Arial"/>
          <w:sz w:val="22"/>
          <w:szCs w:val="22"/>
        </w:rPr>
        <w:t xml:space="preserve">. No production system today performs concurrent AST-level editing. All use isolation + merge—a strategy that breaks down as agent counts scale from single digits to hundreds.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B2A4A" w:val="clear"/>
            <w:tcMar>
              <w:top w:type="dxa" w:w="100"/>
              <w:left w:type="dxa" w:w="80"/>
              <w:bottom w:type="dxa" w:w="100"/>
              <w:right w:type="dxa" w:w="80"/>
            </w:tcMar>
          </w:tcPr>
          <w:p>
            <w:pPr>
              <w:spacing w:after="40"/>
              <w:jc w:val="center"/>
            </w:pPr>
            <w:r>
              <w:rPr>
                <w:rFonts w:ascii="Arial" w:cs="Arial" w:eastAsia="Arial" w:hAnsi="Arial"/>
                <w:b/>
                <w:bCs/>
                <w:color w:val="FFFFFF"/>
                <w:sz w:val="32"/>
                <w:szCs w:val="32"/>
              </w:rPr>
              <w:t xml:space="preserve">518.7M</w:t>
            </w:r>
          </w:p>
          <w:p>
            <w:pPr>
              <w:spacing w:after="0"/>
              <w:jc w:val="center"/>
            </w:pPr>
            <w:r>
              <w:rPr>
                <w:rFonts w:ascii="Arial" w:cs="Arial" w:eastAsia="Arial" w:hAnsi="Arial"/>
                <w:color w:val="D5E8F0"/>
                <w:sz w:val="18"/>
                <w:szCs w:val="18"/>
              </w:rPr>
              <w:t xml:space="preserve">PRs merged in 2025</w:t>
            </w:r>
          </w:p>
        </w:tc>
        <w:tc>
          <w:tcPr>
            <w:tcW w:type="dxa" w:w="2340"/>
            <w:tcBorders>
              <w:top w:val="single" w:color="2E75B6" w:sz="1"/>
              <w:left w:val="single" w:color="2E75B6" w:sz="1"/>
              <w:bottom w:val="single" w:color="2E75B6" w:sz="1"/>
              <w:right w:val="single" w:color="2E75B6" w:sz="1"/>
            </w:tcBorders>
            <w:shd w:fill="1B2A4A" w:val="clear"/>
            <w:tcMar>
              <w:top w:type="dxa" w:w="100"/>
              <w:left w:type="dxa" w:w="80"/>
              <w:bottom w:type="dxa" w:w="100"/>
              <w:right w:type="dxa" w:w="80"/>
            </w:tcMar>
          </w:tcPr>
          <w:p>
            <w:pPr>
              <w:spacing w:after="40"/>
              <w:jc w:val="center"/>
            </w:pPr>
            <w:r>
              <w:rPr>
                <w:rFonts w:ascii="Arial" w:cs="Arial" w:eastAsia="Arial" w:hAnsi="Arial"/>
                <w:b/>
                <w:bCs/>
                <w:color w:val="FFFFFF"/>
                <w:sz w:val="32"/>
                <w:szCs w:val="32"/>
              </w:rPr>
              <w:t xml:space="preserve">41%</w:t>
            </w:r>
          </w:p>
          <w:p>
            <w:pPr>
              <w:spacing w:after="0"/>
              <w:jc w:val="center"/>
            </w:pPr>
            <w:r>
              <w:rPr>
                <w:rFonts w:ascii="Arial" w:cs="Arial" w:eastAsia="Arial" w:hAnsi="Arial"/>
                <w:color w:val="D5E8F0"/>
                <w:sz w:val="18"/>
                <w:szCs w:val="18"/>
              </w:rPr>
              <w:t xml:space="preserve">Code now AI-generated</w:t>
            </w:r>
          </w:p>
        </w:tc>
        <w:tc>
          <w:tcPr>
            <w:tcW w:type="dxa" w:w="2340"/>
            <w:tcBorders>
              <w:top w:val="single" w:color="2E75B6" w:sz="1"/>
              <w:left w:val="single" w:color="2E75B6" w:sz="1"/>
              <w:bottom w:val="single" w:color="2E75B6" w:sz="1"/>
              <w:right w:val="single" w:color="2E75B6" w:sz="1"/>
            </w:tcBorders>
            <w:shd w:fill="1B2A4A" w:val="clear"/>
            <w:tcMar>
              <w:top w:type="dxa" w:w="100"/>
              <w:left w:type="dxa" w:w="80"/>
              <w:bottom w:type="dxa" w:w="100"/>
              <w:right w:type="dxa" w:w="80"/>
            </w:tcMar>
          </w:tcPr>
          <w:p>
            <w:pPr>
              <w:spacing w:after="40"/>
              <w:jc w:val="center"/>
            </w:pPr>
            <w:r>
              <w:rPr>
                <w:rFonts w:ascii="Arial" w:cs="Arial" w:eastAsia="Arial" w:hAnsi="Arial"/>
                <w:b/>
                <w:bCs/>
                <w:color w:val="FFFFFF"/>
                <w:sz w:val="32"/>
                <w:szCs w:val="32"/>
              </w:rPr>
              <w:t xml:space="preserve">$60M</w:t>
            </w:r>
          </w:p>
          <w:p>
            <w:pPr>
              <w:spacing w:after="0"/>
              <w:jc w:val="center"/>
            </w:pPr>
            <w:r>
              <w:rPr>
                <w:rFonts w:ascii="Arial" w:cs="Arial" w:eastAsia="Arial" w:hAnsi="Arial"/>
                <w:color w:val="D5E8F0"/>
                <w:sz w:val="18"/>
                <w:szCs w:val="18"/>
              </w:rPr>
              <w:t xml:space="preserve">Seed for “beyond Git”</w:t>
            </w:r>
          </w:p>
        </w:tc>
        <w:tc>
          <w:tcPr>
            <w:tcW w:type="dxa" w:w="2340"/>
            <w:tcBorders>
              <w:top w:val="single" w:color="2E75B6" w:sz="1"/>
              <w:left w:val="single" w:color="2E75B6" w:sz="1"/>
              <w:bottom w:val="single" w:color="2E75B6" w:sz="1"/>
              <w:right w:val="single" w:color="2E75B6" w:sz="1"/>
            </w:tcBorders>
            <w:shd w:fill="1B2A4A" w:val="clear"/>
            <w:tcMar>
              <w:top w:type="dxa" w:w="100"/>
              <w:left w:type="dxa" w:w="80"/>
              <w:bottom w:type="dxa" w:w="100"/>
              <w:right w:type="dxa" w:w="80"/>
            </w:tcMar>
          </w:tcPr>
          <w:p>
            <w:pPr>
              <w:spacing w:after="40"/>
              <w:jc w:val="center"/>
            </w:pPr>
            <w:r>
              <w:rPr>
                <w:rFonts w:ascii="Arial" w:cs="Arial" w:eastAsia="Arial" w:hAnsi="Arial"/>
                <w:b/>
                <w:bCs/>
                <w:color w:val="FFFFFF"/>
                <w:sz w:val="32"/>
                <w:szCs w:val="32"/>
              </w:rPr>
              <w:t xml:space="preserve">36.9%</w:t>
            </w:r>
          </w:p>
          <w:p>
            <w:pPr>
              <w:spacing w:after="0"/>
              <w:jc w:val="center"/>
            </w:pPr>
            <w:r>
              <w:rPr>
                <w:rFonts w:ascii="Arial" w:cs="Arial" w:eastAsia="Arial" w:hAnsi="Arial"/>
                <w:color w:val="D5E8F0"/>
                <w:sz w:val="18"/>
                <w:szCs w:val="18"/>
              </w:rPr>
              <w:t xml:space="preserve">Multi-agent failures from coordination</w:t>
            </w:r>
          </w:p>
        </w:tc>
      </w:tr>
    </w:tbl>
    <w:p>
      <w:pPr>
        <w:spacing w:before="120" w:after="120"/>
      </w:pPr>
    </w:p>
    <w:p>
      <w:r>
        <w:br w:type="page"/>
      </w:r>
    </w:p>
    <w:p>
      <w:pPr>
        <w:spacing w:after="120"/>
        <w:jc w:val="center"/>
      </w:pPr>
      <w:r>
        <w:rPr>
          <w:rFonts w:ascii="Arial" w:cs="Arial" w:eastAsia="Arial" w:hAnsi="Arial"/>
          <w:b/>
          <w:bCs/>
          <w:color w:val="1B2A4A"/>
          <w:sz w:val="24"/>
          <w:szCs w:val="24"/>
        </w:rPr>
        <w:t xml:space="preserve">System Architecture</w:t>
      </w:r>
    </w:p>
    <w:p>
      <w:pPr>
        <w:spacing w:after="160"/>
        <w:jc w:val="center"/>
      </w:pPr>
      <w:r>
        <w:drawing>
          <wp:inline distT="0" distB="0" distL="0" distR="0">
            <wp:extent cx="6286500" cy="4457700"/>
            <wp:effectExtent t="0" r="0" b="0" l="0"/>
            <wp:docPr id="1" name="codex-arch" descr="5-layer architecture diagram showing the deterministic coordination chassis and AI zone separation" title="Project Codex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4457700"/>
                    </a:xfrm>
                    <a:prstGeom prst="rect">
                      <a:avLst/>
                    </a:prstGeom>
                  </pic:spPr>
                </pic:pic>
              </a:graphicData>
            </a:graphic>
          </wp:inline>
        </w:drawing>
      </w:r>
    </w:p>
    <w:p>
      <w:pPr>
        <w:spacing w:after="80"/>
        <w:jc w:val="center"/>
      </w:pPr>
      <w:r>
        <w:rPr>
          <w:rFonts w:ascii="Arial" w:cs="Arial" w:eastAsia="Arial" w:hAnsi="Arial"/>
          <w:i/>
          <w:iCs/>
          <w:color w:val="666666"/>
          <w:sz w:val="18"/>
          <w:szCs w:val="18"/>
        </w:rPr>
        <w:t xml:space="preserve">Figure 1: The five-layer deterministic chassis separates the probabilistic AI zone (left) from the write-path (right). Agents read and compute; the architecture validates, tests, and commits.</w:t>
      </w:r>
    </w:p>
    <w:p>
      <w:pPr>
        <w:pBdr>
          <w:bottom w:val="single" w:color="2E75B6" w:sz="4" w:space="8"/>
        </w:pBdr>
        <w:spacing w:before="200" w:after="200"/>
      </w:pPr>
    </w:p>
    <w:p>
      <w:pPr>
        <w:pStyle w:val="Heading1"/>
      </w:pPr>
      <w:r>
        <w:t xml:space="preserve">1. The Problem, Quantified</w:t>
      </w:r>
    </w:p>
    <w:p>
      <w:pPr>
        <w:spacing w:after="160" w:line="276"/>
      </w:pPr>
      <w:r>
        <w:rPr>
          <w:rFonts w:ascii="Arial" w:cs="Arial" w:eastAsia="Arial" w:hAnsi="Arial"/>
          <w:sz w:val="22"/>
          <w:szCs w:val="22"/>
        </w:rPr>
        <w:t xml:space="preserve">The case for a new coordination architecture rests on five converging pressures, each independently severe and collectively unsustainable.</w:t>
      </w:r>
    </w:p>
    <w:p>
      <w:pPr>
        <w:pStyle w:val="Heading2"/>
      </w:pPr>
      <w:r>
        <w:t xml:space="preserve">1.1 Merge Conflicts Scale Structurally</w:t>
      </w:r>
    </w:p>
    <w:p>
      <w:pPr>
        <w:spacing w:after="160" w:line="276"/>
      </w:pPr>
      <w:r>
        <w:rPr>
          <w:rFonts w:ascii="Arial" w:cs="Arial" w:eastAsia="Arial" w:hAnsi="Arial"/>
          <w:sz w:val="22"/>
          <w:szCs w:val="22"/>
        </w:rPr>
        <w:t xml:space="preserve">Google’s monorepo contains 2 billion lines of code across 1 billion files, handling 40,000+ commits per day from 25,000+ engineers. Even with trunk-based development and custom tooling (Piper, CitC, Critique), pre-submit tests can take up to one hour—and if a conflicting change lands during testing, the process halts and requires rebasing. GitHub’s own monorepo saw developers wait 8+ hours in merge trains only to be ejected due to inter-PR conflicts; implementing merge queue reduced average wait time by 33%. At Expedia Group, merge safety enforcement meant that when one PR merged, it immediately blocked every other open PR. Academic research studying 182,273 merge scenarios across 80 projects confirmed that the number of committers, commits, and changed files most strongly influence conflict occurrence—exactly the variables AI agent fleets amplify by orders of magnitude.</w:t>
      </w:r>
    </w:p>
    <w:p>
      <w:pPr>
        <w:pStyle w:val="Heading2"/>
      </w:pPr>
      <w:r>
        <w:t xml:space="preserve">1.2 PR Review Is Now the Binding Constraint</w:t>
      </w:r>
    </w:p>
    <w:p>
      <w:pPr>
        <w:spacing w:after="160" w:line="276"/>
      </w:pPr>
      <w:r>
        <w:rPr>
          <w:rFonts w:ascii="Arial" w:cs="Arial" w:eastAsia="Arial" w:hAnsi="Arial"/>
          <w:sz w:val="22"/>
          <w:szCs w:val="22"/>
        </w:rPr>
        <w:t xml:space="preserve">LinearB’s analysis of roughly one million PRs found that PRs wait 4+ days on average before first review pickup, making code review the number one bottleneck in cycle time. ThinkingLabs analysis shows that 86–99% of a change’s total lead time is spent waiting. Cognition (Devin) has stated explicitly: “code review—not code generation—is now the bottleneck to shipping great products.” When reviews are slow, developers batch more changes into larger PRs to amortize wait time, creating a vicious cycle: larger PRs take longer to review and suffer from rubber-stamping. The median engineer spends 5 hours per week on review; at an average US fully loaded cost of $82–$96/hour, an 80-engineer organization spends roughly $3.4 million per year on code review alone. Microsoft research found 70% of review comments address formatting, naming, and style—only 15–20% identify actual defects.</w:t>
      </w:r>
    </w:p>
    <w:p>
      <w:pPr>
        <w:pStyle w:val="Heading2"/>
      </w:pPr>
      <w:r>
        <w:t xml:space="preserve">1.3 Context-Switching Destroys Remaining Productivity</w:t>
      </w:r>
    </w:p>
    <w:p>
      <w:pPr>
        <w:spacing w:after="160" w:line="276"/>
      </w:pPr>
      <w:r>
        <w:rPr>
          <w:rFonts w:ascii="Arial" w:cs="Arial" w:eastAsia="Arial" w:hAnsi="Arial"/>
          <w:sz w:val="22"/>
          <w:szCs w:val="22"/>
        </w:rPr>
        <w:t xml:space="preserve">Gloria Mark’s foundational UC Irvine research established that it takes 23 minutes and 15 seconds to regain focus after an interruption, with knowledge workers switching tasks every 3 minutes on average. Tracked studies show developers average only 2.3 hours of deep-focus work in an 8-hour day with 47 interruptions per day. Carnegie Mellon research found that a developer on 3 projects operates at 60% efficiency compared to single-project focus. Industry estimates place context-switching costs at roughly $50,000 per developer per year.</w:t>
      </w:r>
    </w:p>
    <w:p>
      <w:pPr>
        <w:pStyle w:val="Heading2"/>
      </w:pPr>
      <w:r>
        <w:t xml:space="preserve">1.4 AI Agents Are Outrunning the Infrastructure</w:t>
      </w:r>
    </w:p>
    <w:p>
      <w:pPr>
        <w:spacing w:after="160" w:line="276"/>
      </w:pPr>
      <w:r>
        <w:rPr>
          <w:rFonts w:ascii="Arial" w:cs="Arial" w:eastAsia="Arial" w:hAnsi="Arial"/>
          <w:sz w:val="22"/>
          <w:szCs w:val="22"/>
        </w:rPr>
        <w:t xml:space="preserve">GitHub Copilot has over 15 million users (4x year-over-year), with 90% of the Fortune 100 adopted. Controlled experiments showed users completing tasks 55.8% faster. Vellum documented going from 946 to 1,910 PRs per month (2x) with the same 15-person team after deploying coding agents, with 37% of PRs initiated by background agents. A study of 129,134 GitHub projects found 15.85–22.60% coding agent adoption—remarkably high for technology only months old. Goldman Sachs plans to deploy “hundreds of Devins that might go into thousands.” Stripe’s “Minions” already produce 1,000+ merged PRs per week.</w:t>
      </w:r>
    </w:p>
    <w:p>
      <w:pPr>
        <w:pStyle w:val="Heading2"/>
      </w:pPr>
      <w:r>
        <w:t xml:space="preserve">1.5 The Quality Signal Is Degrading</w:t>
      </w:r>
    </w:p>
    <w:p>
      <w:pPr>
        <w:spacing w:after="160" w:line="276"/>
      </w:pPr>
      <w:r>
        <w:rPr>
          <w:rFonts w:ascii="Arial" w:cs="Arial" w:eastAsia="Arial" w:hAnsi="Arial"/>
          <w:sz w:val="22"/>
          <w:szCs w:val="22"/>
        </w:rPr>
        <w:t xml:space="preserve">GitClear’s analysis of 211 million changed lines found code duplication up 4x with AI assistance and code churn (lines reverted or updated within 2 weeks) doubled from 3.1% to 5.7%. Copy/pasted code exceeded moved code for the first time in history. Security studies found roughly 30–40% of AI-generated code contains exploitable vulnerabilities, and 19.7% of recommended packages were fabricated. If a single agent has a 30% defect rate, the probability of at least one defective component reaches 83.2% with 5 agents and 97.2% with 10 agents. The DORA 2025 report documented an “AI Productivity Paradox”: individual-level improvements don’t translate into company-level gains, with AI correlating with higher delivery instability, more change failures, and increased rework.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00"/>
              <w:left w:type="dxa" w:w="160"/>
              <w:bottom w:type="dxa" w:w="100"/>
              <w:right w:type="dxa" w:w="160"/>
            </w:tcMar>
          </w:tcPr>
          <w:p>
            <w:pPr>
              <w:spacing w:after="60"/>
            </w:pPr>
            <w:r>
              <w:rPr>
                <w:rFonts w:ascii="Arial" w:cs="Arial" w:eastAsia="Arial" w:hAnsi="Arial"/>
                <w:b/>
                <w:bCs/>
                <w:color w:val="1B2A4A"/>
                <w:sz w:val="20"/>
                <w:szCs w:val="20"/>
              </w:rPr>
              <w:t xml:space="preserve">THE INFLECTION POINT</w:t>
            </w:r>
          </w:p>
          <w:p>
            <w:pPr>
              <w:spacing w:after="0"/>
            </w:pPr>
            <w:r>
              <w:rPr>
                <w:rFonts w:ascii="Arial" w:cs="Arial" w:eastAsia="Arial" w:hAnsi="Arial"/>
                <w:color w:val="1B2A4A"/>
                <w:sz w:val="20"/>
                <w:szCs w:val="20"/>
              </w:rPr>
              <w:t xml:space="preserve">GitHub’s 2025 data shows 518.7M PRs merged (+29% YoY) while review comments dropped 27%. The system is processing more code with less scrutiny. When the infrastructure designed for human-speed review faces machine-speed generation, the result is not efficiency—it is entropy.</w:t>
            </w:r>
          </w:p>
        </w:tc>
      </w:tr>
    </w:tbl>
    <w:p>
      <w:pPr>
        <w:spacing w:before="80" w:after="80"/>
      </w:pPr>
    </w:p>
    <w:p>
      <w:pPr>
        <w:pBdr>
          <w:bottom w:val="single" w:color="2E75B6" w:sz="4" w:space="8"/>
        </w:pBdr>
        <w:spacing w:before="200" w:after="200"/>
      </w:pPr>
    </w:p>
    <w:p>
      <w:pPr>
        <w:pStyle w:val="Heading1"/>
      </w:pPr>
      <w:r>
        <w:t xml:space="preserve">2. Core Thesis</w:t>
      </w:r>
    </w:p>
    <w:p>
      <w:pPr>
        <w:spacing w:after="160" w:line="276"/>
      </w:pPr>
      <w:r>
        <w:rPr>
          <w:rFonts w:ascii="Arial" w:cs="Arial" w:eastAsia="Arial" w:hAnsi="Arial"/>
          <w:sz w:val="22"/>
          <w:szCs w:val="22"/>
        </w:rPr>
        <w:t xml:space="preserve">The industry’s knee-jerk proposal to “store code in a database like Postgres” fundamentally misunderstands the problem. The transition to machine-speed development is not a storage problem; it is a </w:t>
      </w:r>
      <w:r>
        <w:rPr>
          <w:rFonts w:ascii="Arial" w:cs="Arial" w:eastAsia="Arial" w:hAnsi="Arial"/>
          <w:b/>
          <w:bCs/>
          <w:sz w:val="22"/>
          <w:szCs w:val="22"/>
        </w:rPr>
        <w:t xml:space="preserve">distributed semantic consensus problem</w:t>
      </w:r>
      <w:r>
        <w:rPr>
          <w:rFonts w:ascii="Arial" w:cs="Arial" w:eastAsia="Arial" w:hAnsi="Arial"/>
          <w:sz w:val="22"/>
          <w:szCs w:val="22"/>
        </w:rPr>
        <w:t xml:space="preserve">.</w:t>
      </w:r>
    </w:p>
    <w:p>
      <w:pPr>
        <w:spacing w:after="160" w:line="276"/>
      </w:pPr>
      <w:r>
        <w:rPr>
          <w:rFonts w:ascii="Arial" w:cs="Arial" w:eastAsia="Arial" w:hAnsi="Arial"/>
          <w:sz w:val="22"/>
          <w:szCs w:val="22"/>
        </w:rPr>
        <w:t xml:space="preserve">To enable an AI coding entity to ceaselessly produce without collapsing into architectural rot, the system must separate the </w:t>
      </w:r>
      <w:r>
        <w:rPr>
          <w:rFonts w:ascii="Arial" w:cs="Arial" w:eastAsia="Arial" w:hAnsi="Arial"/>
          <w:i/>
          <w:iCs/>
          <w:sz w:val="22"/>
          <w:szCs w:val="22"/>
        </w:rPr>
        <w:t xml:space="preserve">probabilistic</w:t>
      </w:r>
      <w:r>
        <w:rPr>
          <w:rFonts w:ascii="Arial" w:cs="Arial" w:eastAsia="Arial" w:hAnsi="Arial"/>
          <w:sz w:val="22"/>
          <w:szCs w:val="22"/>
        </w:rPr>
        <w:t xml:space="preserve"> generation engine (the AI/LLM) from a </w:t>
      </w:r>
      <w:r>
        <w:rPr>
          <w:rFonts w:ascii="Arial" w:cs="Arial" w:eastAsia="Arial" w:hAnsi="Arial"/>
          <w:i/>
          <w:iCs/>
          <w:sz w:val="22"/>
          <w:szCs w:val="22"/>
        </w:rPr>
        <w:t xml:space="preserve">deterministic</w:t>
      </w:r>
      <w:r>
        <w:rPr>
          <w:rFonts w:ascii="Arial" w:cs="Arial" w:eastAsia="Arial" w:hAnsi="Arial"/>
          <w:sz w:val="22"/>
          <w:szCs w:val="22"/>
        </w:rPr>
        <w:t xml:space="preserve"> coordination and validation chassis. This separation is not merely architectural preference. Every production AI coding system in 2025—2026—OpenAI Codex, Augment Code, Devin, Cursor—avoids concurrent code editing entirely, defaulting to isolated git worktrees or branches merged after the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00"/>
              <w:left w:type="dxa" w:w="160"/>
              <w:bottom w:type="dxa" w:w="100"/>
              <w:right w:type="dxa" w:w="160"/>
            </w:tcMar>
          </w:tcPr>
          <w:p>
            <w:pPr>
              <w:spacing w:after="60"/>
            </w:pPr>
            <w:r>
              <w:rPr>
                <w:rFonts w:ascii="Arial" w:cs="Arial" w:eastAsia="Arial" w:hAnsi="Arial"/>
                <w:b/>
                <w:bCs/>
                <w:color w:val="1B2A4A"/>
                <w:sz w:val="20"/>
                <w:szCs w:val="20"/>
              </w:rPr>
              <w:t xml:space="preserve">DESIGN PRINCIPLE</w:t>
            </w:r>
          </w:p>
          <w:p>
            <w:pPr>
              <w:spacing w:after="0"/>
            </w:pPr>
            <w:r>
              <w:rPr>
                <w:rFonts w:ascii="Arial" w:cs="Arial" w:eastAsia="Arial" w:hAnsi="Arial"/>
                <w:color w:val="1B2A4A"/>
                <w:sz w:val="20"/>
                <w:szCs w:val="20"/>
              </w:rPr>
              <w:t xml:space="preserve">The AI proposes. The architecture disposes. No probabilistic system governs the write-path.</w:t>
            </w:r>
          </w:p>
        </w:tc>
      </w:tr>
    </w:tbl>
    <w:p>
      <w:pPr>
        <w:spacing w:before="80" w:after="80"/>
      </w:pPr>
    </w:p>
    <w:p>
      <w:pPr>
        <w:spacing w:after="160" w:line="276"/>
      </w:pPr>
      <w:r>
        <w:rPr>
          <w:rFonts w:ascii="Arial" w:cs="Arial" w:eastAsia="Arial" w:hAnsi="Arial"/>
          <w:sz w:val="22"/>
          <w:szCs w:val="22"/>
        </w:rPr>
        <w:t xml:space="preserve">The read-path / compute-path / write-path separation:</w:t>
      </w:r>
    </w:p>
    <w:p>
      <w:pPr>
        <w:pStyle w:val="ListParagraph"/>
        <w:numPr>
          <w:ilvl w:val="0"/>
          <w:numId w:val="2"/>
        </w:numPr>
        <w:spacing w:after="80" w:line="276"/>
      </w:pPr>
      <w:r>
        <w:rPr>
          <w:rFonts w:ascii="Arial" w:cs="Arial" w:eastAsia="Arial" w:hAnsi="Arial"/>
          <w:b/>
          <w:bCs/>
          <w:sz w:val="22"/>
          <w:szCs w:val="22"/>
        </w:rPr>
        <w:t xml:space="preserve">Read-Path (AI/RAG): </w:t>
      </w:r>
      <w:r>
        <w:rPr>
          <w:rFonts w:ascii="Arial" w:cs="Arial" w:eastAsia="Arial" w:hAnsi="Arial"/>
          <w:sz w:val="22"/>
          <w:szCs w:val="22"/>
        </w:rPr>
        <w:t xml:space="preserve">The AI uses GraphRAG to read the Semantic Code Graph and Event Log, synthesizing context to understand system state.</w:t>
      </w:r>
    </w:p>
    <w:p>
      <w:pPr>
        <w:pStyle w:val="ListParagraph"/>
        <w:numPr>
          <w:ilvl w:val="0"/>
          <w:numId w:val="2"/>
        </w:numPr>
        <w:spacing w:after="80" w:line="276"/>
      </w:pPr>
      <w:r>
        <w:rPr>
          <w:rFonts w:ascii="Arial" w:cs="Arial" w:eastAsia="Arial" w:hAnsi="Arial"/>
          <w:b/>
          <w:bCs/>
          <w:sz w:val="22"/>
          <w:szCs w:val="22"/>
        </w:rPr>
        <w:t xml:space="preserve">Compute-Path (AI/LLM): </w:t>
      </w:r>
      <w:r>
        <w:rPr>
          <w:rFonts w:ascii="Arial" w:cs="Arial" w:eastAsia="Arial" w:hAnsi="Arial"/>
          <w:sz w:val="22"/>
          <w:szCs w:val="22"/>
        </w:rPr>
        <w:t xml:space="preserve">The AI generates an intent and the corresponding AST mutations.</w:t>
      </w:r>
    </w:p>
    <w:p>
      <w:pPr>
        <w:pStyle w:val="ListParagraph"/>
        <w:numPr>
          <w:ilvl w:val="0"/>
          <w:numId w:val="2"/>
        </w:numPr>
        <w:spacing w:after="80" w:line="276"/>
      </w:pPr>
      <w:r>
        <w:rPr>
          <w:rFonts w:ascii="Arial" w:cs="Arial" w:eastAsia="Arial" w:hAnsi="Arial"/>
          <w:b/>
          <w:bCs/>
          <w:sz w:val="22"/>
          <w:szCs w:val="22"/>
        </w:rPr>
        <w:t xml:space="preserve">Write-Path (Deterministic): </w:t>
      </w:r>
      <w:r>
        <w:rPr>
          <w:rFonts w:ascii="Arial" w:cs="Arial" w:eastAsia="Arial" w:hAnsi="Arial"/>
          <w:sz w:val="22"/>
          <w:szCs w:val="22"/>
        </w:rPr>
        <w:t xml:space="preserve">The coordination, validation, and event layers validate, test, and commit the mutation. The AI does not govern the write-path.</w:t>
      </w:r>
    </w:p>
    <w:p>
      <w:pPr>
        <w:pBdr>
          <w:bottom w:val="single" w:color="2E75B6" w:sz="4" w:space="8"/>
        </w:pBdr>
        <w:spacing w:before="200" w:after="200"/>
      </w:pPr>
    </w:p>
    <w:p>
      <w:pPr>
        <w:pStyle w:val="Heading1"/>
      </w:pPr>
      <w:r>
        <w:t xml:space="preserve">3. The 5-Layer Blueprint</w:t>
      </w:r>
    </w:p>
    <w:p>
      <w:pPr>
        <w:spacing w:after="160" w:line="276"/>
      </w:pPr>
      <w:r>
        <w:rPr>
          <w:rFonts w:ascii="Arial" w:cs="Arial" w:eastAsia="Arial" w:hAnsi="Arial"/>
          <w:sz w:val="22"/>
          <w:szCs w:val="22"/>
        </w:rPr>
        <w:t xml:space="preserve">The architecture comprises five layers, each replacing a specific bottleneck in the current paradigm. Layers are ordered by criticality: Layer 1 is the foundation everything depends on; Layer 5 is the adoption vehicle that makes the rest invisible to existing toolchains.</w:t>
      </w:r>
    </w:p>
    <w:p>
      <w:pPr>
        <w:pStyle w:val="Heading2"/>
      </w:pPr>
      <w:r>
        <w:t xml:space="preserve">Layer 1: Semantic Code Graph (The Source of Truth)</w:t>
      </w:r>
    </w:p>
    <w:p>
      <w:pPr>
        <w:spacing w:after="160" w:line="276"/>
      </w:pPr>
      <w:r>
        <w:rPr>
          <w:rFonts w:ascii="Arial" w:cs="Arial" w:eastAsia="Arial" w:hAnsi="Arial"/>
          <w:sz w:val="22"/>
          <w:szCs w:val="22"/>
        </w:rPr>
        <w:t xml:space="preserve">Replacing flat files and naive database rows with a purpose-built store that represents code as lossless Concrete Syntax Trees (CSTs) with mapped dependency graphs.</w:t>
      </w:r>
    </w:p>
    <w:p>
      <w:pPr>
        <w:pStyle w:val="Heading3"/>
      </w:pPr>
      <w:r>
        <w:t xml:space="preserve">Concept</w:t>
      </w:r>
    </w:p>
    <w:p>
      <w:pPr>
        <w:spacing w:after="160" w:line="276"/>
      </w:pPr>
      <w:r>
        <w:rPr>
          <w:rFonts w:ascii="Arial" w:cs="Arial" w:eastAsia="Arial" w:hAnsi="Arial"/>
          <w:sz w:val="22"/>
          <w:szCs w:val="22"/>
        </w:rPr>
        <w:t xml:space="preserve">Nodes are semantic units—functions, classes, interfaces, modules. Edges are relationships—calls, inherits, implements, imports. Every piece of source text, including whitespace, comments, and formatting, is preserved in the tree. The graph is the single source of truth; files are a rendered view.</w:t>
      </w:r>
    </w:p>
    <w:p>
      <w:pPr>
        <w:pStyle w:val="Heading3"/>
      </w:pPr>
      <w:r>
        <w:t xml:space="preserve">Mechanism</w:t>
      </w:r>
    </w:p>
    <w:p>
      <w:pPr>
        <w:spacing w:after="160" w:line="276"/>
      </w:pPr>
      <w:r>
        <w:rPr>
          <w:rFonts w:ascii="Arial" w:cs="Arial" w:eastAsia="Arial" w:hAnsi="Arial"/>
          <w:sz w:val="22"/>
          <w:szCs w:val="22"/>
        </w:rPr>
        <w:t xml:space="preserve">Granular, semantic-level locking. Agent A and Agent B can edit different functions within the same traditional “file” simultaneously without conflict, because the graph tracks ownership at the node level, not the file level.</w:t>
      </w:r>
    </w:p>
    <w:p>
      <w:pPr>
        <w:pStyle w:val="Heading3"/>
      </w:pPr>
      <w:r>
        <w:t xml:space="preserve">RAG Integration</w:t>
      </w:r>
    </w:p>
    <w:p>
      <w:pPr>
        <w:spacing w:after="160" w:line="276"/>
      </w:pPr>
      <w:r>
        <w:rPr>
          <w:rFonts w:ascii="Arial" w:cs="Arial" w:eastAsia="Arial" w:hAnsi="Arial"/>
          <w:sz w:val="22"/>
          <w:szCs w:val="22"/>
        </w:rPr>
        <w:t xml:space="preserve">A 2025 study found that deterministic AST-derived graph RAG built its ontology in 2.81 seconds versus 200 seconds for LLM-based graph extraction, achieved perfect accuracy on test queries, and cost 10x less. The Joern project’s Code Property Graph—combining AST, control flow, and program dependence graphs—is the established industry standard for this pattern.</w:t>
      </w:r>
    </w:p>
    <w:p>
      <w:pPr>
        <w:pStyle w:val="Heading3"/>
      </w:pPr>
      <w:r>
        <w:t xml:space="preserve">Prior Art: The Lossless Roundtrip Problem</w:t>
      </w:r>
    </w:p>
    <w:p>
      <w:pPr>
        <w:spacing w:after="160" w:line="276"/>
      </w:pPr>
      <w:r>
        <w:rPr>
          <w:rFonts w:ascii="Arial" w:cs="Arial" w:eastAsia="Arial" w:hAnsi="Arial"/>
          <w:sz w:val="22"/>
          <w:szCs w:val="22"/>
        </w:rPr>
        <w:t xml:space="preserve">The problem of parsing code into a tree and reconstructing it byte-for-byte is solved per-language but not universally. Roslyn’s RedGreen trees guarantee lossless roundtripping for C#/VB by storing whitespace and comments as SyntaxTrivia attached to tokens. LibCST achieves the same for Python, SwiftSyntax for Swift, and rowan/cstree (Rust) for rust-analyzer. Tree-sitter, despite supporting 200+ language grammars, is not self-contained lossless—it stores byte ranges rather than whitespace text.</w:t>
      </w:r>
    </w:p>
    <w:p>
      <w:pPr>
        <w:spacing w:after="160" w:line="276"/>
      </w:pPr>
      <w:r>
        <w:rPr>
          <w:rFonts w:ascii="Arial" w:cs="Arial" w:eastAsia="Arial" w:hAnsi="Arial"/>
          <w:b/>
          <w:bCs/>
          <w:sz w:val="22"/>
          <w:szCs w:val="22"/>
        </w:rPr>
        <w:t xml:space="preserve">Recommended architecture: </w:t>
      </w:r>
      <w:r>
        <w:rPr>
          <w:rFonts w:ascii="Arial" w:cs="Arial" w:eastAsia="Arial" w:hAnsi="Arial"/>
          <w:sz w:val="22"/>
          <w:szCs w:val="22"/>
        </w:rPr>
        <w:t xml:space="preserve">Rowan (Rust) as the CST library, tree-sitter as the parsing frontend, with a per-language trivia assignment layer that converts tree-sitter’s byte-gap whitespace model into explicit trivia nodes. Tree-sitter delivers sub-millisecond incremental updates for single-character edits and parses a 10,000-line C file in under 100ms.</w:t>
      </w:r>
    </w:p>
    <w:p>
      <w:pPr>
        <w:pStyle w:val="Heading3"/>
      </w:pPr>
      <w:r>
        <w:t xml:space="preserve">Graph Database Selection</w:t>
      </w:r>
    </w:p>
    <w:p>
      <w:pPr>
        <w:spacing w:after="160" w:line="276"/>
      </w:pPr>
      <w:r>
        <w:rPr>
          <w:rFonts w:ascii="Arial" w:cs="Arial" w:eastAsia="Arial" w:hAnsi="Arial"/>
          <w:sz w:val="22"/>
          <w:szCs w:val="22"/>
        </w:rPr>
        <w:t xml:space="preserve">Sub-millisecond AST traversal requires an embedded, in-process engine. The tiered recommendation:</w:t>
      </w:r>
    </w:p>
    <w:p>
      <w:pPr>
        <w:pStyle w:val="ListParagraph"/>
        <w:numPr>
          <w:ilvl w:val="0"/>
          <w:numId w:val="2"/>
        </w:numPr>
        <w:spacing w:after="80" w:line="276"/>
      </w:pPr>
      <w:r>
        <w:rPr>
          <w:rFonts w:ascii="Arial" w:cs="Arial" w:eastAsia="Arial" w:hAnsi="Arial"/>
          <w:b/>
          <w:bCs/>
          <w:sz w:val="22"/>
          <w:szCs w:val="22"/>
        </w:rPr>
        <w:t xml:space="preserve">Hot path (per-agent): </w:t>
      </w:r>
      <w:r>
        <w:rPr>
          <w:rFonts w:ascii="Arial" w:cs="Arial" w:eastAsia="Arial" w:hAnsi="Arial"/>
          <w:sz w:val="22"/>
          <w:szCs w:val="22"/>
        </w:rPr>
        <w:t xml:space="preserve">petgraph (Rust) or CozoDB embedded. Nanosecond-level traversals, zero serialization. CozoDB adds Datalog queries and MVCC concurrency with sub-1ms two-hop traversals.</w:t>
      </w:r>
    </w:p>
    <w:p>
      <w:pPr>
        <w:pStyle w:val="ListParagraph"/>
        <w:numPr>
          <w:ilvl w:val="0"/>
          <w:numId w:val="2"/>
        </w:numPr>
        <w:spacing w:after="80" w:line="276"/>
      </w:pPr>
      <w:r>
        <w:rPr>
          <w:rFonts w:ascii="Arial" w:cs="Arial" w:eastAsia="Arial" w:hAnsi="Arial"/>
          <w:b/>
          <w:bCs/>
          <w:sz w:val="22"/>
          <w:szCs w:val="22"/>
        </w:rPr>
        <w:t xml:space="preserve">Warm path (cross-agent sync): </w:t>
      </w:r>
      <w:r>
        <w:rPr>
          <w:rFonts w:ascii="Arial" w:cs="Arial" w:eastAsia="Arial" w:hAnsi="Arial"/>
          <w:sz w:val="22"/>
          <w:szCs w:val="22"/>
        </w:rPr>
        <w:t xml:space="preserve">Memgraph (C++). 1.09ms one-hop expansion, 32,028 QPS—roughly 114x faster throughput than Neo4j on equivalent benchmarks.</w:t>
      </w:r>
    </w:p>
    <w:p>
      <w:pPr>
        <w:pStyle w:val="ListParagraph"/>
        <w:numPr>
          <w:ilvl w:val="0"/>
          <w:numId w:val="2"/>
        </w:numPr>
        <w:spacing w:after="80" w:line="276"/>
      </w:pPr>
      <w:r>
        <w:rPr>
          <w:rFonts w:ascii="Arial" w:cs="Arial" w:eastAsia="Arial" w:hAnsi="Arial"/>
          <w:b/>
          <w:bCs/>
          <w:sz w:val="22"/>
          <w:szCs w:val="22"/>
        </w:rPr>
        <w:t xml:space="preserve">Rich modeling (optional): </w:t>
      </w:r>
      <w:r>
        <w:rPr>
          <w:rFonts w:ascii="Arial" w:cs="Arial" w:eastAsia="Arial" w:hAnsi="Arial"/>
          <w:sz w:val="22"/>
          <w:szCs w:val="22"/>
        </w:rPr>
        <w:t xml:space="preserve">TypeDB 3 (Rust rewrite). Best type system for semantic code modeling but 8–60ms latency disqualifies it from the hot path.</w:t>
      </w:r>
    </w:p>
    <w:p>
      <w:pPr>
        <w:pStyle w:val="Heading3"/>
      </w:pPr>
      <w:r>
        <w:t xml:space="preserve">Scale Feasibility</w:t>
      </w:r>
    </w:p>
    <w:p>
      <w:pPr>
        <w:spacing w:after="160" w:line="276"/>
      </w:pPr>
      <w:r>
        <w:rPr>
          <w:rFonts w:ascii="Arial" w:cs="Arial" w:eastAsia="Arial" w:hAnsi="Arial"/>
          <w:sz w:val="22"/>
          <w:szCs w:val="22"/>
        </w:rPr>
        <w:t xml:space="preserve">Benchmarks show a simple tree AST requires approximately 230 bytes per line of code, dropping to 100–150 bytes with interning and compression. Storage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Codebase</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LOC</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Optimized AST</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AST + Semantic Graph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Large Enterprise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1M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100–150 MB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300–500 MB</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Major Product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10M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1–1.5 GB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3–5 GB</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FAANG-Scale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100M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10–15 GB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30–50 GB</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Google Monorepo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2B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200–300 GB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600 GB–1 TB</w:t>
            </w:r>
          </w:p>
        </w:tc>
      </w:tr>
    </w:tbl>
    <w:p>
      <w:pPr>
        <w:spacing w:before="80" w:after="80"/>
      </w:pPr>
    </w:p>
    <w:p>
      <w:pPr>
        <w:pStyle w:val="Heading3"/>
      </w:pPr>
      <w:r>
        <w:t xml:space="preserve">Open Research Vectors</w:t>
      </w:r>
    </w:p>
    <w:p>
      <w:pPr>
        <w:pStyle w:val="ListParagraph"/>
        <w:numPr>
          <w:ilvl w:val="0"/>
          <w:numId w:val="2"/>
        </w:numPr>
        <w:spacing w:after="80" w:line="276"/>
      </w:pPr>
      <w:r>
        <w:rPr>
          <w:rFonts w:ascii="Arial" w:cs="Arial" w:eastAsia="Arial" w:hAnsi="Arial"/>
          <w:b/>
          <w:bCs/>
          <w:sz w:val="22"/>
          <w:szCs w:val="22"/>
        </w:rPr>
        <w:t xml:space="preserve">Universal trivia assignment: </w:t>
      </w:r>
      <w:r>
        <w:rPr>
          <w:rFonts w:ascii="Arial" w:cs="Arial" w:eastAsia="Arial" w:hAnsi="Arial"/>
          <w:sz w:val="22"/>
          <w:szCs w:val="22"/>
        </w:rPr>
        <w:t xml:space="preserve">Per-language logic converting tree-sitter’s byte gaps into Roslyn-style explicit trivia. Must be built for each target language.</w:t>
      </w:r>
    </w:p>
    <w:p>
      <w:pPr>
        <w:pStyle w:val="ListParagraph"/>
        <w:numPr>
          <w:ilvl w:val="0"/>
          <w:numId w:val="2"/>
        </w:numPr>
        <w:spacing w:after="80" w:line="276"/>
      </w:pPr>
      <w:r>
        <w:rPr>
          <w:rFonts w:ascii="Arial" w:cs="Arial" w:eastAsia="Arial" w:hAnsi="Arial"/>
          <w:b/>
          <w:bCs/>
          <w:sz w:val="22"/>
          <w:szCs w:val="22"/>
        </w:rPr>
        <w:t xml:space="preserve">Comment association: </w:t>
      </w:r>
      <w:r>
        <w:rPr>
          <w:rFonts w:ascii="Arial" w:cs="Arial" w:eastAsia="Arial" w:hAnsi="Arial"/>
          <w:sz w:val="22"/>
          <w:szCs w:val="22"/>
        </w:rPr>
        <w:t xml:space="preserve">Comments float between AST nodes without syntactic homes. Reassignment during code moves is inherently ambiguous—cited as the single biggest unsolved problem by multiple compiler teams.</w:t>
      </w:r>
    </w:p>
    <w:p>
      <w:pPr>
        <w:pStyle w:val="ListParagraph"/>
        <w:numPr>
          <w:ilvl w:val="0"/>
          <w:numId w:val="2"/>
        </w:numPr>
        <w:spacing w:after="80" w:line="276"/>
      </w:pPr>
      <w:r>
        <w:rPr>
          <w:rFonts w:ascii="Arial" w:cs="Arial" w:eastAsia="Arial" w:hAnsi="Arial"/>
          <w:b/>
          <w:bCs/>
          <w:sz w:val="22"/>
          <w:szCs w:val="22"/>
        </w:rPr>
        <w:t xml:space="preserve">Cross-language embedded syntax: </w:t>
      </w:r>
      <w:r>
        <w:rPr>
          <w:rFonts w:ascii="Arial" w:cs="Arial" w:eastAsia="Arial" w:hAnsi="Arial"/>
          <w:sz w:val="22"/>
          <w:szCs w:val="22"/>
        </w:rPr>
        <w:t xml:space="preserve">HTML+JS+CSS, JSX, and template literals have partial tree-sitter support but no lossless roundtrip across language boundaries.</w:t>
      </w:r>
    </w:p>
    <w:p>
      <w:pPr>
        <w:pBdr>
          <w:bottom w:val="single" w:color="2E75B6" w:sz="4" w:space="8"/>
        </w:pBdr>
        <w:spacing w:before="200" w:after="200"/>
      </w:pPr>
    </w:p>
    <w:p>
      <w:pPr>
        <w:pStyle w:val="Heading2"/>
      </w:pPr>
      <w:r>
        <w:t xml:space="preserve">Layer 2: Intent-Based Coordination (The Workspace)</w:t>
      </w:r>
    </w:p>
    <w:p>
      <w:pPr>
        <w:spacing w:after="160" w:line="276"/>
      </w:pPr>
      <w:r>
        <w:rPr>
          <w:rFonts w:ascii="Arial" w:cs="Arial" w:eastAsia="Arial" w:hAnsi="Arial"/>
          <w:sz w:val="22"/>
          <w:szCs w:val="22"/>
        </w:rPr>
        <w:t xml:space="preserve">Replacing isolated git branches with a shared workspace governed by declared intentions. This layer contains the architecture’s hardest unsolved problem.</w:t>
      </w:r>
    </w:p>
    <w:p>
      <w:pPr>
        <w:pStyle w:val="Heading3"/>
      </w:pPr>
      <w:r>
        <w:t xml:space="preserve">Concept</w:t>
      </w:r>
    </w:p>
    <w:p>
      <w:pPr>
        <w:spacing w:after="160" w:line="276"/>
      </w:pPr>
      <w:r>
        <w:rPr>
          <w:rFonts w:ascii="Arial" w:cs="Arial" w:eastAsia="Arial" w:hAnsi="Arial"/>
          <w:sz w:val="22"/>
          <w:szCs w:val="22"/>
        </w:rPr>
        <w:t xml:space="preserve">Agents do not write code directly. They publish an Intent Payload (e.g., “Refactoring auth.ts to support OAuth2”). The coordination layer analyzes the Semantic Graph to check for lock collisions or semantic conflicts. If a collision is detected, the intent is queued or rejected before compute is wasted generating the code.</w:t>
      </w:r>
    </w:p>
    <w:p>
      <w:pPr>
        <w:pStyle w:val="Heading3"/>
      </w:pPr>
      <w:r>
        <w:t xml:space="preserve">The Core Problem: Structural Validity Is Not Semantic Validity</w:t>
      </w:r>
    </w:p>
    <w:p>
      <w:pPr>
        <w:spacing w:after="160" w:line="276"/>
      </w:pPr>
      <w:r>
        <w:rPr>
          <w:rFonts w:ascii="Arial" w:cs="Arial" w:eastAsia="Arial" w:hAnsi="Arial"/>
          <w:sz w:val="22"/>
          <w:szCs w:val="22"/>
        </w:rPr>
        <w:t xml:space="preserve">Existing tree CRDTs guarantee concurrent edits produce a structurally valid tree. They do not guarantee the tree represents a semantically valid program. Two agents both adding a parameter to a function call could produce a structurally valid tree with incorrect 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00"/>
              <w:left w:type="dxa" w:w="160"/>
              <w:bottom w:type="dxa" w:w="100"/>
              <w:right w:type="dxa" w:w="160"/>
            </w:tcMar>
          </w:tcPr>
          <w:p>
            <w:pPr>
              <w:spacing w:after="60"/>
            </w:pPr>
            <w:r>
              <w:rPr>
                <w:rFonts w:ascii="Arial" w:cs="Arial" w:eastAsia="Arial" w:hAnsi="Arial"/>
                <w:b/>
                <w:bCs/>
                <w:color w:val="1B2A4A"/>
                <w:sz w:val="20"/>
                <w:szCs w:val="20"/>
              </w:rPr>
              <w:t xml:space="preserve">THE GAP</w:t>
            </w:r>
          </w:p>
          <w:p>
            <w:pPr>
              <w:spacing w:after="0"/>
            </w:pPr>
            <w:r>
              <w:rPr>
                <w:rFonts w:ascii="Arial" w:cs="Arial" w:eastAsia="Arial" w:hAnsi="Arial"/>
                <w:color w:val="1B2A4A"/>
                <w:sz w:val="20"/>
                <w:szCs w:val="20"/>
              </w:rPr>
              <w:t xml:space="preserve">Conflict-free means there is no conflict in the data structure semantics, not that concurrent operations on a syntax tree produce a valid program. This distinction is the central unsolved problem.</w:t>
            </w:r>
          </w:p>
        </w:tc>
      </w:tr>
    </w:tbl>
    <w:p>
      <w:pPr>
        <w:spacing w:before="80" w:after="80"/>
      </w:pPr>
    </w:p>
    <w:p>
      <w:pPr>
        <w:pStyle w:val="Heading3"/>
      </w:pPr>
      <w:r>
        <w:t xml:space="preserve">Prior Art: Tree CRDTs</w:t>
      </w:r>
    </w:p>
    <w:p>
      <w:pPr>
        <w:pStyle w:val="ListParagraph"/>
        <w:numPr>
          <w:ilvl w:val="0"/>
          <w:numId w:val="2"/>
        </w:numPr>
        <w:spacing w:after="80" w:line="276"/>
      </w:pPr>
      <w:r>
        <w:rPr>
          <w:rFonts w:ascii="Arial" w:cs="Arial" w:eastAsia="Arial" w:hAnsi="Arial"/>
          <w:b/>
          <w:bCs/>
          <w:sz w:val="22"/>
          <w:szCs w:val="22"/>
        </w:rPr>
        <w:t xml:space="preserve">Kleppmann et al. (IEEE TPDS 2021): </w:t>
      </w:r>
      <w:r>
        <w:rPr>
          <w:rFonts w:ascii="Arial" w:cs="Arial" w:eastAsia="Arial" w:hAnsi="Arial"/>
          <w:sz w:val="22"/>
          <w:szCs w:val="22"/>
        </w:rPr>
        <w:t xml:space="preserve">Formally verified (Isabelle/HOL proofs) tree CRDT with move operations. ~5,500 ops/sec CRDT mode, ~22,000 ops/sec with leader. Demonstrated bugs in both Google Drive and Dropbox.</w:t>
      </w:r>
    </w:p>
    <w:p>
      <w:pPr>
        <w:pStyle w:val="ListParagraph"/>
        <w:numPr>
          <w:ilvl w:val="0"/>
          <w:numId w:val="2"/>
        </w:numPr>
        <w:spacing w:after="80" w:line="276"/>
      </w:pPr>
      <w:r>
        <w:rPr>
          <w:rFonts w:ascii="Arial" w:cs="Arial" w:eastAsia="Arial" w:hAnsi="Arial"/>
          <w:b/>
          <w:bCs/>
          <w:sz w:val="22"/>
          <w:szCs w:val="22"/>
        </w:rPr>
        <w:t xml:space="preserve">Loro (Rust + JS): </w:t>
      </w:r>
      <w:r>
        <w:rPr>
          <w:rFonts w:ascii="Arial" w:cs="Arial" w:eastAsia="Arial" w:hAnsi="Arial"/>
          <w:sz w:val="22"/>
          <w:szCs w:val="22"/>
        </w:rPr>
        <w:t xml:space="preserve">Most production-ready tree CRDT. Incorporates Kleppmann’s algorithm with native movable trees, rich text (Fugue), lists, and maps.</w:t>
      </w:r>
    </w:p>
    <w:p>
      <w:pPr>
        <w:pStyle w:val="ListParagraph"/>
        <w:numPr>
          <w:ilvl w:val="0"/>
          <w:numId w:val="2"/>
        </w:numPr>
        <w:spacing w:after="80" w:line="276"/>
      </w:pPr>
      <w:r>
        <w:rPr>
          <w:rFonts w:ascii="Arial" w:cs="Arial" w:eastAsia="Arial" w:hAnsi="Arial"/>
          <w:b/>
          <w:bCs/>
          <w:sz w:val="22"/>
          <w:szCs w:val="22"/>
        </w:rPr>
        <w:t xml:space="preserve">Yjs / Automerge: </w:t>
      </w:r>
      <w:r>
        <w:rPr>
          <w:rFonts w:ascii="Arial" w:cs="Arial" w:eastAsia="Arial" w:hAnsi="Arial"/>
          <w:sz w:val="22"/>
          <w:szCs w:val="22"/>
        </w:rPr>
        <w:t xml:space="preserve">Excellent for text but limited tree support. No native move operations or tree-specific conflict resolution.</w:t>
      </w:r>
    </w:p>
    <w:p>
      <w:pPr>
        <w:pStyle w:val="Heading3"/>
      </w:pPr>
      <w:r>
        <w:t xml:space="preserve">What Production Systems Actually Do</w:t>
      </w:r>
    </w:p>
    <w:p>
      <w:pPr>
        <w:spacing w:after="160" w:line="276"/>
      </w:pPr>
      <w:r>
        <w:rPr>
          <w:rFonts w:ascii="Arial" w:cs="Arial" w:eastAsia="Arial" w:hAnsi="Arial"/>
          <w:sz w:val="22"/>
          <w:szCs w:val="22"/>
        </w:rPr>
        <w:t xml:space="preserve">Every production AI coding system avoids concurrent AST editing:</w:t>
      </w:r>
    </w:p>
    <w:p>
      <w:pPr>
        <w:pStyle w:val="ListParagraph"/>
        <w:numPr>
          <w:ilvl w:val="0"/>
          <w:numId w:val="2"/>
        </w:numPr>
        <w:spacing w:after="80" w:line="276"/>
      </w:pPr>
      <w:r>
        <w:rPr>
          <w:rFonts w:ascii="Arial" w:cs="Arial" w:eastAsia="Arial" w:hAnsi="Arial"/>
          <w:b/>
          <w:bCs/>
          <w:sz w:val="22"/>
          <w:szCs w:val="22"/>
        </w:rPr>
        <w:t xml:space="preserve">Augment Code “Intent”: </w:t>
      </w:r>
      <w:r>
        <w:rPr>
          <w:rFonts w:ascii="Arial" w:cs="Arial" w:eastAsia="Arial" w:hAnsi="Arial"/>
          <w:sz w:val="22"/>
          <w:szCs w:val="22"/>
        </w:rPr>
        <w:t xml:space="preserve">Coordinator decomposes specs, implementors execute in isolated git worktrees, verifiers validate.</w:t>
      </w:r>
    </w:p>
    <w:p>
      <w:pPr>
        <w:pStyle w:val="ListParagraph"/>
        <w:numPr>
          <w:ilvl w:val="0"/>
          <w:numId w:val="2"/>
        </w:numPr>
        <w:spacing w:after="80" w:line="276"/>
      </w:pPr>
      <w:r>
        <w:rPr>
          <w:rFonts w:ascii="Arial" w:cs="Arial" w:eastAsia="Arial" w:hAnsi="Arial"/>
          <w:b/>
          <w:bCs/>
          <w:sz w:val="22"/>
          <w:szCs w:val="22"/>
        </w:rPr>
        <w:t xml:space="preserve">OpenAI Codex multi-agent: </w:t>
      </w:r>
      <w:r>
        <w:rPr>
          <w:rFonts w:ascii="Arial" w:cs="Arial" w:eastAsia="Arial" w:hAnsi="Arial"/>
          <w:sz w:val="22"/>
          <w:szCs w:val="22"/>
        </w:rPr>
        <w:t xml:space="preserve">Per-agent git worktrees with post-hoc merge.</w:t>
      </w:r>
    </w:p>
    <w:p>
      <w:pPr>
        <w:pStyle w:val="ListParagraph"/>
        <w:numPr>
          <w:ilvl w:val="0"/>
          <w:numId w:val="2"/>
        </w:numPr>
        <w:spacing w:after="80" w:line="276"/>
      </w:pPr>
      <w:r>
        <w:rPr>
          <w:rFonts w:ascii="Arial" w:cs="Arial" w:eastAsia="Arial" w:hAnsi="Arial"/>
          <w:b/>
          <w:bCs/>
          <w:sz w:val="22"/>
          <w:szCs w:val="22"/>
        </w:rPr>
        <w:t xml:space="preserve">Cursor (8 parallel agents): </w:t>
      </w:r>
      <w:r>
        <w:rPr>
          <w:rFonts w:ascii="Arial" w:cs="Arial" w:eastAsia="Arial" w:hAnsi="Arial"/>
          <w:sz w:val="22"/>
          <w:szCs w:val="22"/>
        </w:rPr>
        <w:t xml:space="preserve">Planners, Workers, and Judges operating on separate file regions.</w:t>
      </w:r>
    </w:p>
    <w:p>
      <w:pPr>
        <w:pStyle w:val="ListParagraph"/>
        <w:numPr>
          <w:ilvl w:val="0"/>
          <w:numId w:val="2"/>
        </w:numPr>
        <w:spacing w:after="80" w:line="276"/>
      </w:pPr>
      <w:r>
        <w:rPr>
          <w:rFonts w:ascii="Arial" w:cs="Arial" w:eastAsia="Arial" w:hAnsi="Arial"/>
          <w:b/>
          <w:bCs/>
          <w:sz w:val="22"/>
          <w:szCs w:val="22"/>
        </w:rPr>
        <w:t xml:space="preserve">Devin 2.0: </w:t>
      </w:r>
      <w:r>
        <w:rPr>
          <w:rFonts w:ascii="Arial" w:cs="Arial" w:eastAsia="Arial" w:hAnsi="Arial"/>
          <w:sz w:val="22"/>
          <w:szCs w:val="22"/>
        </w:rPr>
        <w:t xml:space="preserve">Parallel sub-tasks on separate branches.</w:t>
      </w:r>
    </w:p>
    <w:p>
      <w:pPr>
        <w:spacing w:after="160" w:line="276"/>
      </w:pPr>
      <w:r>
        <w:rPr>
          <w:rFonts w:ascii="Arial" w:cs="Arial" w:eastAsia="Arial" w:hAnsi="Arial"/>
          <w:i/>
          <w:iCs/>
          <w:sz w:val="22"/>
          <w:szCs w:val="22"/>
        </w:rPr>
        <w:t xml:space="preserve">No production system performs concurrent AST-level editing. All use isolation + merge.</w:t>
      </w:r>
    </w:p>
    <w:p>
      <w:pPr>
        <w:pStyle w:val="Heading3"/>
      </w:pPr>
      <w:r>
        <w:t xml:space="preserve">Proposed Mechanism</w:t>
      </w:r>
    </w:p>
    <w:p>
      <w:pPr>
        <w:spacing w:after="160" w:line="276"/>
      </w:pPr>
      <w:r>
        <w:rPr>
          <w:rFonts w:ascii="Arial" w:cs="Arial" w:eastAsia="Arial" w:hAnsi="Arial"/>
          <w:sz w:val="22"/>
          <w:szCs w:val="22"/>
        </w:rPr>
        <w:t xml:space="preserve">A layered coordination approach combining five mechanisms:</w:t>
      </w:r>
    </w:p>
    <w:p>
      <w:pPr>
        <w:pStyle w:val="ListParagraph"/>
        <w:numPr>
          <w:ilvl w:val="0"/>
          <w:numId w:val="2"/>
        </w:numPr>
        <w:spacing w:after="80" w:line="276"/>
      </w:pPr>
      <w:r>
        <w:rPr>
          <w:rFonts w:ascii="Arial" w:cs="Arial" w:eastAsia="Arial" w:hAnsi="Arial"/>
          <w:b/>
          <w:bCs/>
          <w:sz w:val="22"/>
          <w:szCs w:val="22"/>
        </w:rPr>
        <w:t xml:space="preserve">Kleppmann-style tree CRDT (Loro) </w:t>
      </w:r>
      <w:r>
        <w:rPr>
          <w:rFonts w:ascii="Arial" w:cs="Arial" w:eastAsia="Arial" w:hAnsi="Arial"/>
          <w:sz w:val="22"/>
          <w:szCs w:val="22"/>
        </w:rPr>
        <w:t xml:space="preserve">for structural convergence guarantees.</w:t>
      </w:r>
    </w:p>
    <w:p>
      <w:pPr>
        <w:pStyle w:val="ListParagraph"/>
        <w:numPr>
          <w:ilvl w:val="0"/>
          <w:numId w:val="2"/>
        </w:numPr>
        <w:spacing w:after="80" w:line="276"/>
      </w:pPr>
      <w:r>
        <w:rPr>
          <w:rFonts w:ascii="Arial" w:cs="Arial" w:eastAsia="Arial" w:hAnsi="Arial"/>
          <w:b/>
          <w:bCs/>
          <w:sz w:val="22"/>
          <w:szCs w:val="22"/>
        </w:rPr>
        <w:t xml:space="preserve">Semantic validation layer </w:t>
      </w:r>
      <w:r>
        <w:rPr>
          <w:rFonts w:ascii="Arial" w:cs="Arial" w:eastAsia="Arial" w:hAnsi="Arial"/>
          <w:sz w:val="22"/>
          <w:szCs w:val="22"/>
        </w:rPr>
        <w:t xml:space="preserve">that rejects structurally-valid but semantically-invalid merges.</w:t>
      </w:r>
    </w:p>
    <w:p>
      <w:pPr>
        <w:pStyle w:val="ListParagraph"/>
        <w:numPr>
          <w:ilvl w:val="0"/>
          <w:numId w:val="2"/>
        </w:numPr>
        <w:spacing w:after="80" w:line="276"/>
      </w:pPr>
      <w:r>
        <w:rPr>
          <w:rFonts w:ascii="Arial" w:cs="Arial" w:eastAsia="Arial" w:hAnsi="Arial"/>
          <w:b/>
          <w:bCs/>
          <w:sz w:val="22"/>
          <w:szCs w:val="22"/>
        </w:rPr>
        <w:t xml:space="preserve">Intent declaration protocol </w:t>
      </w:r>
      <w:r>
        <w:rPr>
          <w:rFonts w:ascii="Arial" w:cs="Arial" w:eastAsia="Arial" w:hAnsi="Arial"/>
          <w:sz w:val="22"/>
          <w:szCs w:val="22"/>
        </w:rPr>
        <w:t xml:space="preserve">where agents announce planned AST regions before editing.</w:t>
      </w:r>
    </w:p>
    <w:p>
      <w:pPr>
        <w:pStyle w:val="ListParagraph"/>
        <w:numPr>
          <w:ilvl w:val="0"/>
          <w:numId w:val="2"/>
        </w:numPr>
        <w:spacing w:after="80" w:line="276"/>
      </w:pPr>
      <w:r>
        <w:rPr>
          <w:rFonts w:ascii="Arial" w:cs="Arial" w:eastAsia="Arial" w:hAnsi="Arial"/>
          <w:b/>
          <w:bCs/>
          <w:sz w:val="22"/>
          <w:szCs w:val="22"/>
        </w:rPr>
        <w:t xml:space="preserve">Semantic locking at function/class granularity </w:t>
      </w:r>
      <w:r>
        <w:rPr>
          <w:rFonts w:ascii="Arial" w:cs="Arial" w:eastAsia="Arial" w:hAnsi="Arial"/>
          <w:sz w:val="22"/>
          <w:szCs w:val="22"/>
        </w:rPr>
        <w:t xml:space="preserve">based on commutativity analysis.</w:t>
      </w:r>
    </w:p>
    <w:p>
      <w:pPr>
        <w:pStyle w:val="ListParagraph"/>
        <w:numPr>
          <w:ilvl w:val="0"/>
          <w:numId w:val="2"/>
        </w:numPr>
        <w:spacing w:after="80" w:line="276"/>
      </w:pPr>
      <w:r>
        <w:rPr>
          <w:rFonts w:ascii="Arial" w:cs="Arial" w:eastAsia="Arial" w:hAnsi="Arial"/>
          <w:b/>
          <w:bCs/>
          <w:sz w:val="22"/>
          <w:szCs w:val="22"/>
        </w:rPr>
        <w:t xml:space="preserve">Saga-pattern compensating transactions </w:t>
      </w:r>
      <w:r>
        <w:rPr>
          <w:rFonts w:ascii="Arial" w:cs="Arial" w:eastAsia="Arial" w:hAnsi="Arial"/>
          <w:sz w:val="22"/>
          <w:szCs w:val="22"/>
        </w:rPr>
        <w:t xml:space="preserve">for rollback when semantic validation fails.</w:t>
      </w:r>
    </w:p>
    <w:p>
      <w:pPr>
        <w:pStyle w:val="Heading3"/>
      </w:pPr>
      <w:r>
        <w:t xml:space="preserve">Open Research Vectors</w:t>
      </w:r>
    </w:p>
    <w:p>
      <w:pPr>
        <w:pStyle w:val="ListParagraph"/>
        <w:numPr>
          <w:ilvl w:val="0"/>
          <w:numId w:val="2"/>
        </w:numPr>
        <w:spacing w:after="80" w:line="276"/>
      </w:pPr>
      <w:r>
        <w:rPr>
          <w:rFonts w:ascii="Arial" w:cs="Arial" w:eastAsia="Arial" w:hAnsi="Arial"/>
          <w:b/>
          <w:bCs/>
          <w:sz w:val="22"/>
          <w:szCs w:val="22"/>
        </w:rPr>
        <w:t xml:space="preserve">Semantic CRDT validation: </w:t>
      </w:r>
      <w:r>
        <w:rPr>
          <w:rFonts w:ascii="Arial" w:cs="Arial" w:eastAsia="Arial" w:hAnsi="Arial"/>
          <w:sz w:val="22"/>
          <w:szCs w:val="22"/>
        </w:rPr>
        <w:t xml:space="preserve">Ensuring merged ASTs produce type-correct programs. The single hardest open problem.</w:t>
      </w:r>
    </w:p>
    <w:p>
      <w:pPr>
        <w:pStyle w:val="ListParagraph"/>
        <w:numPr>
          <w:ilvl w:val="0"/>
          <w:numId w:val="2"/>
        </w:numPr>
        <w:spacing w:after="80" w:line="276"/>
      </w:pPr>
      <w:r>
        <w:rPr>
          <w:rFonts w:ascii="Arial" w:cs="Arial" w:eastAsia="Arial" w:hAnsi="Arial"/>
          <w:b/>
          <w:bCs/>
          <w:sz w:val="22"/>
          <w:szCs w:val="22"/>
        </w:rPr>
        <w:t xml:space="preserve">Intent pre-validation protocol: </w:t>
      </w:r>
      <w:r>
        <w:rPr>
          <w:rFonts w:ascii="Arial" w:cs="Arial" w:eastAsia="Arial" w:hAnsi="Arial"/>
          <w:sz w:val="22"/>
          <w:szCs w:val="22"/>
        </w:rPr>
        <w:t xml:space="preserve">No working implementation exists anywhere.</w:t>
      </w:r>
    </w:p>
    <w:p>
      <w:pPr>
        <w:pStyle w:val="ListParagraph"/>
        <w:numPr>
          <w:ilvl w:val="0"/>
          <w:numId w:val="2"/>
        </w:numPr>
        <w:spacing w:after="80" w:line="276"/>
      </w:pPr>
      <w:r>
        <w:rPr>
          <w:rFonts w:ascii="Arial" w:cs="Arial" w:eastAsia="Arial" w:hAnsi="Arial"/>
          <w:b/>
          <w:bCs/>
          <w:sz w:val="22"/>
          <w:szCs w:val="22"/>
        </w:rPr>
        <w:t xml:space="preserve">Compensating transaction design: </w:t>
      </w:r>
      <w:r>
        <w:rPr>
          <w:rFonts w:ascii="Arial" w:cs="Arial" w:eastAsia="Arial" w:hAnsi="Arial"/>
          <w:sz w:val="22"/>
          <w:szCs w:val="22"/>
        </w:rPr>
        <w:t xml:space="preserve">The combinatorial complexity of “undo” in a semantic graph.</w:t>
      </w:r>
    </w:p>
    <w:p>
      <w:pPr>
        <w:pBdr>
          <w:bottom w:val="single" w:color="2E75B6" w:sz="4" w:space="8"/>
        </w:pBdr>
        <w:spacing w:before="200" w:after="200"/>
      </w:pPr>
    </w:p>
    <w:p>
      <w:pPr>
        <w:pStyle w:val="Heading2"/>
      </w:pPr>
      <w:r>
        <w:t xml:space="preserve">Layer 3: Continuous Automated Validation (The Safety Net)</w:t>
      </w:r>
    </w:p>
    <w:p>
      <w:pPr>
        <w:spacing w:after="160" w:line="276"/>
      </w:pPr>
      <w:r>
        <w:rPr>
          <w:rFonts w:ascii="Arial" w:cs="Arial" w:eastAsia="Arial" w:hAnsi="Arial"/>
          <w:sz w:val="22"/>
          <w:szCs w:val="22"/>
        </w:rPr>
        <w:t xml:space="preserve">Replacing batch human PR reviews with real-time, rule-based execution. Every semantic mutation triggers an immediate, deterministic validation pipeline.</w:t>
      </w:r>
    </w:p>
    <w:p>
      <w:pPr>
        <w:pStyle w:val="Heading3"/>
      </w:pPr>
      <w:r>
        <w:t xml:space="preserve">Mechanism</w:t>
      </w:r>
    </w:p>
    <w:p>
      <w:pPr>
        <w:spacing w:after="160" w:line="276"/>
      </w:pPr>
      <w:r>
        <w:rPr>
          <w:rFonts w:ascii="Arial" w:cs="Arial" w:eastAsia="Arial" w:hAnsi="Arial"/>
          <w:sz w:val="22"/>
          <w:szCs w:val="22"/>
        </w:rPr>
        <w:t xml:space="preserve">Type checking (Pyright, tsc), bounded test execution, and architectural constraint checking running in milliseconds. Human oversight is exception-based—humans are pinged only when validation fails on a risk-flagged boundary (database schema change, public API alteration).</w:t>
      </w:r>
    </w:p>
    <w:p>
      <w:pPr>
        <w:pStyle w:val="Heading3"/>
      </w:pPr>
      <w:r>
        <w:t xml:space="preserve">Prior Art</w:t>
      </w:r>
    </w:p>
    <w:p>
      <w:pPr>
        <w:pStyle w:val="ListParagraph"/>
        <w:numPr>
          <w:ilvl w:val="0"/>
          <w:numId w:val="2"/>
        </w:numPr>
        <w:spacing w:after="80" w:line="276"/>
      </w:pPr>
      <w:r>
        <w:rPr>
          <w:rFonts w:ascii="Arial" w:cs="Arial" w:eastAsia="Arial" w:hAnsi="Arial"/>
          <w:b/>
          <w:bCs/>
          <w:sz w:val="22"/>
          <w:szCs w:val="22"/>
        </w:rPr>
        <w:t xml:space="preserve">Salsa (Rust, 3.5M+ downloads): </w:t>
      </w:r>
      <w:r>
        <w:rPr>
          <w:rFonts w:ascii="Arial" w:cs="Arial" w:eastAsia="Arial" w:hAnsi="Arial"/>
          <w:sz w:val="22"/>
          <w:szCs w:val="22"/>
        </w:rPr>
        <w:t xml:space="preserve">Models computation as a DAG with automatic dependency tracking, memoization, and early-cutoff optimization. Powers rust-analyzer. Key invariant: “Typing inside a function body never invalidates global derived data.”</w:t>
      </w:r>
    </w:p>
    <w:p>
      <w:pPr>
        <w:pStyle w:val="ListParagraph"/>
        <w:numPr>
          <w:ilvl w:val="0"/>
          <w:numId w:val="2"/>
        </w:numPr>
        <w:spacing w:after="80" w:line="276"/>
      </w:pPr>
      <w:r>
        <w:rPr>
          <w:rFonts w:ascii="Arial" w:cs="Arial" w:eastAsia="Arial" w:hAnsi="Arial"/>
          <w:b/>
          <w:bCs/>
          <w:sz w:val="22"/>
          <w:szCs w:val="22"/>
        </w:rPr>
        <w:t xml:space="preserve">Buck2 (Meta): </w:t>
      </w:r>
      <w:r>
        <w:rPr>
          <w:rFonts w:ascii="Arial" w:cs="Arial" w:eastAsia="Arial" w:hAnsi="Arial"/>
          <w:sz w:val="22"/>
          <w:szCs w:val="22"/>
        </w:rPr>
        <w:t xml:space="preserve">DICE incremental dependency graph with remote-execution-first architecture.</w:t>
      </w:r>
    </w:p>
    <w:p>
      <w:pPr>
        <w:pStyle w:val="ListParagraph"/>
        <w:numPr>
          <w:ilvl w:val="0"/>
          <w:numId w:val="2"/>
        </w:numPr>
        <w:spacing w:after="80" w:line="276"/>
      </w:pPr>
      <w:r>
        <w:rPr>
          <w:rFonts w:ascii="Arial" w:cs="Arial" w:eastAsia="Arial" w:hAnsi="Arial"/>
          <w:b/>
          <w:bCs/>
          <w:sz w:val="22"/>
          <w:szCs w:val="22"/>
        </w:rPr>
        <w:t xml:space="preserve">Turborepo: </w:t>
      </w:r>
      <w:r>
        <w:rPr>
          <w:rFonts w:ascii="Arial" w:cs="Arial" w:eastAsia="Arial" w:hAnsi="Arial"/>
          <w:sz w:val="22"/>
          <w:szCs w:val="22"/>
        </w:rPr>
        <w:t xml:space="preserve">Content-aware hashing where build artifacts are cached by source hash.</w:t>
      </w:r>
    </w:p>
    <w:p>
      <w:pPr>
        <w:pStyle w:val="Heading3"/>
      </w:pPr>
      <w:r>
        <w:t xml:space="preserve">Latency Targets</w:t>
      </w:r>
    </w:p>
    <w:p>
      <w:pPr>
        <w:spacing w:after="160" w:line="276"/>
      </w:pPr>
      <w:r>
        <w:rPr>
          <w:rFonts w:ascii="Arial" w:cs="Arial" w:eastAsia="Arial" w:hAnsi="Arial"/>
          <w:sz w:val="22"/>
          <w:szCs w:val="22"/>
        </w:rPr>
        <w:t xml:space="preserve">Acceptable thresholds: &lt;50ms perceived as instantaneous, &lt;100ms acceptable for interactive tools, &lt;200ms for time-to-first-token. The Deno LSP reduced auto-completion from 8 seconds to &lt;1 second for 75K lines of TypeScript. Target: &lt;100ms for incremental validation after single-edit changes, &lt;500ms for cross-file semantic validation.</w:t>
      </w:r>
    </w:p>
    <w:p>
      <w:pPr>
        <w:pStyle w:val="Heading3"/>
      </w:pPr>
      <w:r>
        <w:t xml:space="preserve">Open Research Vectors</w:t>
      </w:r>
    </w:p>
    <w:p>
      <w:pPr>
        <w:pStyle w:val="ListParagraph"/>
        <w:numPr>
          <w:ilvl w:val="0"/>
          <w:numId w:val="2"/>
        </w:numPr>
        <w:spacing w:after="80" w:line="276"/>
      </w:pPr>
      <w:r>
        <w:rPr>
          <w:rFonts w:ascii="Arial" w:cs="Arial" w:eastAsia="Arial" w:hAnsi="Arial"/>
          <w:b/>
          <w:bCs/>
          <w:sz w:val="22"/>
          <w:szCs w:val="22"/>
        </w:rPr>
        <w:t xml:space="preserve">Function-level incremental testing: </w:t>
      </w:r>
      <w:r>
        <w:rPr>
          <w:rFonts w:ascii="Arial" w:cs="Arial" w:eastAsia="Arial" w:hAnsi="Arial"/>
          <w:sz w:val="22"/>
          <w:szCs w:val="22"/>
        </w:rPr>
        <w:t xml:space="preserve">No system isolates and tests individual semantic units based on AST dependency analysis.</w:t>
      </w:r>
    </w:p>
    <w:p>
      <w:pPr>
        <w:pStyle w:val="ListParagraph"/>
        <w:numPr>
          <w:ilvl w:val="0"/>
          <w:numId w:val="2"/>
        </w:numPr>
        <w:spacing w:after="80" w:line="276"/>
      </w:pPr>
      <w:r>
        <w:rPr>
          <w:rFonts w:ascii="Arial" w:cs="Arial" w:eastAsia="Arial" w:hAnsi="Arial"/>
          <w:b/>
          <w:bCs/>
          <w:sz w:val="22"/>
          <w:szCs w:val="22"/>
        </w:rPr>
        <w:t xml:space="preserve">Cross-language real-time validation: </w:t>
      </w:r>
      <w:r>
        <w:rPr>
          <w:rFonts w:ascii="Arial" w:cs="Arial" w:eastAsia="Arial" w:hAnsi="Arial"/>
          <w:sz w:val="22"/>
          <w:szCs w:val="22"/>
        </w:rPr>
        <w:t xml:space="preserve">rust-analyzer achieves this for Rust alone. No multi-language production system exists.</w:t>
      </w:r>
    </w:p>
    <w:p>
      <w:pPr>
        <w:pBdr>
          <w:bottom w:val="single" w:color="2E75B6" w:sz="4" w:space="8"/>
        </w:pBdr>
        <w:spacing w:before="200" w:after="200"/>
      </w:pPr>
    </w:p>
    <w:p>
      <w:pPr>
        <w:pStyle w:val="Heading2"/>
      </w:pPr>
      <w:r>
        <w:t xml:space="preserve">Layer 4: Immutable Event Log (The Nervous System)</w:t>
      </w:r>
    </w:p>
    <w:p>
      <w:pPr>
        <w:spacing w:after="160" w:line="276"/>
      </w:pPr>
      <w:r>
        <w:rPr>
          <w:rFonts w:ascii="Arial" w:cs="Arial" w:eastAsia="Arial" w:hAnsi="Arial"/>
          <w:sz w:val="22"/>
          <w:szCs w:val="22"/>
        </w:rPr>
        <w:t xml:space="preserve">Replacing git history with richer, queryable provenance. Every approved mutation is an event in an append-only log, enabling semantic rollback (“undo the OAuth feature” rather than “revert the last 5 commits”).</w:t>
      </w:r>
    </w:p>
    <w:p>
      <w:pPr>
        <w:pStyle w:val="Heading3"/>
      </w:pPr>
      <w:r>
        <w:t xml:space="preserve">Stream Infrastructure</w:t>
      </w:r>
    </w:p>
    <w:p>
      <w:pPr>
        <w:spacing w:after="160" w:line="276"/>
      </w:pPr>
      <w:r>
        <w:rPr>
          <w:rFonts w:ascii="Arial" w:cs="Arial" w:eastAsia="Arial" w:hAnsi="Arial"/>
          <w:b/>
          <w:bCs/>
          <w:sz w:val="22"/>
          <w:szCs w:val="22"/>
        </w:rPr>
        <w:t xml:space="preserve">Recommendation: </w:t>
      </w:r>
      <w:r>
        <w:rPr>
          <w:rFonts w:ascii="Arial" w:cs="Arial" w:eastAsia="Arial" w:hAnsi="Arial"/>
          <w:sz w:val="22"/>
          <w:szCs w:val="22"/>
        </w:rPr>
        <w:t xml:space="preserve">NATS JetStream for initial implementation—single Go binary, built-in KV store, up to 800K msgs/sec, natural event-sourcing semantics. Migrate to Redpanda (lower tail latency) or Kafka (max ecosystem maturity) only at scale.</w:t>
      </w:r>
    </w:p>
    <w:p>
      <w:pPr>
        <w:pStyle w:val="Heading3"/>
      </w:pPr>
      <w:r>
        <w:t xml:space="preserve">Open Research Vectors</w:t>
      </w:r>
    </w:p>
    <w:p>
      <w:pPr>
        <w:pStyle w:val="ListParagraph"/>
        <w:numPr>
          <w:ilvl w:val="0"/>
          <w:numId w:val="2"/>
        </w:numPr>
        <w:spacing w:after="80" w:line="276"/>
      </w:pPr>
      <w:r>
        <w:rPr>
          <w:rFonts w:ascii="Arial" w:cs="Arial" w:eastAsia="Arial" w:hAnsi="Arial"/>
          <w:b/>
          <w:bCs/>
          <w:sz w:val="22"/>
          <w:szCs w:val="22"/>
        </w:rPr>
        <w:t xml:space="preserve">Semantic event sourcing: </w:t>
      </w:r>
      <w:r>
        <w:rPr>
          <w:rFonts w:ascii="Arial" w:cs="Arial" w:eastAsia="Arial" w:hAnsi="Arial"/>
          <w:sz w:val="22"/>
          <w:szCs w:val="22"/>
        </w:rPr>
        <w:t xml:space="preserve">Genuinely novel. Event sourcing has never been applied to semantic code changes in any mainstream project.</w:t>
      </w:r>
    </w:p>
    <w:p>
      <w:pPr>
        <w:pStyle w:val="ListParagraph"/>
        <w:numPr>
          <w:ilvl w:val="0"/>
          <w:numId w:val="2"/>
        </w:numPr>
        <w:spacing w:after="80" w:line="276"/>
      </w:pPr>
      <w:r>
        <w:rPr>
          <w:rFonts w:ascii="Arial" w:cs="Arial" w:eastAsia="Arial" w:hAnsi="Arial"/>
          <w:b/>
          <w:bCs/>
          <w:sz w:val="22"/>
          <w:szCs w:val="22"/>
        </w:rPr>
        <w:t xml:space="preserve">State rehydration: </w:t>
      </w:r>
      <w:r>
        <w:rPr>
          <w:rFonts w:ascii="Arial" w:cs="Arial" w:eastAsia="Arial" w:hAnsi="Arial"/>
          <w:sz w:val="22"/>
          <w:szCs w:val="22"/>
        </w:rPr>
        <w:t xml:space="preserve">Optimizing speed of rebuilding the Semantic Graph from the event log.</w:t>
      </w:r>
    </w:p>
    <w:p>
      <w:pPr>
        <w:pBdr>
          <w:bottom w:val="single" w:color="2E75B6" w:sz="4" w:space="8"/>
        </w:pBdr>
        <w:spacing w:before="200" w:after="200"/>
      </w:pPr>
    </w:p>
    <w:p>
      <w:pPr>
        <w:pStyle w:val="Heading2"/>
      </w:pPr>
      <w:r>
        <w:t xml:space="preserve">Layer 5: Compatibility Shim (The Trojan Horse)</w:t>
      </w:r>
    </w:p>
    <w:p>
      <w:pPr>
        <w:spacing w:after="160" w:line="276"/>
      </w:pPr>
      <w:r>
        <w:rPr>
          <w:rFonts w:ascii="Arial" w:cs="Arial" w:eastAsia="Arial" w:hAnsi="Arial"/>
          <w:sz w:val="22"/>
          <w:szCs w:val="22"/>
        </w:rPr>
        <w:t xml:space="preserve">A custom LSP proxy. Human IDEs think they are talking to a standard filesystem. The LSP translates human text edits into AST mutations, and feeds agent intents into the IDE as inline visual diagnostics. Custom methods prefixed with a namespace (codex/semanticDiff, codex/validationStatus) extend the protocol without breaking standard editor compatibility.</w:t>
      </w:r>
    </w:p>
    <w:p>
      <w:pPr>
        <w:spacing w:after="160" w:line="276"/>
      </w:pPr>
      <w:r>
        <w:rPr>
          <w:rFonts w:ascii="Arial" w:cs="Arial" w:eastAsia="Arial" w:hAnsi="Arial"/>
          <w:sz w:val="22"/>
          <w:szCs w:val="22"/>
        </w:rPr>
        <w:t xml:space="preserve">Production LSP proxies already exist (Val Town’s vtlsp, techee’s lsp-proxy). All major AI coding tools—Cursor, Continue.dev, OpenCode—augment LSP rather than replace it, validating the shim approach.</w:t>
      </w:r>
    </w:p>
    <w:p>
      <w:pPr>
        <w:pBdr>
          <w:bottom w:val="single" w:color="2E75B6" w:sz="4" w:space="8"/>
        </w:pBdr>
        <w:spacing w:before="200" w:after="200"/>
      </w:pPr>
    </w:p>
    <w:p>
      <w:pPr>
        <w:pStyle w:val="Heading1"/>
      </w:pPr>
      <w:r>
        <w:t xml:space="preserve">4. Threat Model: What Happens Without Coordination</w:t>
      </w:r>
    </w:p>
    <w:p>
      <w:pPr>
        <w:spacing w:after="160" w:line="276"/>
      </w:pPr>
      <w:r>
        <w:rPr>
          <w:rFonts w:ascii="Arial" w:cs="Arial" w:eastAsia="Arial" w:hAnsi="Arial"/>
          <w:sz w:val="22"/>
          <w:szCs w:val="22"/>
        </w:rPr>
        <w:t xml:space="preserve">This section catalogues the failure modes that emerge when AI agents operate at scale without semantic coordination—the threats Project Codex is designed to neutralize.</w:t>
      </w:r>
    </w:p>
    <w:p>
      <w:pPr>
        <w:pStyle w:val="Heading2"/>
      </w:pPr>
      <w:r>
        <w:t xml:space="preserve">4.1 Agentic Drift</w:t>
      </w:r>
    </w:p>
    <w:p>
      <w:pPr>
        <w:spacing w:after="160" w:line="276"/>
      </w:pPr>
      <w:r>
        <w:rPr>
          <w:rFonts w:ascii="Arial" w:cs="Arial" w:eastAsia="Arial" w:hAnsi="Arial"/>
          <w:sz w:val="22"/>
          <w:szCs w:val="22"/>
        </w:rPr>
        <w:t xml:space="preserve">Developer Helge Sverre documented the gradual, invisible divergence when parallel autonomous agents work on related code. He observed one agent adding dynamic model discovery, another adding a slightly different version under a different class name, and a third inlining its own implementation—three versions of the same concept across three branches, none aware of the others. His empirical finding: integration tax is nonlinear. Two parallel agents produce roughly 1.5x integration work, but eight agents produce roughly 5x.</w:t>
      </w:r>
    </w:p>
    <w:p>
      <w:pPr>
        <w:pStyle w:val="Heading2"/>
      </w:pPr>
      <w:r>
        <w:t xml:space="preserve">4.2 Architectural Erosion Accelerates Under AI</w:t>
      </w:r>
    </w:p>
    <w:p>
      <w:pPr>
        <w:spacing w:after="160" w:line="276"/>
      </w:pPr>
      <w:r>
        <w:rPr>
          <w:rFonts w:ascii="Arial" w:cs="Arial" w:eastAsia="Arial" w:hAnsi="Arial"/>
          <w:sz w:val="22"/>
          <w:szCs w:val="22"/>
        </w:rPr>
        <w:t xml:space="preserve">Li et al. (2022) systematically reviewed 73 studies on architectural erosion, finding it manifests through violations, structural issues, quality degradation, and evolution impediments. GitClear’s analysis of 211 million changed lines showed code duplication up 4x with AI, and copy/paste exceeded moved code for the first time in history. AI-generated code threatens to dramatically accelerate the erosion cycle that already costs enterprises 40% of their IT balance sheets in technical debt (McKinsey estimate).</w:t>
      </w:r>
    </w:p>
    <w:p>
      <w:pPr>
        <w:pStyle w:val="Heading2"/>
      </w:pPr>
      <w:r>
        <w:t xml:space="preserve">4.3 Multi-Agent Failure Modes Are Well-Documented</w:t>
      </w:r>
    </w:p>
    <w:p>
      <w:pPr>
        <w:spacing w:after="160" w:line="276"/>
      </w:pPr>
      <w:r>
        <w:rPr>
          <w:rFonts w:ascii="Arial" w:cs="Arial" w:eastAsia="Arial" w:hAnsi="Arial"/>
          <w:sz w:val="22"/>
          <w:szCs w:val="22"/>
        </w:rPr>
        <w:t xml:space="preserve">The MAST framework (Cemri et al., 2025)—the first comprehensive study of multi-agent system failures—analyzed 5 popular frameworks across 150+ tasks and identified 14 unique failure modes. Key finding: many failures arise from challenges in organizational design and agent coordination rather than limitations of individual agents. Coordination failures account for 36.94% of all multi-agent system failures, with verification gaps at 21.30%.</w:t>
      </w:r>
    </w:p>
    <w:p>
      <w:pPr>
        <w:spacing w:after="160" w:line="276"/>
      </w:pPr>
      <w:r>
        <w:rPr>
          <w:rFonts w:ascii="Arial" w:cs="Arial" w:eastAsia="Arial" w:hAnsi="Arial"/>
          <w:sz w:val="22"/>
          <w:szCs w:val="22"/>
        </w:rPr>
        <w:t xml:space="preserve">The Gradient Institute identified six emergent failure modes including error cascading, monoculture collapse, conformity bias, and deficient theory of mind. Research demonstrated that two frontier models trained on different conventions face coordination failures even with shared objectives. Quantitatively, single-agent systems achieve 99.5% success rates while multi-agent implementations observe 97% success rates. Race conditions increase quadratically with agent count—N agents have N(N-1)/2 potential concurrent interactions.</w:t>
      </w:r>
    </w:p>
    <w:p>
      <w:pPr>
        <w:pStyle w:val="Heading2"/>
      </w:pPr>
      <w:r>
        <w:t xml:space="preserve">4.4 Byzantine Fault Tolerance as a Design Framework</w:t>
      </w:r>
    </w:p>
    <w:p>
      <w:pPr>
        <w:spacing w:after="160" w:line="276"/>
      </w:pPr>
      <w:r>
        <w:rPr>
          <w:rFonts w:ascii="Arial" w:cs="Arial" w:eastAsia="Arial" w:hAnsi="Arial"/>
          <w:sz w:val="22"/>
          <w:szCs w:val="22"/>
        </w:rPr>
        <w:t xml:space="preserve">BFT concepts translate directly to multi-agent code coordination. Lamport, Shostak &amp; Pease (1982) established that 3f+1 total nodes are needed to tolerate f faulty nodes. Recent work by deVadoss (2025) proposed structuring AI systems as ensembles that check and balance each other. The CP-WBFT framework demonstrated +85.71% BFT improvement on complete graphs with 100% round-level accuracy. For Project Codex, Layer 3’s validation pipeline serves as the BFT mechanism—a deterministic consensus layer that catches the semantic failures probabilistic agents inevitably produce.</w:t>
      </w:r>
    </w:p>
    <w:p>
      <w:pPr>
        <w:pStyle w:val="Heading2"/>
      </w:pPr>
      <w:r>
        <w:t xml:space="preserve">4.5 Compounding Error Rates</w:t>
      </w:r>
    </w:p>
    <w:p>
      <w:pPr>
        <w:spacing w:after="160" w:line="276"/>
      </w:pPr>
      <w:r>
        <w:rPr>
          <w:rFonts w:ascii="Arial" w:cs="Arial" w:eastAsia="Arial" w:hAnsi="Arial"/>
          <w:sz w:val="22"/>
          <w:szCs w:val="22"/>
        </w:rPr>
        <w:t xml:space="preserve">If a single agent has a 30% defect rate and agents operate independently, the probability of at least one defective component reaches 83.2% with 5 agents and 97.2% with 10 agents. Security studies found roughly 30–40% of AI-generated code contains exploitable vulnerabilities. A 2025 library hallucination study found 19.7% of recommended packages were fabricated. The validation layer (Layer 3) must catch not just structural defects but semantic ones—incorrect API usage, violated invariants, architectural constraint breaches—that compound across agents.</w:t>
      </w:r>
    </w:p>
    <w:p>
      <w:pPr>
        <w:pBdr>
          <w:bottom w:val="single" w:color="2E75B6" w:sz="4" w:space="8"/>
        </w:pBdr>
        <w:spacing w:before="200" w:after="200"/>
      </w:pPr>
    </w:p>
    <w:p>
      <w:pPr>
        <w:pStyle w:val="Heading1"/>
      </w:pPr>
      <w:r>
        <w:t xml:space="preserve">5. Competitive Landscape</w:t>
      </w:r>
    </w:p>
    <w:p>
      <w:pPr>
        <w:spacing w:after="160" w:line="276"/>
      </w:pPr>
      <w:r>
        <w:rPr>
          <w:rFonts w:ascii="Arial" w:cs="Arial" w:eastAsia="Arial" w:hAnsi="Arial"/>
          <w:sz w:val="22"/>
          <w:szCs w:val="22"/>
        </w:rPr>
        <w:t xml:space="preserve">Every major AI coding platform has shipped or announced multi-agent capabilities. None has built the semantic coordination layer Project Codex proposes.</w:t>
      </w:r>
    </w:p>
    <w:p>
      <w:pPr>
        <w:pStyle w:val="Heading3"/>
      </w:pPr>
      <w:r>
        <w:t xml:space="preserve">GitHub Agent HQ (Feb 2026)</w:t>
      </w:r>
    </w:p>
    <w:p>
      <w:pPr>
        <w:spacing w:after="160" w:line="276"/>
      </w:pPr>
      <w:r>
        <w:rPr>
          <w:rFonts w:ascii="Arial" w:cs="Arial" w:eastAsia="Arial" w:hAnsi="Arial"/>
          <w:sz w:val="22"/>
          <w:szCs w:val="22"/>
        </w:rPr>
        <w:t xml:space="preserve">Multi-agent orchestration platform supporting agents from Anthropic, OpenAI, Google, Cognition, and xAI within GitHub. 4.7 million paid Copilot subscribers (+75% YoY). Task assignment from Issues, Jira, Linear, and Slack. The industry’s first platform-level multi-agent orchestration—but coordinates via git isolation, not semantic graph.</w:t>
      </w:r>
    </w:p>
    <w:p>
      <w:pPr>
        <w:pStyle w:val="Heading3"/>
      </w:pPr>
      <w:r>
        <w:t xml:space="preserve">Anthropic Claude Code</w:t>
      </w:r>
    </w:p>
    <w:p>
      <w:pPr>
        <w:spacing w:after="160" w:line="276"/>
      </w:pPr>
      <w:r>
        <w:rPr>
          <w:rFonts w:ascii="Arial" w:cs="Arial" w:eastAsia="Arial" w:hAnsi="Arial"/>
          <w:sz w:val="22"/>
          <w:szCs w:val="22"/>
        </w:rPr>
        <w:t xml:space="preserve">Exceeded $2.5B ARR by early 2026. Opus 4.6 multi-agent team capability: 16 agents wrote a C compiler in Rust (~$20K). Supports parallel sub-agents, worktrees, and a plugin marketplace. Multi-agent uses worktree isolation.</w:t>
      </w:r>
    </w:p>
    <w:p>
      <w:pPr>
        <w:pStyle w:val="Heading3"/>
      </w:pPr>
      <w:r>
        <w:t xml:space="preserve">OpenAI Codex App (Feb–Mar 2026)</w:t>
      </w:r>
    </w:p>
    <w:p>
      <w:pPr>
        <w:spacing w:after="160" w:line="276"/>
      </w:pPr>
      <w:r>
        <w:rPr>
          <w:rFonts w:ascii="Arial" w:cs="Arial" w:eastAsia="Arial" w:hAnsi="Arial"/>
          <w:sz w:val="22"/>
          <w:szCs w:val="22"/>
        </w:rPr>
        <w:t xml:space="preserve">Described as a “command center for agents.” Multiple agents in parallel across projects, built-in worktrees, batch fan-out. 1.6M+ weekly active users. Multi-agent uses worktree isolation.</w:t>
      </w:r>
    </w:p>
    <w:p>
      <w:pPr>
        <w:pStyle w:val="Heading3"/>
      </w:pPr>
      <w:r>
        <w:t xml:space="preserve">Cursor</w:t>
      </w:r>
    </w:p>
    <w:p>
      <w:pPr>
        <w:spacing w:after="160" w:line="276"/>
      </w:pPr>
      <w:r>
        <w:rPr>
          <w:rFonts w:ascii="Arial" w:cs="Arial" w:eastAsia="Arial" w:hAnsi="Arial"/>
          <w:sz w:val="22"/>
          <w:szCs w:val="22"/>
        </w:rPr>
        <w:t xml:space="preserve">$2.3B Series D. Hierarchical multi-agent with up to 8 parallel agents using Planners, Workers, and Judges. Built a browser (1M+ lines, 1,000 files) in one week. Multi-agent uses file-region isolation.</w:t>
      </w:r>
    </w:p>
    <w:p>
      <w:pPr>
        <w:pStyle w:val="Heading3"/>
      </w:pPr>
      <w:r>
        <w:t xml:space="preserve">Cognition (Devin + Windsurf)</w:t>
      </w:r>
    </w:p>
    <w:p>
      <w:pPr>
        <w:spacing w:after="160" w:line="276"/>
      </w:pPr>
      <w:r>
        <w:rPr>
          <w:rFonts w:ascii="Arial" w:cs="Arial" w:eastAsia="Arial" w:hAnsi="Arial"/>
          <w:sz w:val="22"/>
          <w:szCs w:val="22"/>
        </w:rPr>
        <w:t xml:space="preserve">$400M raised at $10.2B valuation. Acquired Windsurf ($82M ARR). MultiDevin available in enterprise tier. Multi-agent uses branch isolation.</w:t>
      </w:r>
    </w:p>
    <w:p>
      <w:pPr>
        <w:pStyle w:val="Heading3"/>
      </w:pPr>
      <w:r>
        <w:t xml:space="preserve">Entire (the “beyond Git” startup)</w:t>
      </w:r>
    </w:p>
    <w:p>
      <w:pPr>
        <w:spacing w:after="160" w:line="276"/>
      </w:pPr>
      <w:r>
        <w:rPr>
          <w:rFonts w:ascii="Arial" w:cs="Arial" w:eastAsia="Arial" w:hAnsi="Arial"/>
          <w:sz w:val="22"/>
          <w:szCs w:val="22"/>
        </w:rPr>
        <w:t xml:space="preserve">Founded by Thomas Dohmke (former GitHub CEO). $60M seed led by Felicis, with Microsoft, Datadog CEO, Y Combinator CEO as angels. Core thesis: Git cannot track, govern, or audit provenance behind machine-generated outputs. Architecture combines a Git-compatible database + semantic reasoning layer. Open-source CLI with “Checkpoints” versioning agent session context. The most directly aligned competitor—but focused on provenance and audit trail, not the real-time semantic coordination that Codex proposes.</w:t>
      </w:r>
    </w:p>
    <w:p>
      <w:pPr>
        <w:pStyle w:val="Heading3"/>
      </w:pPr>
      <w:r>
        <w:t xml:space="preserve">Zed’s DeltaDB (in development)</w:t>
      </w:r>
    </w:p>
    <w:p>
      <w:pPr>
        <w:spacing w:after="160" w:line="276"/>
      </w:pPr>
      <w:r>
        <w:rPr>
          <w:rFonts w:ascii="Arial" w:cs="Arial" w:eastAsia="Arial" w:hAnsi="Arial"/>
          <w:sz w:val="22"/>
          <w:szCs w:val="22"/>
        </w:rPr>
        <w:t xml:space="preserve">CRDT-based version control with character-level tracking, conflict-free concurrent editing, designed for up to 500 concurrent AI agents. Uses CRDTs instead of Git’s snapshot model.</w:t>
      </w:r>
    </w:p>
    <w:p>
      <w:pPr>
        <w:pStyle w:val="Heading3"/>
      </w:pPr>
      <w:r>
        <w:t xml:space="preserve">Competitive Positioning Matrix</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1080"/>
        <w:gridCol w:w="1080"/>
        <w:gridCol w:w="1080"/>
        <w:gridCol w:w="1080"/>
        <w:gridCol w:w="1080"/>
        <w:gridCol w:w="108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Capability</w:t>
            </w:r>
          </w:p>
        </w:tc>
        <w:tc>
          <w:tcPr>
            <w:tcW w:type="dxa" w:w="1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GitHub Agent HQ</w:t>
            </w:r>
          </w:p>
        </w:tc>
        <w:tc>
          <w:tcPr>
            <w:tcW w:type="dxa" w:w="1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Claude Code</w:t>
            </w:r>
          </w:p>
        </w:tc>
        <w:tc>
          <w:tcPr>
            <w:tcW w:type="dxa" w:w="1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OpenAI Codex</w:t>
            </w:r>
          </w:p>
        </w:tc>
        <w:tc>
          <w:tcPr>
            <w:tcW w:type="dxa" w:w="1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Cursor</w:t>
            </w:r>
          </w:p>
        </w:tc>
        <w:tc>
          <w:tcPr>
            <w:tcW w:type="dxa" w:w="1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Entire</w:t>
            </w:r>
          </w:p>
        </w:tc>
        <w:tc>
          <w:tcPr>
            <w:tcW w:type="dxa" w:w="1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Zed DeltaDB</w:t>
            </w:r>
          </w:p>
        </w:tc>
        <w:tc>
          <w:tcPr>
            <w:tcW w:type="dxa" w:w="1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Project Codex</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Multi-agent orchestration</w:t>
            </w:r>
          </w:p>
        </w:tc>
        <w:tc>
          <w:tcPr>
            <w:tcW w:type="dxa" w:w="10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2E75B6"/>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AST-level coordination</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Planned</w:t>
            </w:r>
          </w:p>
        </w:tc>
        <w:tc>
          <w:tcPr>
            <w:tcW w:type="dxa" w:w="10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2E75B6"/>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Semantic conflict prevention</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2E75B6"/>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Lossless code graph</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CRDTs</w:t>
            </w:r>
          </w:p>
        </w:tc>
        <w:tc>
          <w:tcPr>
            <w:tcW w:type="dxa" w:w="10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2E75B6"/>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Intent pre-validation</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2E75B6"/>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Real-time validation</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2E75B6"/>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Semantic rollback</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Checkpoints</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2E75B6"/>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Git compatibility</w:t>
            </w:r>
          </w:p>
        </w:tc>
        <w:tc>
          <w:tcPr>
            <w:tcW w:type="dxa" w:w="10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2E75B6"/>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Provenance / audit</w:t>
            </w:r>
          </w:p>
        </w:tc>
        <w:tc>
          <w:tcPr>
            <w:tcW w:type="dxa" w:w="10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Partial</w:t>
            </w:r>
          </w:p>
        </w:tc>
        <w:tc>
          <w:tcPr>
            <w:tcW w:type="dxa" w:w="10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Partial</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t>
            </w:r>
          </w:p>
        </w:tc>
        <w:tc>
          <w:tcPr>
            <w:tcW w:type="dxa" w:w="10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after="0"/>
            </w:pPr>
            <w:r>
              <w:rPr>
                <w:rFonts w:ascii="Arial" w:cs="Arial" w:eastAsia="Arial" w:hAnsi="Arial"/>
                <w:b/>
                <w:bCs/>
                <w:color w:val="2E75B6"/>
                <w:sz w:val="20"/>
                <w:szCs w:val="20"/>
              </w:rPr>
              <w:t xml:space="preserv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00"/>
              <w:left w:type="dxa" w:w="160"/>
              <w:bottom w:type="dxa" w:w="100"/>
              <w:right w:type="dxa" w:w="160"/>
            </w:tcMar>
          </w:tcPr>
          <w:p>
            <w:pPr>
              <w:spacing w:after="60"/>
            </w:pPr>
            <w:r>
              <w:rPr>
                <w:rFonts w:ascii="Arial" w:cs="Arial" w:eastAsia="Arial" w:hAnsi="Arial"/>
                <w:b/>
                <w:bCs/>
                <w:color w:val="1B2A4A"/>
                <w:sz w:val="20"/>
                <w:szCs w:val="20"/>
              </w:rPr>
              <w:t xml:space="preserve">COMPETITIVE INSIGHT</w:t>
            </w:r>
          </w:p>
          <w:p>
            <w:pPr>
              <w:spacing w:after="0"/>
            </w:pPr>
            <w:r>
              <w:rPr>
                <w:rFonts w:ascii="Arial" w:cs="Arial" w:eastAsia="Arial" w:hAnsi="Arial"/>
                <w:color w:val="1B2A4A"/>
                <w:sz w:val="20"/>
                <w:szCs w:val="20"/>
              </w:rPr>
              <w:t xml:space="preserve">Every competitor coordinates agents via filesystem-level isolation (worktrees, branches, file regions). None performs concurrent AST-level editing with semantic validation. This is the gap Project Codex occupies.</w:t>
            </w:r>
          </w:p>
        </w:tc>
      </w:tr>
    </w:tbl>
    <w:p>
      <w:pPr>
        <w:spacing w:before="80" w:after="80"/>
      </w:pPr>
    </w:p>
    <w:p>
      <w:pPr>
        <w:pBdr>
          <w:bottom w:val="single" w:color="2E75B6" w:sz="4" w:space="8"/>
        </w:pBdr>
        <w:spacing w:before="200" w:after="200"/>
      </w:pPr>
    </w:p>
    <w:p>
      <w:pPr>
        <w:pStyle w:val="Heading1"/>
      </w:pPr>
      <w:r>
        <w:t xml:space="preserve">6. Economic Model</w:t>
      </w:r>
    </w:p>
    <w:p>
      <w:pPr>
        <w:pStyle w:val="Heading2"/>
      </w:pPr>
      <w:r>
        <w:t xml:space="preserve">6.1 The Cost of Wasted Compute</w:t>
      </w:r>
    </w:p>
    <w:p>
      <w:pPr>
        <w:spacing w:after="160" w:line="276"/>
      </w:pPr>
      <w:r>
        <w:rPr>
          <w:rFonts w:ascii="Arial" w:cs="Arial" w:eastAsia="Arial" w:hAnsi="Arial"/>
          <w:sz w:val="22"/>
          <w:szCs w:val="22"/>
        </w:rPr>
        <w:t xml:space="preserve">Current flagship model pricing ranges from $1.75–$5.00 per million input tokens and $14–$25 per million output tokens. An ICLR 2026 paper found agentic coding tasks consume millions of tokens per task with usage varying up to 10x between runs. GitClear’s data shows code churn doubled to 5.7% and copy/paste code rose to 12.3%. Conservative estimate: 15–30% of AI-generated compute is wasted on code ultimately discarded or reworked.</w:t>
      </w:r>
    </w:p>
    <w:p>
      <w:pPr>
        <w:spacing w:after="160" w:line="276"/>
      </w:pPr>
      <w:r>
        <w:rPr>
          <w:rFonts w:ascii="Arial" w:cs="Arial" w:eastAsia="Arial" w:hAnsi="Arial"/>
          <w:sz w:val="22"/>
          <w:szCs w:val="22"/>
        </w:rPr>
        <w:t xml:space="preserve">For a 10-developer team spending $10K/month on AI coding agents: $1,500–$3,000/month in wasted tokens plus roughly $3,280/month in human time resolving conflicts = $4,800–$6,300/month total waste (roughly $58K–$75K/year). At enterprise scale with hundreds of agents, this waste compounds significantly.</w:t>
      </w:r>
    </w:p>
    <w:p>
      <w:pPr>
        <w:pStyle w:val="Heading2"/>
      </w:pPr>
      <w:r>
        <w:t xml:space="preserve">6.2 The Economics Favor Coordination</w:t>
      </w:r>
    </w:p>
    <w:p>
      <w:pPr>
        <w:spacing w:after="160" w:line="276"/>
      </w:pPr>
      <w:r>
        <w:rPr>
          <w:rFonts w:ascii="Arial" w:cs="Arial" w:eastAsia="Arial" w:hAnsi="Arial"/>
          <w:sz w:val="22"/>
          <w:szCs w:val="22"/>
        </w:rPr>
        <w:t xml:space="preserve">Token pricing is declining at a median rate of 50x per year (Epoch AI), with some segments hitting 200–900x per year. As absolute token costs approach zero, total value shifts entirely to orchestration quality—minimizing waste, maintaining architectural integrity, and converting raw AI output velocity into shipped software. McKinsey estimates GenAI could add $2.6–$4.4 trillion annually; BCG estimates 30–50% productivity gains from AI coding tools. But the Harvard/BCG “Jagged Frontier” study found performance was 19 percentage points worse for tasks outside AI’s capabilities, and DORA 2025 documented the AI Productivity Paradox. The economic argument: as tokens get cheaper, the coordination layer becomes the entire value proposition.</w:t>
      </w:r>
    </w:p>
    <w:p>
      <w:pPr>
        <w:pBdr>
          <w:bottom w:val="single" w:color="2E75B6" w:sz="4" w:space="8"/>
        </w:pBdr>
        <w:spacing w:before="200" w:after="200"/>
      </w:pPr>
    </w:p>
    <w:p>
      <w:pPr>
        <w:pStyle w:val="Heading1"/>
      </w:pPr>
      <w:r>
        <w:t xml:space="preserve">7. Adoption Strategy</w:t>
      </w:r>
    </w:p>
    <w:p>
      <w:pPr>
        <w:pStyle w:val="Heading2"/>
      </w:pPr>
      <w:r>
        <w:t xml:space="preserve">7.1 Historical Precedents</w:t>
      </w:r>
    </w:p>
    <w:p>
      <w:pPr>
        <w:spacing w:after="160" w:line="276"/>
      </w:pPr>
      <w:r>
        <w:rPr>
          <w:rFonts w:ascii="Arial" w:cs="Arial" w:eastAsia="Arial" w:hAnsi="Arial"/>
          <w:sz w:val="22"/>
          <w:szCs w:val="22"/>
        </w:rPr>
        <w:t xml:space="preserve">Five major developer tool paradigm shifts reveal consistent adoption patterns:</w:t>
      </w:r>
    </w:p>
    <w:p>
      <w:pPr>
        <w:pStyle w:val="ListParagraph"/>
        <w:numPr>
          <w:ilvl w:val="0"/>
          <w:numId w:val="2"/>
        </w:numPr>
        <w:spacing w:after="80" w:line="276"/>
      </w:pPr>
      <w:r>
        <w:rPr>
          <w:rFonts w:ascii="Arial" w:cs="Arial" w:eastAsia="Arial" w:hAnsi="Arial"/>
          <w:b/>
          <w:bCs/>
          <w:sz w:val="22"/>
          <w:szCs w:val="22"/>
        </w:rPr>
        <w:t xml:space="preserve">Git replacing SVN (2005–2018, ~13 years): </w:t>
      </w:r>
      <w:r>
        <w:rPr>
          <w:rFonts w:ascii="Arial" w:cs="Arial" w:eastAsia="Arial" w:hAnsi="Arial"/>
          <w:sz w:val="22"/>
          <w:szCs w:val="22"/>
        </w:rPr>
        <w:t xml:space="preserve">GitHub was the adoption catalyst, not Git itself. Individual developers adopted for personal/OSS projects, brought it into companies.</w:t>
      </w:r>
    </w:p>
    <w:p>
      <w:pPr>
        <w:pStyle w:val="ListParagraph"/>
        <w:numPr>
          <w:ilvl w:val="0"/>
          <w:numId w:val="2"/>
        </w:numPr>
        <w:spacing w:after="80" w:line="276"/>
      </w:pPr>
      <w:r>
        <w:rPr>
          <w:rFonts w:ascii="Arial" w:cs="Arial" w:eastAsia="Arial" w:hAnsi="Arial"/>
          <w:b/>
          <w:bCs/>
          <w:sz w:val="22"/>
          <w:szCs w:val="22"/>
        </w:rPr>
        <w:t xml:space="preserve">Docker (2013–2018, ~5 years): </w:t>
      </w:r>
      <w:r>
        <w:rPr>
          <w:rFonts w:ascii="Arial" w:cs="Arial" w:eastAsia="Arial" w:hAnsi="Arial"/>
          <w:sz w:val="22"/>
          <w:szCs w:val="22"/>
        </w:rPr>
        <w:t xml:space="preserve">Solved “works on my machine” with immediate value to individual developers. 2.75M downloads in year one.</w:t>
      </w:r>
    </w:p>
    <w:p>
      <w:pPr>
        <w:pStyle w:val="ListParagraph"/>
        <w:numPr>
          <w:ilvl w:val="0"/>
          <w:numId w:val="2"/>
        </w:numPr>
        <w:spacing w:after="80" w:line="276"/>
      </w:pPr>
      <w:r>
        <w:rPr>
          <w:rFonts w:ascii="Arial" w:cs="Arial" w:eastAsia="Arial" w:hAnsi="Arial"/>
          <w:b/>
          <w:bCs/>
          <w:sz w:val="22"/>
          <w:szCs w:val="22"/>
        </w:rPr>
        <w:t xml:space="preserve">Kubernetes (2014–2020, ~6 years): </w:t>
      </w:r>
      <w:r>
        <w:rPr>
          <w:rFonts w:ascii="Arial" w:cs="Arial" w:eastAsia="Arial" w:hAnsi="Arial"/>
          <w:sz w:val="22"/>
          <w:szCs w:val="22"/>
        </w:rPr>
        <w:t xml:space="preserve">Rode Docker’s coattails, solved the orchestration problem Docker created. CNCF vendor-neutral governance built trust.</w:t>
      </w:r>
    </w:p>
    <w:p>
      <w:pPr>
        <w:pStyle w:val="ListParagraph"/>
        <w:numPr>
          <w:ilvl w:val="0"/>
          <w:numId w:val="2"/>
        </w:numPr>
        <w:spacing w:after="80" w:line="276"/>
      </w:pPr>
      <w:r>
        <w:rPr>
          <w:rFonts w:ascii="Arial" w:cs="Arial" w:eastAsia="Arial" w:hAnsi="Arial"/>
          <w:b/>
          <w:bCs/>
          <w:sz w:val="22"/>
          <w:szCs w:val="22"/>
        </w:rPr>
        <w:t xml:space="preserve">LSP (2016–2020, ~4 years): </w:t>
      </w:r>
      <w:r>
        <w:rPr>
          <w:rFonts w:ascii="Arial" w:cs="Arial" w:eastAsia="Arial" w:hAnsi="Arial"/>
          <w:sz w:val="22"/>
          <w:szCs w:val="22"/>
        </w:rPr>
        <w:t xml:space="preserve">M×N → M+N framing made the value proposition mathematical. Now adopted by every major editor.</w:t>
      </w:r>
    </w:p>
    <w:p>
      <w:pPr>
        <w:pStyle w:val="ListParagraph"/>
        <w:numPr>
          <w:ilvl w:val="0"/>
          <w:numId w:val="2"/>
        </w:numPr>
        <w:spacing w:after="80" w:line="276"/>
      </w:pPr>
      <w:r>
        <w:rPr>
          <w:rFonts w:ascii="Arial" w:cs="Arial" w:eastAsia="Arial" w:hAnsi="Arial"/>
          <w:b/>
          <w:bCs/>
          <w:sz w:val="22"/>
          <w:szCs w:val="22"/>
        </w:rPr>
        <w:t xml:space="preserve">Prettier (2017–2021, ~4 years): </w:t>
      </w:r>
      <w:r>
        <w:rPr>
          <w:rFonts w:ascii="Arial" w:cs="Arial" w:eastAsia="Arial" w:hAnsi="Arial"/>
          <w:sz w:val="22"/>
          <w:szCs w:val="22"/>
        </w:rPr>
        <w:t xml:space="preserve">Solved a social problem (style debates), not a purely technical one. 83% adoption by 2021.</w:t>
      </w:r>
    </w:p>
    <w:p>
      <w:pPr>
        <w:pStyle w:val="Heading2"/>
      </w:pPr>
      <w:r>
        <w:t xml:space="preserve">7.2 Common Patterns</w:t>
      </w:r>
    </w:p>
    <w:p>
      <w:pPr>
        <w:spacing w:after="160" w:line="276"/>
      </w:pPr>
      <w:r>
        <w:rPr>
          <w:rFonts w:ascii="Arial" w:cs="Arial" w:eastAsia="Arial" w:hAnsi="Arial"/>
          <w:sz w:val="22"/>
          <w:szCs w:val="22"/>
        </w:rPr>
        <w:t xml:space="preserve">Every successful dev tool in this analysis: solved an acute, immediate pain point (not a theoretical one); delivered individual developer value without requiring team adoption; required zero or minimal configuration to start; was open-source or open-standard with a strong reference implementation; and expanded from tool to platform.</w:t>
      </w:r>
    </w:p>
    <w:p>
      <w:pPr>
        <w:pStyle w:val="Heading2"/>
      </w:pPr>
      <w:r>
        <w:t xml:space="preserve">7.3 Recommended Wedge</w:t>
      </w:r>
    </w:p>
    <w:p>
      <w:pPr>
        <w:spacing w:after="160" w:line="276"/>
      </w:pPr>
      <w:r>
        <w:rPr>
          <w:rFonts w:ascii="Arial" w:cs="Arial" w:eastAsia="Arial" w:hAnsi="Arial"/>
          <w:sz w:val="22"/>
          <w:szCs w:val="22"/>
        </w:rPr>
        <w:t xml:space="preserve">Based on these patterns, the adoption path is:</w:t>
      </w:r>
    </w:p>
    <w:p>
      <w:pPr>
        <w:pStyle w:val="ListParagraph"/>
        <w:numPr>
          <w:ilvl w:val="0"/>
          <w:numId w:val="2"/>
        </w:numPr>
        <w:spacing w:after="80" w:line="276"/>
      </w:pPr>
      <w:r>
        <w:rPr>
          <w:rFonts w:ascii="Arial" w:cs="Arial" w:eastAsia="Arial" w:hAnsi="Arial"/>
          <w:b/>
          <w:bCs/>
          <w:sz w:val="22"/>
          <w:szCs w:val="22"/>
        </w:rPr>
        <w:t xml:space="preserve">Start as a Git-compatible layer, not a Git replacement. </w:t>
      </w:r>
      <w:r>
        <w:rPr>
          <w:rFonts w:ascii="Arial" w:cs="Arial" w:eastAsia="Arial" w:hAnsi="Arial"/>
          <w:sz w:val="22"/>
          <w:szCs w:val="22"/>
        </w:rPr>
        <w:t xml:space="preserve">Like Docker worked alongside VMs, like LSP worked alongside existing editor APIs.</w:t>
      </w:r>
    </w:p>
    <w:p>
      <w:pPr>
        <w:pStyle w:val="ListParagraph"/>
        <w:numPr>
          <w:ilvl w:val="0"/>
          <w:numId w:val="2"/>
        </w:numPr>
        <w:spacing w:after="80" w:line="276"/>
      </w:pPr>
      <w:r>
        <w:rPr>
          <w:rFonts w:ascii="Arial" w:cs="Arial" w:eastAsia="Arial" w:hAnsi="Arial"/>
          <w:b/>
          <w:bCs/>
          <w:sz w:val="22"/>
          <w:szCs w:val="22"/>
        </w:rPr>
        <w:t xml:space="preserve">Target the acute pain of multi-agent merge conflicts. </w:t>
      </w:r>
      <w:r>
        <w:rPr>
          <w:rFonts w:ascii="Arial" w:cs="Arial" w:eastAsia="Arial" w:hAnsi="Arial"/>
          <w:sz w:val="22"/>
          <w:szCs w:val="22"/>
        </w:rPr>
        <w:t xml:space="preserve">The specific moment when AI agents produce conflicting changes is viscerally painful and has no current solution.</w:t>
      </w:r>
    </w:p>
    <w:p>
      <w:pPr>
        <w:pStyle w:val="ListParagraph"/>
        <w:numPr>
          <w:ilvl w:val="0"/>
          <w:numId w:val="2"/>
        </w:numPr>
        <w:spacing w:after="80" w:line="276"/>
      </w:pPr>
      <w:r>
        <w:rPr>
          <w:rFonts w:ascii="Arial" w:cs="Arial" w:eastAsia="Arial" w:hAnsi="Arial"/>
          <w:b/>
          <w:bCs/>
          <w:sz w:val="22"/>
          <w:szCs w:val="22"/>
        </w:rPr>
        <w:t xml:space="preserve">Make it free for individual developers with immediate value. </w:t>
      </w:r>
      <w:r>
        <w:rPr>
          <w:rFonts w:ascii="Arial" w:cs="Arial" w:eastAsia="Arial" w:hAnsi="Arial"/>
          <w:sz w:val="22"/>
          <w:szCs w:val="22"/>
        </w:rPr>
        <w:t xml:space="preserve">Every tool in this study offered instant solo-developer value.</w:t>
      </w:r>
    </w:p>
    <w:p>
      <w:pPr>
        <w:pStyle w:val="ListParagraph"/>
        <w:numPr>
          <w:ilvl w:val="0"/>
          <w:numId w:val="2"/>
        </w:numPr>
        <w:spacing w:after="80" w:line="276"/>
      </w:pPr>
      <w:r>
        <w:rPr>
          <w:rFonts w:ascii="Arial" w:cs="Arial" w:eastAsia="Arial" w:hAnsi="Arial"/>
          <w:b/>
          <w:bCs/>
          <w:sz w:val="22"/>
          <w:szCs w:val="22"/>
        </w:rPr>
        <w:t xml:space="preserve">Build the protocol, not just the tool. </w:t>
      </w:r>
      <w:r>
        <w:rPr>
          <w:rFonts w:ascii="Arial" w:cs="Arial" w:eastAsia="Arial" w:hAnsi="Arial"/>
          <w:sz w:val="22"/>
          <w:szCs w:val="22"/>
        </w:rPr>
        <w:t xml:space="preserve">LSP’s success came from being a protocol. An “LSP for multi-agent coordination” could achieve network effects.</w:t>
      </w:r>
    </w:p>
    <w:p>
      <w:pPr>
        <w:pStyle w:val="ListParagraph"/>
        <w:numPr>
          <w:ilvl w:val="0"/>
          <w:numId w:val="2"/>
        </w:numPr>
        <w:spacing w:after="80" w:line="276"/>
      </w:pPr>
      <w:r>
        <w:rPr>
          <w:rFonts w:ascii="Arial" w:cs="Arial" w:eastAsia="Arial" w:hAnsi="Arial"/>
          <w:b/>
          <w:bCs/>
          <w:sz w:val="22"/>
          <w:szCs w:val="22"/>
        </w:rPr>
        <w:t xml:space="preserve">Expected timeline: 3–8 years to mainstream. </w:t>
      </w:r>
      <w:r>
        <w:rPr>
          <w:rFonts w:ascii="Arial" w:cs="Arial" w:eastAsia="Arial" w:hAnsi="Arial"/>
          <w:sz w:val="22"/>
          <w:szCs w:val="22"/>
        </w:rPr>
        <w:t xml:space="preserve">Fastest case (Prettier-like): 3–4 years. Most likely (Docker/K8s-like): 5–7 years. Slowest (Git-like paradigm shift): 8–13 years.</w:t>
      </w:r>
    </w:p>
    <w:p>
      <w:pPr>
        <w:pBdr>
          <w:bottom w:val="single" w:color="2E75B6" w:sz="4" w:space="8"/>
        </w:pBdr>
        <w:spacing w:before="200" w:after="200"/>
      </w:pPr>
    </w:p>
    <w:p>
      <w:pPr>
        <w:pStyle w:val="Heading1"/>
      </w:pPr>
      <w:r>
        <w:t xml:space="preserve">8. Standards and Protocol Landscape</w:t>
      </w:r>
    </w:p>
    <w:p>
      <w:pPr>
        <w:spacing w:after="160" w:line="276"/>
      </w:pPr>
      <w:r>
        <w:rPr>
          <w:rFonts w:ascii="Arial" w:cs="Arial" w:eastAsia="Arial" w:hAnsi="Arial"/>
          <w:sz w:val="22"/>
          <w:szCs w:val="22"/>
        </w:rPr>
        <w:t xml:space="preserve">Three complementary protocol layers are crystallizing under the Agentic AI Foundation (AAIF), launched December 2025 by the Linux Foundation with Anthropic, Block, and OpenAI as co-founders:</w:t>
      </w:r>
    </w:p>
    <w:p>
      <w:pPr>
        <w:pStyle w:val="ListParagraph"/>
        <w:numPr>
          <w:ilvl w:val="0"/>
          <w:numId w:val="2"/>
        </w:numPr>
        <w:spacing w:after="80" w:line="276"/>
      </w:pPr>
      <w:r>
        <w:rPr>
          <w:rFonts w:ascii="Arial" w:cs="Arial" w:eastAsia="Arial" w:hAnsi="Arial"/>
          <w:b/>
          <w:bCs/>
          <w:sz w:val="22"/>
          <w:szCs w:val="22"/>
        </w:rPr>
        <w:t xml:space="preserve">MCP (Model Context Protocol, Anthropic): </w:t>
      </w:r>
      <w:r>
        <w:rPr>
          <w:rFonts w:ascii="Arial" w:cs="Arial" w:eastAsia="Arial" w:hAnsi="Arial"/>
          <w:sz w:val="22"/>
          <w:szCs w:val="22"/>
        </w:rPr>
        <w:t xml:space="preserve">Agent-to-tool layer. 10,000+ published servers, 97M+ monthly SDK downloads, adopted by OpenAI, Google, Microsoft, Cursor.</w:t>
      </w:r>
    </w:p>
    <w:p>
      <w:pPr>
        <w:pStyle w:val="ListParagraph"/>
        <w:numPr>
          <w:ilvl w:val="0"/>
          <w:numId w:val="2"/>
        </w:numPr>
        <w:spacing w:after="80" w:line="276"/>
      </w:pPr>
      <w:r>
        <w:rPr>
          <w:rFonts w:ascii="Arial" w:cs="Arial" w:eastAsia="Arial" w:hAnsi="Arial"/>
          <w:b/>
          <w:bCs/>
          <w:sz w:val="22"/>
          <w:szCs w:val="22"/>
        </w:rPr>
        <w:t xml:space="preserve">A2A (Agent-to-Agent, Google): </w:t>
      </w:r>
      <w:r>
        <w:rPr>
          <w:rFonts w:ascii="Arial" w:cs="Arial" w:eastAsia="Arial" w:hAnsi="Arial"/>
          <w:sz w:val="22"/>
          <w:szCs w:val="22"/>
        </w:rPr>
        <w:t xml:space="preserve">Agent-to-agent layer. 150+ supporting organizations. Agent Cards for discovery, task lifecycle management, OpenTelemetry instrumentation.</w:t>
      </w:r>
    </w:p>
    <w:p>
      <w:pPr>
        <w:pStyle w:val="ListParagraph"/>
        <w:numPr>
          <w:ilvl w:val="0"/>
          <w:numId w:val="2"/>
        </w:numPr>
        <w:spacing w:after="80" w:line="276"/>
      </w:pPr>
      <w:r>
        <w:rPr>
          <w:rFonts w:ascii="Arial" w:cs="Arial" w:eastAsia="Arial" w:hAnsi="Arial"/>
          <w:b/>
          <w:bCs/>
          <w:sz w:val="22"/>
          <w:szCs w:val="22"/>
        </w:rPr>
        <w:t xml:space="preserve">AGENTS.md (OpenAI): </w:t>
      </w:r>
      <w:r>
        <w:rPr>
          <w:rFonts w:ascii="Arial" w:cs="Arial" w:eastAsia="Arial" w:hAnsi="Arial"/>
          <w:sz w:val="22"/>
          <w:szCs w:val="22"/>
        </w:rPr>
        <w:t xml:space="preserve">Guidance layer. Lightweight Markdown convention for project-specific coding conventions. 60,000+ open-source projects adopted.</w:t>
      </w:r>
    </w:p>
    <w:p>
      <w:pPr>
        <w:spacing w:after="160" w:line="276"/>
      </w:pPr>
      <w:r>
        <w:rPr>
          <w:rFonts w:ascii="Arial" w:cs="Arial" w:eastAsia="Arial" w:hAnsi="Arial"/>
          <w:sz w:val="22"/>
          <w:szCs w:val="22"/>
        </w:rPr>
        <w:t xml:space="preserve">LSP remains focused on language intelligence; AI coordination happens at the MCP/A2A layer above. The NIST AI Agent Standards Initiative (Feb 2026) focuses on agent identity, authorization, and security. Project Codex’s coordination layer sits between A2A (agent communication) and the code itself—a semantic middleware that no current standard addresses.</w:t>
      </w:r>
    </w:p>
    <w:p>
      <w:pPr>
        <w:pBdr>
          <w:bottom w:val="single" w:color="2E75B6" w:sz="4" w:space="8"/>
        </w:pBdr>
        <w:spacing w:before="200" w:after="200"/>
      </w:pPr>
    </w:p>
    <w:p>
      <w:pPr>
        <w:pStyle w:val="Heading1"/>
      </w:pPr>
      <w:r>
        <w:t xml:space="preserve">9. Beyond-Git Prior Art</w:t>
      </w:r>
    </w:p>
    <w:p>
      <w:pPr>
        <w:pStyle w:val="Heading3"/>
      </w:pPr>
      <w:r>
        <w:t xml:space="preserve">Unison: Content-Addressed Code</w:t>
      </w:r>
    </w:p>
    <w:p>
      <w:pPr>
        <w:spacing w:after="160" w:line="276"/>
      </w:pPr>
      <w:r>
        <w:rPr>
          <w:rFonts w:ascii="Arial" w:cs="Arial" w:eastAsia="Arial" w:hAnsi="Arial"/>
          <w:sz w:val="22"/>
          <w:szCs w:val="22"/>
        </w:rPr>
        <w:t xml:space="preserve">Every definition hashed (512-bit SHA3) based on its AST with dependencies replaced by hashes. Names become separately stored metadata—renaming is instantaneous. Merges avoid formatting conflicts because code is stored as ASTs. Deeply integrated into Unison’s functional type system, but the principles—hashing ASTs, separating names from identity, append-only code databases—are directly adoptable.</w:t>
      </w:r>
    </w:p>
    <w:p>
      <w:pPr>
        <w:pStyle w:val="Heading3"/>
      </w:pPr>
      <w:r>
        <w:t xml:space="preserve">Pijul: Category-Theoretic Patches</w:t>
      </w:r>
    </w:p>
    <w:p>
      <w:pPr>
        <w:spacing w:after="160" w:line="276"/>
      </w:pPr>
      <w:r>
        <w:rPr>
          <w:rFonts w:ascii="Arial" w:cs="Arial" w:eastAsia="Arial" w:hAnsi="Arial"/>
          <w:sz w:val="22"/>
          <w:szCs w:val="22"/>
        </w:rPr>
        <w:t xml:space="preserve">Based on Mimram and di Giusto’s pushout theory. Independent patches commute: applying them in any order produces identical results. Eliminates an entire class of coordination problems for parallel agent execution.</w:t>
      </w:r>
    </w:p>
    <w:p>
      <w:pPr>
        <w:pStyle w:val="Heading3"/>
      </w:pPr>
      <w:r>
        <w:t xml:space="preserve">Jujutsu (jj): Conflicts as Data</w:t>
      </w:r>
    </w:p>
    <w:p>
      <w:pPr>
        <w:spacing w:after="160" w:line="276"/>
      </w:pPr>
      <w:r>
        <w:rPr>
          <w:rFonts w:ascii="Arial" w:cs="Arial" w:eastAsia="Arial" w:hAnsi="Arial"/>
          <w:sz w:val="22"/>
          <w:szCs w:val="22"/>
        </w:rPr>
        <w:t xml:space="preserve">Google 20% project. Conflicts are committable data, not blocking markers. Agents could proceed with work even in the presence of conflicts. Operation log enables full undo. Automatic rebase propagates conflict resolutions.</w:t>
      </w:r>
    </w:p>
    <w:p>
      <w:pPr>
        <w:pStyle w:val="Heading3"/>
      </w:pPr>
      <w:r>
        <w:t xml:space="preserve">Emerging Projects</w:t>
      </w:r>
    </w:p>
    <w:p>
      <w:pPr>
        <w:pStyle w:val="ListParagraph"/>
        <w:numPr>
          <w:ilvl w:val="0"/>
          <w:numId w:val="2"/>
        </w:numPr>
        <w:spacing w:after="80" w:line="276"/>
      </w:pPr>
      <w:r>
        <w:rPr>
          <w:rFonts w:ascii="Arial" w:cs="Arial" w:eastAsia="Arial" w:hAnsi="Arial"/>
          <w:b/>
          <w:bCs/>
          <w:sz w:val="22"/>
          <w:szCs w:val="22"/>
        </w:rPr>
        <w:t xml:space="preserve">Aura (Apache 2.0): </w:t>
      </w:r>
      <w:r>
        <w:rPr>
          <w:rFonts w:ascii="Arial" w:cs="Arial" w:eastAsia="Arial" w:hAnsi="Arial"/>
          <w:sz w:val="22"/>
          <w:szCs w:val="22"/>
        </w:rPr>
        <w:t xml:space="preserve">AST Merkle-graph on Git with function-level revert and gatekeeper hook. Claims 80–93% LLM context reduction.</w:t>
      </w:r>
    </w:p>
    <w:p>
      <w:pPr>
        <w:pStyle w:val="ListParagraph"/>
        <w:numPr>
          <w:ilvl w:val="0"/>
          <w:numId w:val="2"/>
        </w:numPr>
        <w:spacing w:after="80" w:line="276"/>
      </w:pPr>
      <w:r>
        <w:rPr>
          <w:rFonts w:ascii="Arial" w:cs="Arial" w:eastAsia="Arial" w:hAnsi="Arial"/>
          <w:b/>
          <w:bCs/>
          <w:sz w:val="22"/>
          <w:szCs w:val="22"/>
        </w:rPr>
        <w:t xml:space="preserve">sem (Ataraxy Labs): </w:t>
      </w:r>
      <w:r>
        <w:rPr>
          <w:rFonts w:ascii="Arial" w:cs="Arial" w:eastAsia="Arial" w:hAnsi="Arial"/>
          <w:sz w:val="22"/>
          <w:szCs w:val="22"/>
        </w:rPr>
        <w:t xml:space="preserve">Entity-level diffs using tree-sitter with structural hashing for rename detection.</w:t>
      </w:r>
    </w:p>
    <w:p>
      <w:pPr>
        <w:pStyle w:val="ListParagraph"/>
        <w:numPr>
          <w:ilvl w:val="0"/>
          <w:numId w:val="2"/>
        </w:numPr>
        <w:spacing w:after="80" w:line="276"/>
      </w:pPr>
      <w:r>
        <w:rPr>
          <w:rFonts w:ascii="Arial" w:cs="Arial" w:eastAsia="Arial" w:hAnsi="Arial"/>
          <w:b/>
          <w:bCs/>
          <w:sz w:val="22"/>
          <w:szCs w:val="22"/>
        </w:rPr>
        <w:t xml:space="preserve">LastMerge (2025): </w:t>
      </w:r>
      <w:r>
        <w:rPr>
          <w:rFonts w:ascii="Arial" w:cs="Arial" w:eastAsia="Arial" w:hAnsi="Arial"/>
          <w:sz w:val="22"/>
          <w:szCs w:val="22"/>
        </w:rPr>
        <w:t xml:space="preserve">Language-agnostic structured merge across 350+ languages. Only 15% fewer false positives than language-specific JDime.</w:t>
      </w:r>
    </w:p>
    <w:p>
      <w:pPr>
        <w:pBdr>
          <w:bottom w:val="single" w:color="2E75B6" w:sz="4" w:space="8"/>
        </w:pBdr>
        <w:spacing w:before="200" w:after="200"/>
      </w:pPr>
    </w:p>
    <w:p>
      <w:pPr>
        <w:pStyle w:val="Heading1"/>
      </w:pPr>
      <w:r>
        <w:t xml:space="preserve">10. Gap Analysis</w:t>
      </w:r>
    </w:p>
    <w:p>
      <w:pPr>
        <w:pStyle w:val="Heading3"/>
      </w:pPr>
      <w:r>
        <w:t xml:space="preserve">Production-Ready</w:t>
      </w:r>
    </w:p>
    <w:p>
      <w:pPr>
        <w:spacing w:after="160" w:line="276"/>
      </w:pPr>
      <w:r>
        <w:rPr>
          <w:rFonts w:ascii="Arial" w:cs="Arial" w:eastAsia="Arial" w:hAnsi="Arial"/>
          <w:sz w:val="22"/>
          <w:szCs w:val="22"/>
        </w:rPr>
        <w:t xml:space="preserve">Per-language lossless CSTs (Roslyn, LibCST, rowan), tree CRDTs with moves (Loro), incremental computation (Salsa), multi-language parsing (tree-sitter), LSP proxy architecture (vtlsp), event streaming (NATS/Kafka/Redpanda), structured AST diffing (GumTree, difftastic), graph databases at various latency tiers.</w:t>
      </w:r>
    </w:p>
    <w:p>
      <w:pPr>
        <w:pStyle w:val="Heading3"/>
      </w:pPr>
      <w:r>
        <w:t xml:space="preserve">Requires Significant Integration Work</w:t>
      </w:r>
    </w:p>
    <w:p>
      <w:pPr>
        <w:spacing w:after="160" w:line="276"/>
      </w:pPr>
      <w:r>
        <w:rPr>
          <w:rFonts w:ascii="Arial" w:cs="Arial" w:eastAsia="Arial" w:hAnsi="Arial"/>
          <w:sz w:val="22"/>
          <w:szCs w:val="22"/>
        </w:rPr>
        <w:t xml:space="preserve">Multi-language lossless CST via rowan + tree-sitter (needs per-language trivia layers), GraphRAG over code graphs (academic prototypes, no production system), semantic locking (database theory, needs adaptation to code ASTs), structured merge across languages (LastMerge/Mergiraf early but functional).</w:t>
      </w:r>
    </w:p>
    <w:p>
      <w:pPr>
        <w:pStyle w:val="Heading3"/>
      </w:pPr>
      <w:r>
        <w:t xml:space="preserve">Must Be Invented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860"/>
        <w:gridCol w:w="1800"/>
      </w:tblGrid>
      <w:tr>
        <w:tc>
          <w:tcPr>
            <w:tcW w:type="dxa" w:w="2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Component</w:t>
            </w:r>
          </w:p>
        </w:tc>
        <w:tc>
          <w:tcPr>
            <w:tcW w:type="dxa" w:w="4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Layer</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Semantic CRDT validation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Ensuring merged ASTs produce type-correct, semantically valid programs</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1–2</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Intent pre-validation protocol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Agents announcing planned AST mods; system checking compatibility before execution</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2</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Semantic event sourcing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Append-only log of semantic mutations with semantic rollback capability</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4</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Universal trivia assignment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Per-language whitespace/comment-to-token attachment logic</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1</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Cross-language comment association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Where comments belong after code moves/deletions</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1</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bCs/>
                <w:color w:val="1A1A1A"/>
                <w:sz w:val="20"/>
                <w:szCs w:val="20"/>
              </w:rPr>
              <w:t xml:space="preserve">Function-level incremental testing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Isolating and testing individual semantic units via AST dependency analysis</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spacing w:after="0"/>
            </w:pPr>
            <w:r>
              <w:rPr>
                <w:rFonts w:ascii="Arial" w:cs="Arial" w:eastAsia="Arial" w:hAnsi="Arial"/>
                <w:b w:val="false"/>
                <w:bCs w:val="false"/>
                <w:color w:val="1A1A1A"/>
                <w:sz w:val="20"/>
                <w:szCs w:val="20"/>
              </w:rPr>
              <w:t xml:space="preserve">3</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00"/>
              <w:left w:type="dxa" w:w="160"/>
              <w:bottom w:type="dxa" w:w="100"/>
              <w:right w:type="dxa" w:w="160"/>
            </w:tcMar>
          </w:tcPr>
          <w:p>
            <w:pPr>
              <w:spacing w:after="60"/>
            </w:pPr>
            <w:r>
              <w:rPr>
                <w:rFonts w:ascii="Arial" w:cs="Arial" w:eastAsia="Arial" w:hAnsi="Arial"/>
                <w:b/>
                <w:bCs/>
                <w:color w:val="1B2A4A"/>
                <w:sz w:val="20"/>
                <w:szCs w:val="20"/>
              </w:rPr>
              <w:t xml:space="preserve">ASSESSMENT</w:t>
            </w:r>
          </w:p>
          <w:p>
            <w:pPr>
              <w:spacing w:after="0"/>
            </w:pPr>
            <w:r>
              <w:rPr>
                <w:rFonts w:ascii="Arial" w:cs="Arial" w:eastAsia="Arial" w:hAnsi="Arial"/>
                <w:color w:val="1B2A4A"/>
                <w:sz w:val="20"/>
                <w:szCs w:val="20"/>
              </w:rPr>
              <w:t xml:space="preserve">Every layer has strong prior art for its core mechanisms. The genuinely novel contributions—semantic CRDT validation, intent-based pre-coordination, and semantic event sourcing—sit at Layers 1–2 and 4, precisely where the hardest engineering and research challenges concentrate. No competitor is building this layer. The window is open.</w:t>
            </w:r>
          </w:p>
        </w:tc>
      </w:tr>
    </w:tbl>
    <w:p>
      <w:pPr>
        <w:spacing w:before="80" w:after="80"/>
      </w:pPr>
    </w:p>
    <w:p>
      <w:pPr>
        <w:pBdr>
          <w:bottom w:val="single" w:color="2E75B6" w:sz="4" w:space="8"/>
        </w:pBdr>
        <w:spacing w:before="200" w:after="200"/>
      </w:pPr>
    </w:p>
    <w:p>
      <w:pPr>
        <w:pStyle w:val="Heading1"/>
      </w:pPr>
      <w:r>
        <w:t xml:space="preserve">11. Essential Reading</w:t>
      </w:r>
    </w:p>
    <w:p>
      <w:pPr>
        <w:pStyle w:val="Heading3"/>
      </w:pPr>
      <w:r>
        <w:t xml:space="preserve">Tree CRDTs and Distributed Consensus</w:t>
      </w:r>
    </w:p>
    <w:p>
      <w:pPr>
        <w:pStyle w:val="ListParagraph"/>
        <w:numPr>
          <w:ilvl w:val="0"/>
          <w:numId w:val="2"/>
        </w:numPr>
        <w:spacing w:after="80" w:line="276"/>
      </w:pPr>
      <w:r>
        <w:rPr>
          <w:rFonts w:ascii="Arial" w:cs="Arial" w:eastAsia="Arial" w:hAnsi="Arial"/>
          <w:sz w:val="22"/>
          <w:szCs w:val="22"/>
        </w:rPr>
        <w:t xml:space="preserve">Kleppmann et al., “A Highly-Available Move Operation for Replicated Trees” (IEEE TPDS 2021)</w:t>
      </w:r>
    </w:p>
    <w:p>
      <w:pPr>
        <w:pStyle w:val="ListParagraph"/>
        <w:numPr>
          <w:ilvl w:val="0"/>
          <w:numId w:val="2"/>
        </w:numPr>
        <w:spacing w:after="80" w:line="276"/>
      </w:pPr>
      <w:r>
        <w:rPr>
          <w:rFonts w:ascii="Arial" w:cs="Arial" w:eastAsia="Arial" w:hAnsi="Arial"/>
          <w:sz w:val="22"/>
          <w:szCs w:val="22"/>
        </w:rPr>
        <w:t xml:space="preserve">Martin et al., “Abstract Unordered and Ordered Trees CRDT” (2012, arXiv:1201.1784)</w:t>
      </w:r>
    </w:p>
    <w:p>
      <w:pPr>
        <w:pStyle w:val="ListParagraph"/>
        <w:numPr>
          <w:ilvl w:val="0"/>
          <w:numId w:val="2"/>
        </w:numPr>
        <w:spacing w:after="80" w:line="276"/>
      </w:pPr>
      <w:r>
        <w:rPr>
          <w:rFonts w:ascii="Arial" w:cs="Arial" w:eastAsia="Arial" w:hAnsi="Arial"/>
          <w:sz w:val="22"/>
          <w:szCs w:val="22"/>
        </w:rPr>
        <w:t xml:space="preserve">Sinchuk, Chuprikov, Solomatov, “Verified Operational Transformation for Trees” (2016, JetBrains)</w:t>
      </w:r>
    </w:p>
    <w:p>
      <w:pPr>
        <w:pStyle w:val="ListParagraph"/>
        <w:numPr>
          <w:ilvl w:val="0"/>
          <w:numId w:val="2"/>
        </w:numPr>
        <w:spacing w:after="80" w:line="276"/>
      </w:pPr>
      <w:r>
        <w:rPr>
          <w:rFonts w:ascii="Arial" w:cs="Arial" w:eastAsia="Arial" w:hAnsi="Arial"/>
          <w:sz w:val="22"/>
          <w:szCs w:val="22"/>
        </w:rPr>
        <w:t xml:space="preserve">Weidner &amp; Kleppmann, “Fugue: A Basic List CRDT” (2023)</w:t>
      </w:r>
    </w:p>
    <w:p>
      <w:pPr>
        <w:pStyle w:val="Heading3"/>
      </w:pPr>
      <w:r>
        <w:t xml:space="preserve">Multi-Agent Failure Modes</w:t>
      </w:r>
    </w:p>
    <w:p>
      <w:pPr>
        <w:pStyle w:val="ListParagraph"/>
        <w:numPr>
          <w:ilvl w:val="0"/>
          <w:numId w:val="2"/>
        </w:numPr>
        <w:spacing w:after="80" w:line="276"/>
      </w:pPr>
      <w:r>
        <w:rPr>
          <w:rFonts w:ascii="Arial" w:cs="Arial" w:eastAsia="Arial" w:hAnsi="Arial"/>
          <w:sz w:val="22"/>
          <w:szCs w:val="22"/>
        </w:rPr>
        <w:t xml:space="preserve">Cemri et al., “Why Do Multi-Agent LLM Systems Fail?” (2025, arXiv:2503.13657)</w:t>
      </w:r>
    </w:p>
    <w:p>
      <w:pPr>
        <w:pStyle w:val="ListParagraph"/>
        <w:numPr>
          <w:ilvl w:val="0"/>
          <w:numId w:val="2"/>
        </w:numPr>
        <w:spacing w:after="80" w:line="276"/>
      </w:pPr>
      <w:r>
        <w:rPr>
          <w:rFonts w:ascii="Arial" w:cs="Arial" w:eastAsia="Arial" w:hAnsi="Arial"/>
          <w:sz w:val="22"/>
          <w:szCs w:val="22"/>
        </w:rPr>
        <w:t xml:space="preserve">deVadoss, “A Byzantine Fault Tolerance Approach towards AI Safety” (2025, arXiv:2504.14668)</w:t>
      </w:r>
    </w:p>
    <w:p>
      <w:pPr>
        <w:pStyle w:val="ListParagraph"/>
        <w:numPr>
          <w:ilvl w:val="0"/>
          <w:numId w:val="2"/>
        </w:numPr>
        <w:spacing w:after="80" w:line="276"/>
      </w:pPr>
      <w:r>
        <w:rPr>
          <w:rFonts w:ascii="Arial" w:cs="Arial" w:eastAsia="Arial" w:hAnsi="Arial"/>
          <w:sz w:val="22"/>
          <w:szCs w:val="22"/>
        </w:rPr>
        <w:t xml:space="preserve">Gradient Institute, “Risk Analysis Techniques for Governed LLM-based Multi-Agent Systems”</w:t>
      </w:r>
    </w:p>
    <w:p>
      <w:pPr>
        <w:pStyle w:val="Heading3"/>
      </w:pPr>
      <w:r>
        <w:t xml:space="preserve">Code Quality and AI</w:t>
      </w:r>
    </w:p>
    <w:p>
      <w:pPr>
        <w:pStyle w:val="ListParagraph"/>
        <w:numPr>
          <w:ilvl w:val="0"/>
          <w:numId w:val="2"/>
        </w:numPr>
        <w:spacing w:after="80" w:line="276"/>
      </w:pPr>
      <w:r>
        <w:rPr>
          <w:rFonts w:ascii="Arial" w:cs="Arial" w:eastAsia="Arial" w:hAnsi="Arial"/>
          <w:sz w:val="22"/>
          <w:szCs w:val="22"/>
        </w:rPr>
        <w:t xml:space="preserve">GitClear, “AI Copilot Code Quality: 2025 Data”</w:t>
      </w:r>
    </w:p>
    <w:p>
      <w:pPr>
        <w:pStyle w:val="ListParagraph"/>
        <w:numPr>
          <w:ilvl w:val="0"/>
          <w:numId w:val="2"/>
        </w:numPr>
        <w:spacing w:after="80" w:line="276"/>
      </w:pPr>
      <w:r>
        <w:rPr>
          <w:rFonts w:ascii="Arial" w:cs="Arial" w:eastAsia="Arial" w:hAnsi="Arial"/>
          <w:sz w:val="22"/>
          <w:szCs w:val="22"/>
        </w:rPr>
        <w:t xml:space="preserve">Pearce et al., “Asleep at the Keyboard? Assessing Security of Copilot’s Code” (NYU/ACM)</w:t>
      </w:r>
    </w:p>
    <w:p>
      <w:pPr>
        <w:pStyle w:val="ListParagraph"/>
        <w:numPr>
          <w:ilvl w:val="0"/>
          <w:numId w:val="2"/>
        </w:numPr>
        <w:spacing w:after="80" w:line="276"/>
      </w:pPr>
      <w:r>
        <w:rPr>
          <w:rFonts w:ascii="Arial" w:cs="Arial" w:eastAsia="Arial" w:hAnsi="Arial"/>
          <w:sz w:val="22"/>
          <w:szCs w:val="22"/>
        </w:rPr>
        <w:t xml:space="preserve">DORA 2025 Accelerate State of DevOps Report</w:t>
      </w:r>
    </w:p>
    <w:p>
      <w:pPr>
        <w:pStyle w:val="Heading3"/>
      </w:pPr>
      <w:r>
        <w:t xml:space="preserve">Semantic Code Analysis and Merging</w:t>
      </w:r>
    </w:p>
    <w:p>
      <w:pPr>
        <w:pStyle w:val="ListParagraph"/>
        <w:numPr>
          <w:ilvl w:val="0"/>
          <w:numId w:val="2"/>
        </w:numPr>
        <w:spacing w:after="80" w:line="276"/>
      </w:pPr>
      <w:r>
        <w:rPr>
          <w:rFonts w:ascii="Arial" w:cs="Arial" w:eastAsia="Arial" w:hAnsi="Arial"/>
          <w:sz w:val="22"/>
          <w:szCs w:val="22"/>
        </w:rPr>
        <w:t xml:space="preserve">Sousa et al., “Verifying Semantic Conflict-Freedom in Three-Way Program Merges” (2018)</w:t>
      </w:r>
    </w:p>
    <w:p>
      <w:pPr>
        <w:pStyle w:val="ListParagraph"/>
        <w:numPr>
          <w:ilvl w:val="0"/>
          <w:numId w:val="2"/>
        </w:numPr>
        <w:spacing w:after="80" w:line="276"/>
      </w:pPr>
      <w:r>
        <w:rPr>
          <w:rFonts w:ascii="Arial" w:cs="Arial" w:eastAsia="Arial" w:hAnsi="Arial"/>
          <w:sz w:val="22"/>
          <w:szCs w:val="22"/>
        </w:rPr>
        <w:t xml:space="preserve">LastMerge, “A Language-Agnostic Structured Tool for Code Integration” (2025, arXiv:2507.19687)</w:t>
      </w:r>
    </w:p>
    <w:p>
      <w:pPr>
        <w:pStyle w:val="Heading3"/>
      </w:pPr>
      <w:r>
        <w:t xml:space="preserve">Beyond-Git Architectures</w:t>
      </w:r>
    </w:p>
    <w:p>
      <w:pPr>
        <w:pStyle w:val="ListParagraph"/>
        <w:numPr>
          <w:ilvl w:val="0"/>
          <w:numId w:val="2"/>
        </w:numPr>
        <w:spacing w:after="80" w:line="276"/>
      </w:pPr>
      <w:r>
        <w:rPr>
          <w:rFonts w:ascii="Arial" w:cs="Arial" w:eastAsia="Arial" w:hAnsi="Arial"/>
          <w:sz w:val="22"/>
          <w:szCs w:val="22"/>
        </w:rPr>
        <w:t xml:space="preserve">Unison language documentation: “The Big Idea”</w:t>
      </w:r>
    </w:p>
    <w:p>
      <w:pPr>
        <w:pStyle w:val="ListParagraph"/>
        <w:numPr>
          <w:ilvl w:val="0"/>
          <w:numId w:val="2"/>
        </w:numPr>
        <w:spacing w:after="80" w:line="276"/>
      </w:pPr>
      <w:r>
        <w:rPr>
          <w:rFonts w:ascii="Arial" w:cs="Arial" w:eastAsia="Arial" w:hAnsi="Arial"/>
          <w:sz w:val="22"/>
          <w:szCs w:val="22"/>
        </w:rPr>
        <w:t xml:space="preserve">Pijul theory documentation—category-theoretic patch model</w:t>
      </w:r>
    </w:p>
    <w:p>
      <w:pPr>
        <w:pStyle w:val="ListParagraph"/>
        <w:numPr>
          <w:ilvl w:val="0"/>
          <w:numId w:val="2"/>
        </w:numPr>
        <w:spacing w:after="80" w:line="276"/>
      </w:pPr>
      <w:r>
        <w:rPr>
          <w:rFonts w:ascii="Arial" w:cs="Arial" w:eastAsia="Arial" w:hAnsi="Arial"/>
          <w:sz w:val="22"/>
          <w:szCs w:val="22"/>
        </w:rPr>
        <w:t xml:space="preserve">Jujutsu VCS—conflicts as first-class data</w:t>
      </w:r>
    </w:p>
    <w:p>
      <w:pPr>
        <w:pStyle w:val="Heading3"/>
      </w:pPr>
      <w:r>
        <w:t xml:space="preserve">Industry Reports</w:t>
      </w:r>
    </w:p>
    <w:p>
      <w:pPr>
        <w:pStyle w:val="ListParagraph"/>
        <w:numPr>
          <w:ilvl w:val="0"/>
          <w:numId w:val="2"/>
        </w:numPr>
        <w:spacing w:after="80" w:line="276"/>
      </w:pPr>
      <w:r>
        <w:rPr>
          <w:rFonts w:ascii="Arial" w:cs="Arial" w:eastAsia="Arial" w:hAnsi="Arial"/>
          <w:sz w:val="22"/>
          <w:szCs w:val="22"/>
        </w:rPr>
        <w:t xml:space="preserve">GitHub Octoverse 2025</w:t>
      </w:r>
    </w:p>
    <w:p>
      <w:pPr>
        <w:pStyle w:val="ListParagraph"/>
        <w:numPr>
          <w:ilvl w:val="0"/>
          <w:numId w:val="2"/>
        </w:numPr>
        <w:spacing w:after="80" w:line="276"/>
      </w:pPr>
      <w:r>
        <w:rPr>
          <w:rFonts w:ascii="Arial" w:cs="Arial" w:eastAsia="Arial" w:hAnsi="Arial"/>
          <w:sz w:val="22"/>
          <w:szCs w:val="22"/>
        </w:rPr>
        <w:t xml:space="preserve">Anthropic 2026 Agentic Coding Trends Report</w:t>
      </w:r>
    </w:p>
    <w:p>
      <w:pPr>
        <w:pStyle w:val="ListParagraph"/>
        <w:numPr>
          <w:ilvl w:val="0"/>
          <w:numId w:val="2"/>
        </w:numPr>
        <w:spacing w:after="80" w:line="276"/>
      </w:pPr>
      <w:r>
        <w:rPr>
          <w:rFonts w:ascii="Arial" w:cs="Arial" w:eastAsia="Arial" w:hAnsi="Arial"/>
          <w:sz w:val="22"/>
          <w:szCs w:val="22"/>
        </w:rPr>
        <w:t xml:space="preserve">McKinsey, “Breaking Technical Debt’s Vicious Cycle”</w:t>
      </w:r>
    </w:p>
    <w:p>
      <w:pPr>
        <w:pStyle w:val="ListParagraph"/>
        <w:numPr>
          <w:ilvl w:val="0"/>
          <w:numId w:val="2"/>
        </w:numPr>
        <w:spacing w:after="80" w:line="276"/>
      </w:pPr>
      <w:r>
        <w:rPr>
          <w:rFonts w:ascii="Arial" w:cs="Arial" w:eastAsia="Arial" w:hAnsi="Arial"/>
          <w:sz w:val="22"/>
          <w:szCs w:val="22"/>
        </w:rPr>
        <w:t xml:space="preserve">CircleCI 2026 State of Software Delivery</w:t>
      </w:r>
    </w:p>
    <w:p>
      <w:pPr>
        <w:spacing w:before="400" w:after="400"/>
      </w:pPr>
    </w:p>
    <w:p>
      <w:pPr>
        <w:jc w:val="center"/>
      </w:pPr>
      <w:r>
        <w:rPr>
          <w:rFonts w:ascii="Arial" w:cs="Arial" w:eastAsia="Arial" w:hAnsi="Arial"/>
          <w:i/>
          <w:iCs/>
          <w:color w:val="666666"/>
          <w:sz w:val="20"/>
          <w:szCs w:val="20"/>
        </w:rPr>
        <w:t xml:space="preserve">— End of Working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66666"/>
        <w:sz w:val="18"/>
        <w:szCs w:val="18"/>
      </w:rPr>
      <w:t xml:space="preserve">Project Codex</w:t>
    </w:r>
    <w:r>
      <w:rPr>
        <w:rFonts w:ascii="Arial" w:cs="Arial" w:eastAsia="Arial" w:hAnsi="Arial"/>
        <w:color w:val="666666"/>
        <w:sz w:val="18"/>
        <w:szCs w:val="18"/>
      </w:rPr>
      <w:t xml:space="preserve">	Nexum Corpus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36187071ad0b446068dabe747d1b3ac5eff031f.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2026-03-09T07:17:45.141Z</dcterms:created>
  <dcterms:modified xsi:type="dcterms:W3CDTF">2026-03-09T07:17:45.142Z</dcterms:modified>
</cp:coreProperties>
</file>

<file path=docProps/custom.xml><?xml version="1.0" encoding="utf-8"?>
<Properties xmlns="http://schemas.openxmlformats.org/officeDocument/2006/custom-properties" xmlns:vt="http://schemas.openxmlformats.org/officeDocument/2006/docPropsVTypes"/>
</file>