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B1F3A"/>
          <w:sz w:val="48"/>
          <w:szCs w:val="48"/>
        </w:rPr>
        <w:t xml:space="preserve">E Don Kast — Implementation Brief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One-Page Deployment &amp; Adoption Roadmap  |  ADC 2026</w:t>
      </w:r>
    </w:p>
    <w:p>
      <w:pPr>
        <w:pBdr>
          <w:bottom w:val="single" w:color="00A99D" w:sz="6" w:space="1"/>
        </w:pBdr>
        <w:spacing w:after="80" w:before="80"/>
      </w:pPr>
    </w:p>
    <w:p>
      <w:pPr>
        <w:spacing w:after="0" w:before="10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Implementing Actors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StayGIS LLC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 Don Kast infrastructure, Claude Vision pipeline, API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CCIJ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Data partner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169,328 digitized EC8A forms; ongoing digitization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SERAP / NBA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co-signatories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Validate outputs as evidence; file tribunal complaints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Compliance enforcer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Mandate structured data exports under Electoral Act 2026 regulations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Diaspora Networks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Funders / validators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$50k seed funding; ground-truth verification in home wards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Estimated Budget (Phase 1 Pilot —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Claude Vision API (Haiku, 50k forms)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~$0.08/form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Platform infrastructure (cloud hosting, 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3-month pilot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partnership setup (SERAP/NBA MOU)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Community outreach &amp; ward captain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Obio-Akpor LGA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Human review QA (10% confidence-flagged forms)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Crowd-verified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Reserve / contingency (15%)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$4,950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$37,950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Phase 1 only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90-Day Rollout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Metrics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1–30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CCIJ data pipeline connected; 10,000 forms processed; dashboard live; SERAP MOU signed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≥95% extraction accuracy; dashboard publicly accessible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31–60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Obio-Akpor LGA fully processed; ward-captain QA network deployed; first discrepancy report published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≥3 LGA-level discrepancy reports filed with SERAP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Expand to all 5 flagged Rivers State LGAs; INEC structured data request submitted; open-source release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LGAs covered; INEC formal response received; 1 tribunal evidence packet submitted</w:t>
            </w:r>
          </w:p>
        </w:tc>
      </w:tr>
    </w:tbl>
    <w:p>
      <w:pPr>
        <w:spacing w:after="0" w:before="12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080"/>
        <w:gridCol w:w="180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INEC blocks API access or structured data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Maintain IReV image pipeline as fallback; public pressure via civil society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Legal challenge to admissibility of AI-extracted evidence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Human review confirmation for all tribunal-bound outputs; SERAP co-signature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Electoral Act 2026 "communication failure" exemption exploited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893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 exemption claims; publish per-ward failure rates to create accountability pressure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Form image quality too low for AI extraction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893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Confidence threshold routing; crowd-verification fallback for low-quality images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Funding gap after Phase 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Diaspora campaign (NIDO, NANAF); CCIJ/Veza co-funding for Phase 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Political pressure to suppress platform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Open-source release; distributed data storage; international civil society co-ownership</w:t>
            </w:r>
          </w:p>
        </w:tc>
      </w:tr>
    </w:tbl>
    <w:p>
      <w:pPr>
        <w:spacing w:after="0" w:before="120"/>
      </w:pPr>
    </w:p>
    <w:p>
      <w:pPr>
        <w:pBdr>
          <w:bottom w:val="single" w:color="00A99D" w:sz="4" w:space="1"/>
        </w:pBdr>
        <w:spacing w:after="80" w:before="80"/>
      </w:pPr>
    </w:p>
    <w:p>
      <w:pPr>
        <w:spacing w:after="0" w:before="8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Prepared by Team 16 for ADC 2026, Track 3  |  Contact: </w:t>
      </w:r>
      <w:r>
        <w:rPr>
          <w:rFonts w:ascii="Calibri" w:cs="Calibri" w:eastAsia="Calibri" w:hAnsi="Calibri"/>
          <w:color w:val="00A99D"/>
          <w:sz w:val="18"/>
          <w:szCs w:val="18"/>
        </w:rPr>
        <w:t xml:space="preserve">femi@staygis.com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99D" w:sz="4" w:space="1"/>
      </w:pBdr>
      <w:spacing w:after="0" w:before="100"/>
    </w:pPr>
    <w:r>
      <w:rPr>
        <w:rFonts w:ascii="Calibri" w:cs="Calibri" w:eastAsia="Calibri" w:hAnsi="Calibri"/>
        <w:color w:val="4A5568"/>
        <w:sz w:val="16"/>
        <w:szCs w:val="16"/>
      </w:rPr>
      <w:t xml:space="preserve">Team 16: Olamijulo · Oni · Michel  |  ADC 2026, Harvard Kennedy School  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99D" w:sz="4" w:space="1"/>
      </w:pBdr>
      <w:spacing w:after="120" w:before="0"/>
      <w:jc w:val="right"/>
    </w:pPr>
    <w:r>
      <w:rPr>
        <w:rFonts w:ascii="Calibri" w:cs="Calibri" w:eastAsia="Calibri" w:hAnsi="Calibri"/>
        <w:b/>
        <w:bCs/>
        <w:color w:val="00A99D"/>
        <w:sz w:val="18"/>
        <w:szCs w:val="18"/>
      </w:rPr>
      <w:t xml:space="preserve">E Don Kast  ·  </w:t>
    </w:r>
    <w:r>
      <w:rPr>
        <w:rFonts w:ascii="Calibri" w:cs="Calibri" w:eastAsia="Calibri" w:hAnsi="Calibri"/>
        <w:color w:val="4A5568"/>
        <w:sz w:val="18"/>
        <w:szCs w:val="18"/>
      </w:rPr>
      <w:t xml:space="preserve">Implementation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2026-04-17T12:16:07.151Z</dcterms:created>
  <dcterms:modified xsi:type="dcterms:W3CDTF">2026-04-17T12:16:07.151Z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