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E Don Kast — Implementation Brief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2"/>
          <w:szCs w:val="22"/>
        </w:rPr>
        <w:t xml:space="preserve">One-Page Deployment &amp; Adoption Roadmap  |  ADC 2026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0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Implementing Actors &amp;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9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StayGIS LLC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 Don Kast infrastructure, machine learning OCR pipeline, API integrations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Data partner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169,328 digitized EC8A forms; ongoing digitization pipeline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SERAP / NBA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co-signatories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Validate outputs as evidence; file tribunal complaints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Compliance enforcer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Mandate structured data exports under Electoral Act 2026 regulations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Networks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Funders / validators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$50k seed funding; ground-truth verification in home wards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Estimated Budget (Phase 1 Pilot — 90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 Item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Estimate (USD)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 API (Haiku, 50k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~$0.08/form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infrastructure (cloud hosting, 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$6,000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3-month pilot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partnership setup (SERAP/NBA MOU)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One-time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Community outreach &amp; ward captain training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QA (10% confidence-flagged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$8,000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Crowd-verified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Reserve / contingency (15%)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$37,950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Phase 1 only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90-Day Rollout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900"/>
        <w:gridCol w:w="39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Milestones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Success Metrics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1–30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 data pipeline connected; 10,000 forms processed; dashboard live; SERAP MOU signed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≥95% extraction accuracy; dashboard publicly accessible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31–60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 fully processed; ward-captain QA network deployed; first discrepancy report published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≥3 LGA-level discrepancy reports filed with SERAP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61–90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Expand to all 5 flagged Rivers State LGAs; INEC structured data request submitted; open-source release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 LGAs covered; INEC formal response received; 1 tribunal evidence packet submitted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080"/>
        <w:gridCol w:w="1800"/>
        <w:gridCol w:w="3240"/>
      </w:tblGrid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 blocks API access or structured 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Maintain IReV image pipeline as fallback; public pressure via civil society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challenge to admissibility of AI-extracted evidence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confirmation for all tribunal-bound outputs; SERAP co-signature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Electoral Act 2026 "communication failure" exemption exploited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High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 exemption claims; publish per-ward failure rates to create accountability pressure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Form image quality too low for neural network inference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Confidence threshold routing; crowd-verification fallback for low-quality images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Funding gap after Phase 1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campaign (NIDO, NANAF); CCIJ/Veza co-funding for Phase 2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Political pressure to suppress platform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Open-source release; distributed data storage; international civil society co-ownership</w:t>
            </w:r>
          </w:p>
        </w:tc>
      </w:tr>
    </w:tbl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Prepared by Team 16 for ADC 2026, Track 3  |  Contact: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femi@staygis.com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Implementation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B1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2026-04-17T16:57:35.685Z</dcterms:created>
  <dcterms:modified xsi:type="dcterms:W3CDTF">2026-04-17T16:57:35.686Z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