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E Don Kast — Implementation Brief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2"/>
          <w:szCs w:val="22"/>
        </w:rPr>
        <w:t xml:space="preserve">One-Page Deployment &amp; Adoption Roadmap  |  ADC 2026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0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Implementing Actors &amp;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9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StayGIS LLC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owner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 Don Kast infrastructure, machine learning OCR pipeline, API integrations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Data partner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169,328 digitized EC8A forms; ongoing digitization pipeline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SERAP / NBA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co-signatories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Validate outputs as evidence; file tribunal complaints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Compliance enforcer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Mandate structured data exports under Electoral Act 2026 regulations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Networks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Funders / validators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$50k seed funding; ground-truth verification in home wards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Estimated Budget (Phase 1 Pilot — 90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Line Item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Estimate (USD)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 API (Haiku, 50k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~$0.08/form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infrastructure (cloud hosting, DB)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$6,000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3-month pilot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partnership setup (SERAP/NBA MOU)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One-time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Community outreach &amp; ward captain training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QA (10% confidence-flagged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$8,000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Crowd-verified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Reserve / contingency (15%)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$37,950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Phase 1 only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90-Day Rollout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3900"/>
        <w:gridCol w:w="39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Milestones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Success Metrics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1–30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 data pipeline connected; 10,000 forms processed; dashboard live; SERAP MOU signed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≥95% extraction accuracy; dashboard publicly accessible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31–60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 fully processed; ward-captain QA network deployed; first discrepancy report published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≥3 LGA-level discrepancy reports filed with SERAP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61–90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Expand to all 5 flagged Rivers State LGAs; INEC structured data request submitted; open-source release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 LGAs covered; INEC formal response received; 1 tribunal evidence packet submitted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Risk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080"/>
        <w:gridCol w:w="1800"/>
        <w:gridCol w:w="3240"/>
      </w:tblGrid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 blocks API access or structured 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Maintain IReV image pipeline as fallback; public pressure via civil society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challenge to admissibility of AI-extracted evidence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confirmation for all tribunal-bound outputs; SERAP co-signature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Electoral Act 2026 "communication failure" exemption exploited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High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Log exemption claims; publish per-ward failure rates to create accountability pressure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Form image quality too low for neural network inference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Confidence threshold routing; crowd-verification fallback for low-quality images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Funding gap after Phase 1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8000"/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campaign (NIDO, NANAF); CCIJ/Veza co-funding for Phase 2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Political pressure to suppress platform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Open-source release; distributed data storage; international civil society co-ownership</w:t>
            </w:r>
          </w:p>
        </w:tc>
      </w:tr>
    </w:tbl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Prepared by Team 16 for ADC 2026, Track 3  |  Contact: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femi@staygis.com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Implementation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B1F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2026-04-17T12:42:19.289Z</dcterms:created>
  <dcterms:modified xsi:type="dcterms:W3CDTF">2026-04-17T12:42:19.289Z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