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color w:val="0B1F3A"/>
          <w:sz w:val="52"/>
          <w:szCs w:val="52"/>
        </w:rPr>
        <w:t xml:space="preserve">E Don Kast</w:t>
      </w:r>
    </w:p>
    <w:p>
      <w:pPr>
        <w:spacing w:after="60" w:before="0"/>
      </w:pPr>
      <w:r>
        <w:rPr>
          <w:rFonts w:ascii="Calibri" w:cs="Calibri" w:eastAsia="Calibri" w:hAnsi="Calibri"/>
          <w:b/>
          <w:bCs/>
          <w:color w:val="00A99D"/>
          <w:sz w:val="32"/>
          <w:szCs w:val="32"/>
        </w:rPr>
        <w:t xml:space="preserve">AI-Powered Electoral Verification Platform</w:t>
      </w:r>
    </w:p>
    <w:p>
      <w:pPr>
        <w:spacing w:after="200" w:before="0"/>
      </w:pPr>
      <w:r>
        <w:rPr>
          <w:rFonts w:ascii="Calibri" w:cs="Calibri" w:eastAsia="Calibri" w:hAnsi="Calibri"/>
          <w:i/>
          <w:iCs/>
          <w:color w:val="4A5568"/>
          <w:sz w:val="20"/>
          <w:szCs w:val="20"/>
        </w:rPr>
        <w:t xml:space="preserve">ADC 2026 · Track 3: Restoring Checks, Accountability &amp; Judicial Independence</w:t>
      </w:r>
    </w:p>
    <w:p>
      <w:pPr>
        <w:pBdr>
          <w:bottom w:val="single" w:color="00A99D" w:sz="6" w:space="1"/>
        </w:pBdr>
        <w:spacing w:after="80" w:before="80"/>
      </w:pPr>
    </w:p>
    <w:p>
      <w:pPr>
        <w:spacing w:after="0" w:before="120"/>
      </w:pPr>
    </w:p>
    <w:p>
      <w:pPr>
        <w:pStyle w:val="Heading1"/>
        <w:spacing w:after="100" w:before="280"/>
      </w:pPr>
      <w:r>
        <w:rPr>
          <w:rFonts w:ascii="Calibri" w:cs="Calibri" w:eastAsia="Calibri" w:hAnsi="Calibri"/>
          <w:b/>
          <w:bCs/>
          <w:color w:val="0B1F3A"/>
          <w:sz w:val="32"/>
          <w:szCs w:val="32"/>
        </w:rPr>
        <w:t xml:space="preserve">The Law Changed. The Gap Remains.</w:t>
      </w:r>
    </w:p>
    <w:p>
      <w:pPr>
        <w:spacing w:after="80" w:before="80"/>
        <w:jc w:val="left"/>
      </w:pPr>
      <w:r>
        <w:rPr>
          <w:rFonts w:ascii="Calibri" w:cs="Calibri" w:eastAsia="Calibri" w:hAnsi="Calibri"/>
          <w:b w:val="false"/>
          <w:bCs w:val="false"/>
          <w:i w:val="false"/>
          <w:iCs w:val="false"/>
          <w:color w:val="111111"/>
          <w:sz w:val="22"/>
          <w:szCs w:val="22"/>
        </w:rPr>
        <w:t xml:space="preserve">Nigeria's Electoral Act 2026 (enacted February 2026) mandates that polling unit results be transmitted electronically and in real time to INEC's IReV portal. The law is on the books. But without an independent verification layer, the gap between what polling officers sign on paper and what INEC declares can still disappear quietly — as it did in Rivers State in 2023.</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A99D" w:sz="6"/>
              <w:left w:val="single" w:color="00A99D" w:sz="16"/>
              <w:bottom w:val="single" w:color="00A99D" w:sz="6"/>
              <w:right w:val="single" w:color="DDDDDD" w:sz="1"/>
            </w:tcBorders>
            <w:shd w:fill="E8F4F3" w:val="clear"/>
            <w:tcMar>
              <w:top w:type="dxa" w:w="120"/>
              <w:left w:type="dxa" w:w="200"/>
              <w:bottom w:type="dxa" w:w="120"/>
              <w:right w:type="dxa" w:w="200"/>
            </w:tcMar>
          </w:tcPr>
          <w:p>
            <w:pPr>
              <w:spacing w:after="60" w:before="0"/>
            </w:pPr>
            <w:r>
              <w:rPr>
                <w:rFonts w:ascii="Calibri" w:cs="Calibri" w:eastAsia="Calibri" w:hAnsi="Calibri"/>
                <w:b/>
                <w:bCs/>
                <w:color w:val="0B1F3A"/>
                <w:sz w:val="22"/>
                <w:szCs w:val="22"/>
              </w:rPr>
              <w:t xml:space="preserve">Case Study: Ward 4 Rumuodomaya, Obio-Akpor LGA, Rivers State</w:t>
            </w:r>
          </w:p>
          <w:p>
            <w:pPr>
              <w:spacing w:after="60" w:before="0"/>
            </w:pPr>
            <w:r>
              <w:rPr>
                <w:rFonts w:ascii="Calibri" w:cs="Calibri" w:eastAsia="Calibri" w:hAnsi="Calibri"/>
                <w:color w:val="222222"/>
                <w:sz w:val="21"/>
                <w:szCs w:val="21"/>
              </w:rPr>
              <w:t xml:space="preserve">CCIJ-digitized EC8A forms from a single ward show 4,432 LP votes. INEC's official declaration for the entire LGA: 3,829 LP votes. A single ward contains more votes than the full LGA total. The ward-level paper record exists and is publicly accessible on IReV.</w:t>
            </w:r>
          </w:p>
        </w:tc>
      </w:tr>
    </w:tbl>
    <w:p>
      <w:pPr>
        <w:spacing w:after="0" w:before="120"/>
      </w:pPr>
    </w:p>
    <w:p>
      <w:pPr>
        <w:pStyle w:val="Heading1"/>
        <w:spacing w:after="100" w:before="280"/>
      </w:pPr>
      <w:r>
        <w:rPr>
          <w:rFonts w:ascii="Calibri" w:cs="Calibri" w:eastAsia="Calibri" w:hAnsi="Calibri"/>
          <w:b/>
          <w:bCs/>
          <w:color w:val="0B1F3A"/>
          <w:sz w:val="32"/>
          <w:szCs w:val="32"/>
        </w:rPr>
        <w:t xml:space="preserve">The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0B1F3A" w:val="clear"/>
            <w:tcMar>
              <w:top w:type="dxa" w:w="80"/>
              <w:left w:type="dxa" w:w="120"/>
              <w:bottom w:type="dxa" w:w="80"/>
              <w:right w:type="dxa" w:w="120"/>
            </w:tcMar>
            <w:vAlign w:val="center"/>
          </w:tcPr>
          <w:p>
            <w:pPr>
              <w:jc w:val="left"/>
            </w:pPr>
            <w:r>
              <w:rPr>
                <w:rFonts w:ascii="Calibri" w:cs="Calibri" w:eastAsia="Calibri" w:hAnsi="Calibri"/>
                <w:b/>
                <w:bCs/>
                <w:i w:val="false"/>
                <w:iCs w:val="false"/>
                <w:color w:val="FFFFFF"/>
                <w:sz w:val="20"/>
                <w:szCs w:val="20"/>
              </w:rPr>
              <w:t xml:space="preserve">Metric</w:t>
            </w:r>
          </w:p>
        </w:tc>
        <w:tc>
          <w:tcPr>
            <w:tcW w:type="dxa" w:w="3120"/>
            <w:tcBorders>
              <w:top w:val="single" w:color="CCCCCC" w:sz="1"/>
              <w:left w:val="single" w:color="CCCCCC" w:sz="1"/>
              <w:bottom w:val="single" w:color="CCCCCC" w:sz="1"/>
              <w:right w:val="single" w:color="CCCCCC" w:sz="1"/>
            </w:tcBorders>
            <w:shd w:fill="0B1F3A" w:val="clear"/>
            <w:tcMar>
              <w:top w:type="dxa" w:w="80"/>
              <w:left w:type="dxa" w:w="120"/>
              <w:bottom w:type="dxa" w:w="80"/>
              <w:right w:type="dxa" w:w="120"/>
            </w:tcMar>
            <w:vAlign w:val="center"/>
          </w:tcPr>
          <w:p>
            <w:pPr>
              <w:jc w:val="center"/>
            </w:pPr>
            <w:r>
              <w:rPr>
                <w:rFonts w:ascii="Calibri" w:cs="Calibri" w:eastAsia="Calibri" w:hAnsi="Calibri"/>
                <w:b/>
                <w:bCs/>
                <w:i w:val="false"/>
                <w:iCs w:val="false"/>
                <w:color w:val="FFFFFF"/>
                <w:sz w:val="20"/>
                <w:szCs w:val="20"/>
              </w:rPr>
              <w:t xml:space="preserve">Labour Party (LP)</w:t>
            </w:r>
          </w:p>
        </w:tc>
        <w:tc>
          <w:tcPr>
            <w:tcW w:type="dxa" w:w="3120"/>
            <w:tcBorders>
              <w:top w:val="single" w:color="CCCCCC" w:sz="1"/>
              <w:left w:val="single" w:color="CCCCCC" w:sz="1"/>
              <w:bottom w:val="single" w:color="CCCCCC" w:sz="1"/>
              <w:right w:val="single" w:color="CCCCCC" w:sz="1"/>
            </w:tcBorders>
            <w:shd w:fill="0B1F3A" w:val="clear"/>
            <w:tcMar>
              <w:top w:type="dxa" w:w="80"/>
              <w:left w:type="dxa" w:w="120"/>
              <w:bottom w:type="dxa" w:w="80"/>
              <w:right w:type="dxa" w:w="120"/>
            </w:tcMar>
            <w:vAlign w:val="center"/>
          </w:tcPr>
          <w:p>
            <w:pPr>
              <w:jc w:val="center"/>
            </w:pPr>
            <w:r>
              <w:rPr>
                <w:rFonts w:ascii="Calibri" w:cs="Calibri" w:eastAsia="Calibri" w:hAnsi="Calibri"/>
                <w:b/>
                <w:bCs/>
                <w:i w:val="false"/>
                <w:iCs w:val="false"/>
                <w:color w:val="FFFFFF"/>
                <w:sz w:val="20"/>
                <w:szCs w:val="20"/>
              </w:rPr>
              <w:t xml:space="preserve">APC</w:t>
            </w:r>
          </w:p>
        </w:tc>
      </w:tr>
      <w:tr>
        <w:tc>
          <w:tcPr>
            <w:tcW w:type="dxa" w:w="312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EC8A forms (full LGA)</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Calibri" w:cs="Calibri" w:eastAsia="Calibri" w:hAnsi="Calibri"/>
                <w:b/>
                <w:bCs/>
                <w:i w:val="false"/>
                <w:iCs w:val="false"/>
                <w:color w:val="006450"/>
                <w:sz w:val="20"/>
                <w:szCs w:val="20"/>
              </w:rPr>
              <w:t xml:space="preserve">68,521</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Calibri" w:cs="Calibri" w:eastAsia="Calibri" w:hAnsi="Calibri"/>
                <w:b w:val="false"/>
                <w:bCs w:val="false"/>
                <w:i w:val="false"/>
                <w:iCs w:val="false"/>
                <w:color w:val="111111"/>
                <w:sz w:val="20"/>
                <w:szCs w:val="20"/>
              </w:rPr>
              <w:t xml:space="preserve">16,980</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INEC declared result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Calibri" w:cs="Calibri" w:eastAsia="Calibri" w:hAnsi="Calibri"/>
                <w:b/>
                <w:bCs/>
                <w:i w:val="false"/>
                <w:iCs w:val="false"/>
                <w:color w:val="C0392B"/>
                <w:sz w:val="20"/>
                <w:szCs w:val="20"/>
              </w:rPr>
              <w:t xml:space="preserve">3,829</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Calibri" w:cs="Calibri" w:eastAsia="Calibri" w:hAnsi="Calibri"/>
                <w:b w:val="false"/>
                <w:bCs w:val="false"/>
                <w:i w:val="false"/>
                <w:iCs w:val="false"/>
                <w:color w:val="111111"/>
                <w:sz w:val="20"/>
                <w:szCs w:val="20"/>
              </w:rPr>
              <w:t xml:space="preserve">80,239</w:t>
            </w:r>
          </w:p>
        </w:tc>
      </w:tr>
      <w:tr>
        <w:tc>
          <w:tcPr>
            <w:tcW w:type="dxa" w:w="312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Discrepancy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Calibri" w:cs="Calibri" w:eastAsia="Calibri" w:hAnsi="Calibri"/>
                <w:b/>
                <w:bCs/>
                <w:i w:val="false"/>
                <w:iCs w:val="false"/>
                <w:color w:val="C0392B"/>
                <w:sz w:val="20"/>
                <w:szCs w:val="20"/>
              </w:rPr>
              <w:t xml:space="preserve">−64,692 votes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Calibri" w:cs="Calibri" w:eastAsia="Calibri" w:hAnsi="Calibri"/>
                <w:b/>
                <w:bCs/>
                <w:i w:val="false"/>
                <w:iCs w:val="false"/>
                <w:color w:val="C0392B"/>
                <w:sz w:val="20"/>
                <w:szCs w:val="20"/>
              </w:rPr>
              <w:t xml:space="preserve">+63,259 votes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Calibri" w:cs="Calibri" w:eastAsia="Calibri" w:hAnsi="Calibri"/>
                <w:b w:val="false"/>
                <w:bCs w:val="false"/>
                <w:i w:val="false"/>
                <w:iCs w:val="false"/>
                <w:color w:val="111111"/>
                <w:sz w:val="20"/>
                <w:szCs w:val="20"/>
              </w:rPr>
              <w:t xml:space="preserve">Single-ward LP votes exceed full LGA total by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Calibri" w:cs="Calibri" w:eastAsia="Calibri" w:hAnsi="Calibri"/>
                <w:b/>
                <w:bCs/>
                <w:i w:val="false"/>
                <w:iCs w:val="false"/>
                <w:color w:val="E8893A"/>
                <w:sz w:val="20"/>
                <w:szCs w:val="20"/>
              </w:rPr>
              <w:t xml:space="preserve">+603 votes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Calibri" w:cs="Calibri" w:eastAsia="Calibri" w:hAnsi="Calibri"/>
                <w:b w:val="false"/>
                <w:bCs w:val="false"/>
                <w:i w:val="false"/>
                <w:iCs w:val="false"/>
                <w:color w:val="111111"/>
                <w:sz w:val="20"/>
                <w:szCs w:val="20"/>
              </w:rPr>
              <w:t xml:space="preserve">—</w:t>
            </w:r>
          </w:p>
        </w:tc>
      </w:tr>
    </w:tbl>
    <w:p>
      <w:pPr>
        <w:spacing w:after="0" w:before="120"/>
      </w:pPr>
    </w:p>
    <w:p>
      <w:pPr>
        <w:pStyle w:val="Heading1"/>
        <w:spacing w:after="100" w:before="280"/>
      </w:pPr>
      <w:r>
        <w:rPr>
          <w:rFonts w:ascii="Calibri" w:cs="Calibri" w:eastAsia="Calibri" w:hAnsi="Calibri"/>
          <w:b/>
          <w:bCs/>
          <w:color w:val="0B1F3A"/>
          <w:sz w:val="32"/>
          <w:szCs w:val="32"/>
        </w:rPr>
        <w:t xml:space="preserve">The Solution: E Don Kast</w:t>
      </w:r>
    </w:p>
    <w:p>
      <w:pPr>
        <w:spacing w:after="80" w:before="80"/>
        <w:jc w:val="left"/>
      </w:pPr>
      <w:r>
        <w:rPr>
          <w:rFonts w:ascii="Calibri" w:cs="Calibri" w:eastAsia="Calibri" w:hAnsi="Calibri"/>
          <w:b w:val="false"/>
          <w:bCs w:val="false"/>
          <w:i w:val="false"/>
          <w:iCs w:val="false"/>
          <w:color w:val="111111"/>
          <w:sz w:val="22"/>
          <w:szCs w:val="22"/>
        </w:rPr>
        <w:t xml:space="preserve">"E don kast" — Nigerian Pidgin for "the result has been announced" — is a real-time electoral verification platform by StayGIS LLC. It cross-references handwritten EC8A polling unit forms against INEC's declared results, making discrepancies visible before they become facts.</w:t>
      </w:r>
    </w:p>
    <w:p>
      <w:pPr>
        <w:spacing w:after="0" w:before="60"/>
      </w:pPr>
    </w:p>
    <w:p>
      <w:pPr>
        <w:pStyle w:val="Heading2"/>
        <w:spacing w:after="80" w:before="200"/>
      </w:pPr>
      <w:r>
        <w:rPr>
          <w:rFonts w:ascii="Calibri" w:cs="Calibri" w:eastAsia="Calibri" w:hAnsi="Calibri"/>
          <w:b/>
          <w:bCs/>
          <w:color w:val="0B1F3A"/>
          <w:sz w:val="26"/>
          <w:szCs w:val="26"/>
        </w:rPr>
        <w:t xml:space="preserve">How It Works</w:t>
      </w:r>
    </w:p>
    <w:p>
      <w:pPr>
        <w:pStyle w:val="ListParagraph"/>
        <w:numPr>
          <w:ilvl w:val="0"/>
          <w:numId w:val="2"/>
        </w:numPr>
        <w:spacing w:after="40" w:before="40"/>
      </w:pPr>
      <w:r>
        <w:rPr>
          <w:rFonts w:ascii="Calibri" w:cs="Calibri" w:eastAsia="Calibri" w:hAnsi="Calibri"/>
          <w:b w:val="false"/>
          <w:bCs w:val="false"/>
          <w:color w:val="111111"/>
          <w:sz w:val="22"/>
          <w:szCs w:val="22"/>
        </w:rPr>
        <w:t xml:space="preserve">Citizens photograph EC8A forms at polling units or access CCIJ-digitized images (169,328 forms already digitized)</w:t>
      </w:r>
    </w:p>
    <w:p>
      <w:pPr>
        <w:pStyle w:val="ListParagraph"/>
        <w:numPr>
          <w:ilvl w:val="0"/>
          <w:numId w:val="2"/>
        </w:numPr>
        <w:spacing w:after="40" w:before="40"/>
      </w:pPr>
      <w:r>
        <w:rPr>
          <w:rFonts w:ascii="Calibri" w:cs="Calibri" w:eastAsia="Calibri" w:hAnsi="Calibri"/>
          <w:b w:val="false"/>
          <w:bCs w:val="false"/>
          <w:color w:val="111111"/>
          <w:sz w:val="22"/>
          <w:szCs w:val="22"/>
        </w:rPr>
        <w:t xml:space="preserve">Machine learning models use computer vision and optical character recognition (OCR) to extract handwritten vote totals in seconds, with confidence scoring and human review flagging</w:t>
      </w:r>
    </w:p>
    <w:p>
      <w:pPr>
        <w:pStyle w:val="ListParagraph"/>
        <w:numPr>
          <w:ilvl w:val="0"/>
          <w:numId w:val="2"/>
        </w:numPr>
        <w:spacing w:after="40" w:before="40"/>
      </w:pPr>
      <w:r>
        <w:rPr>
          <w:rFonts w:ascii="Calibri" w:cs="Calibri" w:eastAsia="Calibri" w:hAnsi="Calibri"/>
          <w:b w:val="false"/>
          <w:bCs w:val="false"/>
          <w:color w:val="111111"/>
          <w:sz w:val="22"/>
          <w:szCs w:val="22"/>
        </w:rPr>
        <w:t xml:space="preserve">A live dashboard aggregates extracted counts and compares them against INEC's declared figures in real time</w:t>
      </w:r>
    </w:p>
    <w:p>
      <w:pPr>
        <w:pStyle w:val="ListParagraph"/>
        <w:numPr>
          <w:ilvl w:val="0"/>
          <w:numId w:val="2"/>
        </w:numPr>
        <w:spacing w:after="40" w:before="40"/>
      </w:pPr>
      <w:r>
        <w:rPr>
          <w:rFonts w:ascii="Calibri" w:cs="Calibri" w:eastAsia="Calibri" w:hAnsi="Calibri"/>
          <w:b w:val="false"/>
          <w:bCs w:val="false"/>
          <w:color w:val="111111"/>
          <w:sz w:val="22"/>
          <w:szCs w:val="22"/>
        </w:rPr>
        <w:t xml:space="preserve">Discrepancies surface instantly — not months later in a tribunal — enabling timely legal challenges and public accountability</w:t>
      </w:r>
    </w:p>
    <w:p>
      <w:pPr>
        <w:spacing w:after="0" w:before="80"/>
      </w:pPr>
    </w:p>
    <w:p>
      <w:pPr>
        <w:pStyle w:val="Heading2"/>
        <w:spacing w:after="80" w:before="200"/>
      </w:pPr>
      <w:r>
        <w:rPr>
          <w:rFonts w:ascii="Calibri" w:cs="Calibri" w:eastAsia="Calibri" w:hAnsi="Calibri"/>
          <w:b/>
          <w:bCs/>
          <w:color w:val="0B1F3A"/>
          <w:sz w:val="26"/>
          <w:szCs w:val="26"/>
        </w:rPr>
        <w:t xml:space="preserve">Why Now</w:t>
      </w:r>
    </w:p>
    <w:p>
      <w:pPr>
        <w:pStyle w:val="ListParagraph"/>
        <w:numPr>
          <w:ilvl w:val="0"/>
          <w:numId w:val="2"/>
        </w:numPr>
        <w:spacing w:after="40" w:before="40"/>
      </w:pPr>
      <w:r>
        <w:rPr>
          <w:rFonts w:ascii="Calibri" w:cs="Calibri" w:eastAsia="Calibri" w:hAnsi="Calibri"/>
          <w:b w:val="false"/>
          <w:bCs w:val="false"/>
          <w:color w:val="111111"/>
          <w:sz w:val="22"/>
          <w:szCs w:val="22"/>
        </w:rPr>
        <w:t xml:space="preserve">Electoral Act 2026 mandates real-time IReV uploads — E Don Kast enforces compliance, not just monitors it</w:t>
      </w:r>
    </w:p>
    <w:p>
      <w:pPr>
        <w:pStyle w:val="ListParagraph"/>
        <w:numPr>
          <w:ilvl w:val="0"/>
          <w:numId w:val="2"/>
        </w:numPr>
        <w:spacing w:after="40" w:before="40"/>
      </w:pPr>
      <w:r>
        <w:rPr>
          <w:rFonts w:ascii="Calibri" w:cs="Calibri" w:eastAsia="Calibri" w:hAnsi="Calibri"/>
          <w:b w:val="false"/>
          <w:bCs w:val="false"/>
          <w:color w:val="111111"/>
          <w:sz w:val="22"/>
          <w:szCs w:val="22"/>
        </w:rPr>
        <w:t xml:space="preserve">CCIJ's 169,328 digitized forms provide an existing evidence base; deep learning inference scales extraction nationally at low cost per form</w:t>
      </w:r>
    </w:p>
    <w:p>
      <w:pPr>
        <w:pStyle w:val="ListParagraph"/>
        <w:numPr>
          <w:ilvl w:val="0"/>
          <w:numId w:val="2"/>
        </w:numPr>
        <w:spacing w:after="40" w:before="40"/>
      </w:pPr>
      <w:r>
        <w:rPr>
          <w:rFonts w:ascii="Calibri" w:cs="Calibri" w:eastAsia="Calibri" w:hAnsi="Calibri"/>
          <w:b w:val="false"/>
          <w:bCs w:val="false"/>
          <w:color w:val="111111"/>
          <w:sz w:val="22"/>
          <w:szCs w:val="22"/>
        </w:rPr>
        <w:t xml:space="preserve">Veza News confirmed 110,000+ phantom APC votes across 5 Rivers State LGAs in March 2025 — the data exists, the platform to act on it does not</w:t>
      </w:r>
    </w:p>
    <w:p>
      <w:pPr>
        <w:spacing w:after="0" w:before="80"/>
      </w:pPr>
    </w:p>
    <w:p>
      <w:pPr>
        <w:pStyle w:val="Heading2"/>
        <w:spacing w:after="80" w:before="200"/>
      </w:pPr>
      <w:r>
        <w:rPr>
          <w:rFonts w:ascii="Calibri" w:cs="Calibri" w:eastAsia="Calibri" w:hAnsi="Calibri"/>
          <w:b/>
          <w:bCs/>
          <w:color w:val="0B1F3A"/>
          <w:sz w:val="26"/>
          <w:szCs w:val="26"/>
        </w:rPr>
        <w:t xml:space="preserve">Implementation Path</w:t>
      </w:r>
    </w:p>
    <w:p>
      <w:pPr>
        <w:pStyle w:val="ListParagraph"/>
        <w:numPr>
          <w:ilvl w:val="0"/>
          <w:numId w:val="2"/>
        </w:numPr>
        <w:spacing w:after="40" w:before="40"/>
      </w:pPr>
      <w:r>
        <w:rPr>
          <w:rFonts w:ascii="Calibri" w:cs="Calibri" w:eastAsia="Calibri" w:hAnsi="Calibri"/>
          <w:b w:val="false"/>
          <w:bCs w:val="false"/>
          <w:color w:val="111111"/>
          <w:sz w:val="22"/>
          <w:szCs w:val="22"/>
        </w:rPr>
        <w:t xml:space="preserve">Phase 1 (0–90 days): Deploy ward-level pilot in Obio-Akpor with CCIJ data; establish legal partnership with SERAP</w:t>
      </w:r>
    </w:p>
    <w:p>
      <w:pPr>
        <w:pStyle w:val="ListParagraph"/>
        <w:numPr>
          <w:ilvl w:val="0"/>
          <w:numId w:val="2"/>
        </w:numPr>
        <w:spacing w:after="40" w:before="40"/>
      </w:pPr>
      <w:r>
        <w:rPr>
          <w:rFonts w:ascii="Calibri" w:cs="Calibri" w:eastAsia="Calibri" w:hAnsi="Calibri"/>
          <w:b w:val="false"/>
          <w:bCs w:val="false"/>
          <w:color w:val="111111"/>
          <w:sz w:val="22"/>
          <w:szCs w:val="22"/>
        </w:rPr>
        <w:t xml:space="preserve">Phase 2 (3–9 months): Expand to all 5 flagged Rivers State LGAs; INEC API integration pending Electoral Act compliance deadlines</w:t>
      </w:r>
    </w:p>
    <w:p>
      <w:pPr>
        <w:pStyle w:val="ListParagraph"/>
        <w:numPr>
          <w:ilvl w:val="0"/>
          <w:numId w:val="2"/>
        </w:numPr>
        <w:spacing w:after="40" w:before="40"/>
      </w:pPr>
      <w:r>
        <w:rPr>
          <w:rFonts w:ascii="Calibri" w:cs="Calibri" w:eastAsia="Calibri" w:hAnsi="Calibri"/>
          <w:b w:val="false"/>
          <w:bCs w:val="false"/>
          <w:color w:val="111111"/>
          <w:sz w:val="22"/>
          <w:szCs w:val="22"/>
        </w:rPr>
        <w:t xml:space="preserve">Phase 3 (9–18 months): National deployment with civil society co-management; open-source release for diaspora chapters</w:t>
      </w:r>
    </w:p>
    <w:p>
      <w:pPr>
        <w:spacing w:after="0" w:before="80"/>
      </w:pPr>
    </w:p>
    <w:p>
      <w:pPr>
        <w:pStyle w:val="Heading2"/>
        <w:spacing w:after="80" w:before="200"/>
      </w:pPr>
      <w:r>
        <w:rPr>
          <w:rFonts w:ascii="Calibri" w:cs="Calibri" w:eastAsia="Calibri" w:hAnsi="Calibri"/>
          <w:b/>
          <w:bCs/>
          <w:color w:val="0B1F3A"/>
          <w:sz w:val="26"/>
          <w:szCs w:val="26"/>
        </w:rPr>
        <w:t xml:space="preserve">Policy Ask</w:t>
      </w:r>
    </w:p>
    <w:p>
      <w:pPr>
        <w:pStyle w:val="ListParagraph"/>
        <w:numPr>
          <w:ilvl w:val="0"/>
          <w:numId w:val="2"/>
        </w:numPr>
        <w:spacing w:after="40" w:before="40"/>
      </w:pPr>
      <w:r>
        <w:rPr>
          <w:rFonts w:ascii="Calibri" w:cs="Calibri" w:eastAsia="Calibri" w:hAnsi="Calibri"/>
          <w:b w:val="false"/>
          <w:bCs w:val="false"/>
          <w:color w:val="111111"/>
          <w:sz w:val="22"/>
          <w:szCs w:val="22"/>
        </w:rPr>
        <w:t xml:space="preserve">INEC to mandate structured data exports (not image-only IReV) as part of Electoral Act 2026 implementation regulations</w:t>
      </w:r>
    </w:p>
    <w:p>
      <w:pPr>
        <w:pStyle w:val="ListParagraph"/>
        <w:numPr>
          <w:ilvl w:val="0"/>
          <w:numId w:val="2"/>
        </w:numPr>
        <w:spacing w:after="40" w:before="40"/>
      </w:pPr>
      <w:r>
        <w:rPr>
          <w:rFonts w:ascii="Calibri" w:cs="Calibri" w:eastAsia="Calibri" w:hAnsi="Calibri"/>
          <w:b w:val="false"/>
          <w:bCs w:val="false"/>
          <w:color w:val="111111"/>
          <w:sz w:val="22"/>
          <w:szCs w:val="22"/>
        </w:rPr>
        <w:t xml:space="preserve">Nigerian Bar Association and SERAP to adopt E Don Kast outputs as pre-screened evidence for tribunal filings</w:t>
      </w:r>
    </w:p>
    <w:p>
      <w:pPr>
        <w:pStyle w:val="ListParagraph"/>
        <w:numPr>
          <w:ilvl w:val="0"/>
          <w:numId w:val="2"/>
        </w:numPr>
        <w:spacing w:after="40" w:before="40"/>
      </w:pPr>
      <w:r>
        <w:rPr>
          <w:rFonts w:ascii="Calibri" w:cs="Calibri" w:eastAsia="Calibri" w:hAnsi="Calibri"/>
          <w:b w:val="false"/>
          <w:bCs w:val="false"/>
          <w:color w:val="111111"/>
          <w:sz w:val="22"/>
          <w:szCs w:val="22"/>
        </w:rPr>
        <w:t xml:space="preserve">CCIJ and StayGIS partnership agreement to enable continuous form digitization and verification pipeline</w:t>
      </w:r>
    </w:p>
    <w:p>
      <w:pPr>
        <w:pStyle w:val="ListParagraph"/>
        <w:numPr>
          <w:ilvl w:val="0"/>
          <w:numId w:val="2"/>
        </w:numPr>
        <w:spacing w:after="40" w:before="40"/>
      </w:pPr>
      <w:r>
        <w:rPr>
          <w:rFonts w:ascii="Calibri" w:cs="Calibri" w:eastAsia="Calibri" w:hAnsi="Calibri"/>
          <w:b w:val="false"/>
          <w:bCs w:val="false"/>
          <w:color w:val="111111"/>
          <w:sz w:val="22"/>
          <w:szCs w:val="22"/>
        </w:rPr>
        <w:t xml:space="preserve">Diaspora community funding: $50,000 initial deployment via targeted campaigns in Nigerian diaspora networks</w:t>
      </w:r>
    </w:p>
    <w:p>
      <w:pPr>
        <w:spacing w:after="0" w:before="120"/>
      </w:pPr>
    </w:p>
    <w:p>
      <w:pPr>
        <w:pBdr>
          <w:bottom w:val="single" w:color="00A99D" w:sz="4" w:space="1"/>
        </w:pBdr>
        <w:spacing w:after="80" w:before="80"/>
      </w:pPr>
    </w:p>
    <w:p>
      <w:pPr>
        <w:spacing w:after="0" w:before="80"/>
      </w:pPr>
      <w:r>
        <w:rPr>
          <w:rFonts w:ascii="Calibri" w:cs="Calibri" w:eastAsia="Calibri" w:hAnsi="Calibri"/>
          <w:b/>
          <w:bCs/>
          <w:color w:val="4A5568"/>
          <w:sz w:val="18"/>
          <w:szCs w:val="18"/>
        </w:rPr>
        <w:t xml:space="preserve">Contact: </w:t>
      </w:r>
      <w:r>
        <w:rPr>
          <w:rFonts w:ascii="Calibri" w:cs="Calibri" w:eastAsia="Calibri" w:hAnsi="Calibri"/>
          <w:color w:val="4A5568"/>
          <w:sz w:val="18"/>
          <w:szCs w:val="18"/>
        </w:rPr>
        <w:t xml:space="preserve">femi@staygis.com  |  StayGIS LLC  |  </w:t>
      </w:r>
      <w:r>
        <w:rPr>
          <w:rFonts w:ascii="Calibri" w:cs="Calibri" w:eastAsia="Calibri" w:hAnsi="Calibri"/>
          <w:color w:val="00A99D"/>
          <w:sz w:val="18"/>
          <w:szCs w:val="18"/>
        </w:rPr>
        <w:t xml:space="preserve">edonkast.com</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A99D" w:sz="4" w:space="1"/>
      </w:pBdr>
      <w:spacing w:after="0" w:before="100"/>
    </w:pPr>
    <w:r>
      <w:rPr>
        <w:rFonts w:ascii="Calibri" w:cs="Calibri" w:eastAsia="Calibri" w:hAnsi="Calibri"/>
        <w:color w:val="4A5568"/>
        <w:sz w:val="16"/>
        <w:szCs w:val="16"/>
      </w:rPr>
      <w:t xml:space="preserve">Team 16: Olamijulo · Oni · Michel  |  ADC 2026, Harvard Kennedy School    </w:t>
    </w:r>
    <w:r>
      <w:rPr>
        <w:rFonts w:ascii="Calibri" w:cs="Calibri" w:eastAsia="Calibri" w:hAnsi="Calibri"/>
        <w:color w:val="4A5568"/>
        <w:sz w:val="16"/>
        <w:szCs w:val="16"/>
      </w:rPr>
      <w:t xml:space="preserve">Page </w:t>
    </w:r>
    <w:r>
      <w:rPr>
        <w:rFonts w:ascii="Calibri" w:cs="Calibri" w:eastAsia="Calibri" w:hAnsi="Calibri"/>
        <w:color w:val="4A55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A99D" w:sz="4" w:space="1"/>
      </w:pBdr>
      <w:spacing w:after="120" w:before="0"/>
      <w:jc w:val="right"/>
    </w:pPr>
    <w:r>
      <w:rPr>
        <w:rFonts w:ascii="Calibri" w:cs="Calibri" w:eastAsia="Calibri" w:hAnsi="Calibri"/>
        <w:b/>
        <w:bCs/>
        <w:color w:val="00A99D"/>
        <w:sz w:val="18"/>
        <w:szCs w:val="18"/>
      </w:rPr>
      <w:t xml:space="preserve">E Don Kast  ·  </w:t>
    </w:r>
    <w:r>
      <w:rPr>
        <w:rFonts w:ascii="Calibri" w:cs="Calibri" w:eastAsia="Calibri" w:hAnsi="Calibri"/>
        <w:color w:val="4A5568"/>
        <w:sz w:val="18"/>
        <w:szCs w:val="18"/>
      </w:rPr>
      <w:t xml:space="preserve">Written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0B1F3A"/>
      <w:sz w:val="32"/>
      <w:szCs w:val="32"/>
    </w:rPr>
  </w:style>
  <w:style w:type="paragraph" w:styleId="Heading2">
    <w:name w:val="Heading 2"/>
    <w:basedOn w:val="Normal"/>
    <w:next w:val="Normal"/>
    <w:qFormat/>
    <w:pPr>
      <w:spacing w:after="80" w:before="200"/>
      <w:outlineLvl w:val="1"/>
    </w:pPr>
    <w:rPr>
      <w:rFonts w:ascii="Calibri" w:cs="Calibri" w:eastAsia="Calibri" w:hAnsi="Calibri"/>
      <w:b/>
      <w:bCs/>
      <w:color w:val="0B1F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2026-04-17T16:57:35.439Z</dcterms:created>
  <dcterms:modified xsi:type="dcterms:W3CDTF">2026-04-17T16:57:35.440Z</dcterms:modified>
</cp:coreProperties>
</file>

<file path=docProps/custom.xml><?xml version="1.0" encoding="utf-8"?>
<Properties xmlns="http://schemas.openxmlformats.org/officeDocument/2006/custom-properties" xmlns:vt="http://schemas.openxmlformats.org/officeDocument/2006/docPropsVTypes"/>
</file>