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E Don Kast — Implementation Brief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2"/>
          <w:szCs w:val="22"/>
        </w:rPr>
        <w:t xml:space="preserve">One-Page Deployment &amp; Adoption Roadmap  |  ADC 2026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0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Implementing Actors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StayGIS LLC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 Don Kast infrastructure, machine learning OCR pipeline, API integrations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Data partner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169,328 digitized EC8A forms; ongoing digitization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SERAP / NBA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co-signatories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Validate outputs as evidence; file tribunal complaints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Compliance enforcer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Mandate structured data exports under Electoral Act 2026 regulations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Networks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Funders / validators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$50k seed funding; ground-truth verification in home wards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Estimated Budget (Phase 1 Pilot — 90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 Item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Estimate (USD)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 API (Haiku, 50k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~$0.08/form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infrastructure (cloud hosting, 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$6,000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3-month pilot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partnership setup (SERAP/NBA MOU)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One-time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Community outreach &amp; ward captain training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QA (10% confidence-flagged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$8,000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Crowd-verified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Reserve / contingency (15%)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$37,950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Phase 1 only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90-Day Rollout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Milestones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Success Metrics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1–30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 data pipeline connected; 10,000 forms processed; dashboard live; SERAP MOU signed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≥95% extraction accuracy; dashboard publicly accessible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31–60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 fully processed; ward-captain QA network deployed; first discrepancy report published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≥3 LGA-level discrepancy reports filed with SERAP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61–90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Expand to all 5 flagged Rivers State LGAs; INEC structured data request submitted; open-source release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 LGAs covered; INEC formal response received; 1 tribunal evidence packet submitted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080"/>
        <w:gridCol w:w="1800"/>
        <w:gridCol w:w="3240"/>
      </w:tblGrid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 blocks API access or structured 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Maintain IReV image pipeline as fallback; public pressure via civil society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challenge to admissibility of AI-extracted evidence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confirmation for all tribunal-bound outputs; SERAP co-signature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Electoral Act 2026 "communication failure" exemption exploited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High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 exemption claims; publish per-ward failure rates to create accountability pressure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Form image quality too low for neural network inference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Confidence threshold routing; crowd-verification fallback for low-quality images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Funding gap after Phase 1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campaign (NIDO, NANAF); CCIJ/Veza co-funding for Phase 2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Political pressure to suppress platform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Open-source release; distributed data storage; international civil society co-ownership</w:t>
            </w:r>
          </w:p>
        </w:tc>
      </w:tr>
    </w:tbl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Prepared by Team 16 for ADC 2026, Track 3  |  Contact: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Implementation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2026-04-17T18:50:36.060Z</dcterms:created>
  <dcterms:modified xsi:type="dcterms:W3CDTF">2026-04-17T18:50:36.060Z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