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</w:pPr>
      <w:r>
        <w:rPr>
          <w:rFonts w:ascii="Calibri" w:cs="Calibri" w:eastAsia="Calibri" w:hAnsi="Calibri"/>
          <w:b/>
          <w:bCs/>
          <w:color w:val="0B1F3A"/>
          <w:sz w:val="48"/>
          <w:szCs w:val="48"/>
        </w:rPr>
        <w:t xml:space="preserve">E Don Kast — Implementation Brief</w:t>
      </w:r>
    </w:p>
    <w:p>
      <w:pPr>
        <w:spacing w:after="200" w:before="0"/>
      </w:pPr>
      <w:r>
        <w:rPr>
          <w:rFonts w:ascii="Calibri" w:cs="Calibri" w:eastAsia="Calibri" w:hAnsi="Calibri"/>
          <w:i/>
          <w:iCs/>
          <w:color w:val="4A5568"/>
          <w:sz w:val="22"/>
          <w:szCs w:val="22"/>
        </w:rPr>
        <w:t xml:space="preserve">One-Page Deployment &amp; Adoption Roadmap  |  ADC 2026</w:t>
      </w:r>
    </w:p>
    <w:p>
      <w:pPr>
        <w:pBdr>
          <w:bottom w:val="single" w:color="00A99D" w:sz="6" w:space="1"/>
        </w:pBdr>
        <w:spacing w:after="80" w:before="80"/>
      </w:pPr>
    </w:p>
    <w:p>
      <w:pPr>
        <w:spacing w:after="0" w:before="100"/>
      </w:pPr>
    </w:p>
    <w:p>
      <w:pPr>
        <w:pStyle w:val="Heading1"/>
        <w:spacing w:after="100" w:before="280"/>
      </w:pPr>
      <w:r>
        <w:rPr>
          <w:rFonts w:ascii="Calibri" w:cs="Calibri" w:eastAsia="Calibri" w:hAnsi="Calibri"/>
          <w:b/>
          <w:bCs/>
          <w:color w:val="0B1F3A"/>
          <w:sz w:val="32"/>
          <w:szCs w:val="32"/>
        </w:rPr>
        <w:t xml:space="preserve">Implementing Actors &amp; Roles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600"/>
        <w:gridCol w:w="39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1F3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Actor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1F3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1F3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Deliverable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StayGIS LLC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Platform owner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E Don Kast infrastructure, machine learning OCR pipeline, API integrations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CCIJ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Data partner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169,328 digitized EC8A forms; ongoing digitization pipeline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SERAP / NBA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Legal co-signatories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Validate outputs as evidence; file tribunal complaints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INEC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Compliance enforcer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Mandate structured data exports under Electoral Act 2026 regulations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Diaspora Networks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Funders / validators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$50k seed funding; ground-truth verification in home wards</w:t>
            </w:r>
          </w:p>
        </w:tc>
      </w:tr>
    </w:tbl>
    <w:p>
      <w:pPr>
        <w:spacing w:after="0" w:before="120"/>
      </w:pPr>
    </w:p>
    <w:p>
      <w:pPr>
        <w:pStyle w:val="Heading1"/>
        <w:spacing w:after="100" w:before="280"/>
      </w:pPr>
      <w:r>
        <w:rPr>
          <w:rFonts w:ascii="Calibri" w:cs="Calibri" w:eastAsia="Calibri" w:hAnsi="Calibri"/>
          <w:b/>
          <w:bCs/>
          <w:color w:val="0B1F3A"/>
          <w:sz w:val="32"/>
          <w:szCs w:val="32"/>
        </w:rPr>
        <w:t xml:space="preserve">Estimated Budget (Phase 1 Pilot — 90 Days)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2340"/>
        <w:gridCol w:w="234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1F3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Line Item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1F3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Estimate (USD)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1F3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AI API (Haiku, 50k forms)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$4,000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~$0.08/form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Platform infrastructure (cloud hosting, DB)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$6,000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3-month pilot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Legal partnership setup (SERAP/NBA MOU)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$5,000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One-time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Community outreach &amp; ward captain training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$10,000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Obio-Akpor LGA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Human review QA (10% confidence-flagged forms)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$8,000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Crowd-verified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Reserve / contingency (15%)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$4,950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1F3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TOTAL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1F3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$37,950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1F3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FFFFFF"/>
                <w:sz w:val="20"/>
                <w:szCs w:val="20"/>
              </w:rPr>
              <w:t xml:space="preserve">Phase 1 only</w:t>
            </w:r>
          </w:p>
        </w:tc>
      </w:tr>
    </w:tbl>
    <w:p>
      <w:pPr>
        <w:spacing w:after="0" w:before="120"/>
      </w:pPr>
    </w:p>
    <w:p>
      <w:pPr>
        <w:pStyle w:val="Heading1"/>
        <w:spacing w:after="100" w:before="280"/>
      </w:pPr>
      <w:r>
        <w:rPr>
          <w:rFonts w:ascii="Calibri" w:cs="Calibri" w:eastAsia="Calibri" w:hAnsi="Calibri"/>
          <w:b/>
          <w:bCs/>
          <w:color w:val="0B1F3A"/>
          <w:sz w:val="32"/>
          <w:szCs w:val="32"/>
        </w:rPr>
        <w:t xml:space="preserve">90-Day Rollout Roadmap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3900"/>
        <w:gridCol w:w="3900"/>
      </w:tblGrid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1F3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1F3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Milestones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1F3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Success Metrics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B1F3A"/>
                <w:sz w:val="20"/>
                <w:szCs w:val="20"/>
              </w:rPr>
              <w:t xml:space="preserve">Days 1–30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CCIJ data pipeline connected; 10,000 forms processed; dashboard live; SERAP MOU signed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≥95% extraction accuracy; dashboard publicly accessible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B1F3A"/>
                <w:sz w:val="20"/>
                <w:szCs w:val="20"/>
              </w:rPr>
              <w:t xml:space="preserve">Days 31–60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Obio-Akpor LGA fully processed; ward-captain QA network deployed; first discrepancy report published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≥3 LGA-level discrepancy reports filed with SERAP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B1F3A"/>
                <w:sz w:val="20"/>
                <w:szCs w:val="20"/>
              </w:rPr>
              <w:t xml:space="preserve">Days 61–90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Expand to all 5 flagged Rivers State LGAs; INEC structured data request submitted; open-source release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5 LGAs covered; INEC formal response received; 1 tribunal evidence packet submitted</w:t>
            </w:r>
          </w:p>
        </w:tc>
      </w:tr>
    </w:tbl>
    <w:p>
      <w:pPr>
        <w:spacing w:after="0" w:before="120"/>
      </w:pPr>
    </w:p>
    <w:p>
      <w:pPr>
        <w:pStyle w:val="Heading1"/>
        <w:spacing w:after="100" w:before="280"/>
      </w:pPr>
      <w:r>
        <w:rPr>
          <w:rFonts w:ascii="Calibri" w:cs="Calibri" w:eastAsia="Calibri" w:hAnsi="Calibri"/>
          <w:b/>
          <w:bCs/>
          <w:color w:val="0B1F3A"/>
          <w:sz w:val="32"/>
          <w:szCs w:val="32"/>
        </w:rPr>
        <w:t xml:space="preserve">Risk Register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40"/>
        <w:gridCol w:w="1080"/>
        <w:gridCol w:w="1800"/>
        <w:gridCol w:w="3240"/>
      </w:tblGrid>
      <w:tr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1F3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Risk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1F3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Severity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1F3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Likelihood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1F3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Mitigation</w:t>
            </w:r>
          </w:p>
        </w:tc>
      </w:tr>
      <w:tr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INEC blocks API access or structured data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C0392B"/>
                <w:sz w:val="20"/>
                <w:szCs w:val="20"/>
              </w:rPr>
              <w:t xml:space="preserve">High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Medium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Maintain IReV image pipeline as fallback; public pressure via civil society</w:t>
            </w:r>
          </w:p>
        </w:tc>
      </w:tr>
      <w:tr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Legal challenge to admissibility of AI-extracted evidence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C0392B"/>
                <w:sz w:val="20"/>
                <w:szCs w:val="20"/>
              </w:rPr>
              <w:t xml:space="preserve">High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Medium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Human review confirmation for all tribunal-bound outputs; SERAP co-signature</w:t>
            </w:r>
          </w:p>
        </w:tc>
      </w:tr>
      <w:tr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Electoral Act 2026 "communication failure" exemption exploited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E8893A"/>
                <w:sz w:val="20"/>
                <w:szCs w:val="20"/>
              </w:rPr>
              <w:t xml:space="preserve">Medium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High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Log exemption claims; publish per-ward failure rates to create accountability pressure</w:t>
            </w:r>
          </w:p>
        </w:tc>
      </w:tr>
      <w:tr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Form image quality too low for neural network inference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E8893A"/>
                <w:sz w:val="20"/>
                <w:szCs w:val="20"/>
              </w:rPr>
              <w:t xml:space="preserve">Medium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Low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Confidence threshold routing; crowd-verification fallback for low-quality images</w:t>
            </w:r>
          </w:p>
        </w:tc>
      </w:tr>
      <w:tr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Funding gap after Phase 1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8000"/>
                <w:sz w:val="20"/>
                <w:szCs w:val="20"/>
              </w:rPr>
              <w:t xml:space="preserve">Low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Low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Diaspora campaign (NIDO, NANAF); CCIJ/Veza co-funding for Phase 2</w:t>
            </w:r>
          </w:p>
        </w:tc>
      </w:tr>
      <w:tr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Political pressure to suppress platform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C0392B"/>
                <w:sz w:val="20"/>
                <w:szCs w:val="20"/>
              </w:rPr>
              <w:t xml:space="preserve">High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Low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Open-source release; distributed data storage; international civil society co-ownership</w:t>
            </w:r>
          </w:p>
        </w:tc>
      </w:tr>
    </w:tbl>
    <w:p>
      <w:pPr>
        <w:spacing w:after="0" w:before="120"/>
      </w:pPr>
    </w:p>
    <w:p>
      <w:pPr>
        <w:pBdr>
          <w:bottom w:val="single" w:color="00A99D" w:sz="4" w:space="1"/>
        </w:pBdr>
        <w:spacing w:after="80" w:before="80"/>
      </w:pPr>
    </w:p>
    <w:p>
      <w:pPr>
        <w:spacing w:after="0" w:before="80"/>
      </w:pPr>
      <w:r>
        <w:rPr>
          <w:rFonts w:ascii="Calibri" w:cs="Calibri" w:eastAsia="Calibri" w:hAnsi="Calibri"/>
          <w:color w:val="4A5568"/>
          <w:sz w:val="18"/>
          <w:szCs w:val="18"/>
        </w:rPr>
        <w:t xml:space="preserve">Prepared by Team 16 for ADC 2026, Track 3  |  Contact: </w:t>
      </w:r>
      <w:r>
        <w:rPr>
          <w:rFonts w:ascii="Calibri" w:cs="Calibri" w:eastAsia="Calibri" w:hAnsi="Calibri"/>
          <w:color w:val="00A99D"/>
          <w:sz w:val="18"/>
          <w:szCs w:val="18"/>
        </w:rPr>
        <w:t xml:space="preserve">femi@staygis.com</w:t>
      </w:r>
    </w:p>
    <w:sectPr>
      <w:headerReference w:type="default" r:id="rId7"/>
      <w:footerReference w:type="default" r:id="rId8"/>
      <w:pgSz w:w="12240" w:h="15840" w:orient="portrait"/>
      <w:pgMar w:top="1080" w:right="126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00A99D" w:sz="4" w:space="1"/>
      </w:pBdr>
      <w:spacing w:after="0" w:before="100"/>
    </w:pPr>
    <w:r>
      <w:rPr>
        <w:rFonts w:ascii="Calibri" w:cs="Calibri" w:eastAsia="Calibri" w:hAnsi="Calibri"/>
        <w:color w:val="4A5568"/>
        <w:sz w:val="16"/>
        <w:szCs w:val="16"/>
      </w:rPr>
      <w:t xml:space="preserve">Team 16: Olamijulo · Oni · Michel  |  ADC 2026, Harvard Kennedy School    </w:t>
    </w:r>
    <w:r>
      <w:rPr>
        <w:rFonts w:ascii="Calibri" w:cs="Calibri" w:eastAsia="Calibri" w:hAnsi="Calibri"/>
        <w:color w:val="4A5568"/>
        <w:sz w:val="16"/>
        <w:szCs w:val="16"/>
      </w:rPr>
      <w:t xml:space="preserve">Page </w:t>
    </w:r>
    <w:r>
      <w:rPr>
        <w:rFonts w:ascii="Calibri" w:cs="Calibri" w:eastAsia="Calibri" w:hAnsi="Calibri"/>
        <w:color w:val="4A556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0A99D" w:sz="4" w:space="1"/>
      </w:pBdr>
      <w:spacing w:after="120" w:before="0"/>
      <w:jc w:val="right"/>
    </w:pPr>
    <w:r>
      <w:rPr>
        <w:rFonts w:ascii="Calibri" w:cs="Calibri" w:eastAsia="Calibri" w:hAnsi="Calibri"/>
        <w:b/>
        <w:bCs/>
        <w:color w:val="00A99D"/>
        <w:sz w:val="18"/>
        <w:szCs w:val="18"/>
      </w:rPr>
      <w:t xml:space="preserve">E Don Kast  ·  </w:t>
    </w:r>
    <w:r>
      <w:rPr>
        <w:rFonts w:ascii="Calibri" w:cs="Calibri" w:eastAsia="Calibri" w:hAnsi="Calibri"/>
        <w:color w:val="4A5568"/>
        <w:sz w:val="18"/>
        <w:szCs w:val="18"/>
      </w:rPr>
      <w:t xml:space="preserve">Implementation Brief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0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0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00" w:before="280"/>
      <w:outlineLvl w:val="0"/>
    </w:pPr>
    <w:rPr>
      <w:rFonts w:ascii="Calibri" w:cs="Calibri" w:eastAsia="Calibri" w:hAnsi="Calibri"/>
      <w:b/>
      <w:bCs/>
      <w:color w:val="0B1F3A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200"/>
      <w:outlineLvl w:val="1"/>
    </w:pPr>
    <w:rPr>
      <w:rFonts w:ascii="Calibri" w:cs="Calibri" w:eastAsia="Calibri" w:hAnsi="Calibri"/>
      <w:b/>
      <w:bCs/>
      <w:color w:val="0B1F3A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2026-04-17T18:04:21.948Z</dcterms:created>
  <dcterms:modified xsi:type="dcterms:W3CDTF">2026-04-17T18:04:21.948Z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