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0f1115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115"/>
          <w:sz w:val="52"/>
          <w:szCs w:val="52"/>
          <w:highlight w:val="white"/>
        </w:rPr>
        <w:drawing>
          <wp:inline distB="114300" distT="114300" distL="114300" distR="114300">
            <wp:extent cx="6176963" cy="616670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616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  <w:rtl w:val="0"/>
        </w:rPr>
        <w:t xml:space="preserve">Um Jogo … uma Chance … e um Legado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b w:val="1"/>
          <w:bCs w:val="1"/>
          <w:color w:val="39213d"/>
          <w:sz w:val="74"/>
          <w:szCs w:val="7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9213d"/>
          <w:sz w:val="28"/>
          <w:szCs w:val="28"/>
          <w:highlight w:val="white"/>
          <w:rtl w:val="0"/>
        </w:rPr>
        <w:t xml:space="preserve">A história começa com a sua inscrição … voluntária. O caminho é iniciado com uma convocação … a sua. O posto é assumido … você é um(a) Zheers. Um jogo em mundos virtuais, mas com recompensas para o mundo real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9213d"/>
          <w:sz w:val="74"/>
          <w:szCs w:val="74"/>
          <w:highlight w:val="white"/>
          <w:rtl w:val="0"/>
        </w:rPr>
        <w:t xml:space="preserve">U$1.000.000 </w:t>
      </w:r>
      <w:r w:rsidDel="00000000" w:rsidR="00000000" w:rsidRPr="00000000">
        <w:rPr>
          <w:rFonts w:ascii="Montserrat" w:cs="Montserrat" w:eastAsia="Montserrat" w:hAnsi="Montserrat"/>
          <w:color w:val="39213d"/>
          <w:sz w:val="28"/>
          <w:szCs w:val="28"/>
          <w:highlight w:val="white"/>
          <w:rtl w:val="0"/>
        </w:rPr>
        <w:t xml:space="preserve"> (Um Milhão de Doláres)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rFonts w:ascii="Montserrat" w:cs="Montserrat" w:eastAsia="Montserrat" w:hAnsi="Montserrat"/>
          <w:b w:val="1"/>
          <w:bCs w:val="1"/>
          <w:color w:val="39213d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9213d"/>
          <w:sz w:val="36"/>
          <w:szCs w:val="36"/>
          <w:rtl w:val="0"/>
        </w:rPr>
        <w:t xml:space="preserve">Loja do Armeiro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MT59n0s3nqSq0Z2WmAO4spSn+A==">CgMxLjA4AHIhMWZNQUJtT25xQjc5WktmdVNJN05QUmhwYnV0UlEwdFp4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