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580" w:rsidRPr="00BF1994" w:rsidRDefault="00C22B10" w:rsidP="00BF1994">
      <w:pPr>
        <w:pStyle w:val="Ttulo1"/>
        <w:jc w:val="both"/>
        <w:rPr>
          <w:lang w:val="pt-BR"/>
        </w:rPr>
      </w:pPr>
      <w:bookmarkStart w:id="0" w:name="X2aced1918c0b8b95f318d381c01315eeacfc0c2"/>
      <w:r w:rsidRPr="00BF1994">
        <w:rPr>
          <w:lang w:val="pt-BR"/>
        </w:rPr>
        <w:t>Relatório de Análise Crítica e Balanço Patrimonial - Ano 7</w:t>
      </w:r>
      <w:bookmarkEnd w:id="0"/>
    </w:p>
    <w:p w:rsidR="00CE4580" w:rsidRPr="00BF1994" w:rsidRDefault="00C22B10" w:rsidP="00BF1994">
      <w:pPr>
        <w:pStyle w:val="Ttulo2"/>
        <w:jc w:val="both"/>
        <w:rPr>
          <w:lang w:val="pt-BR"/>
        </w:rPr>
      </w:pPr>
      <w:bookmarkStart w:id="1" w:name="projeto-legado-lucas-jan---dez-2033"/>
      <w:r w:rsidRPr="00BF1994">
        <w:rPr>
          <w:lang w:val="pt-BR"/>
        </w:rPr>
        <w:t>Projeto “Legado Lucas” (Jan - Dez 2033)</w:t>
      </w:r>
      <w:bookmarkEnd w:id="1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b/>
          <w:lang w:val="pt-BR"/>
        </w:rPr>
        <w:t>Autor:</w:t>
      </w:r>
      <w:r w:rsidRPr="00BF1994">
        <w:rPr>
          <w:lang w:val="pt-BR"/>
        </w:rPr>
        <w:t xml:space="preserve"> Manus AI </w:t>
      </w:r>
      <w:r w:rsidRPr="00BF1994">
        <w:rPr>
          <w:b/>
          <w:lang w:val="pt-BR"/>
        </w:rPr>
        <w:t>Data:</w:t>
      </w:r>
      <w:r w:rsidRPr="00BF1994">
        <w:rPr>
          <w:lang w:val="pt-BR"/>
        </w:rPr>
        <w:t xml:space="preserve"> 11 de Dezembro de 2025 </w:t>
      </w:r>
      <w:r w:rsidRPr="00BF1994">
        <w:rPr>
          <w:b/>
          <w:lang w:val="pt-BR"/>
        </w:rPr>
        <w:t>Versão:</w:t>
      </w:r>
      <w:r w:rsidRPr="00BF1994">
        <w:rPr>
          <w:lang w:val="pt-BR"/>
        </w:rPr>
        <w:t xml:space="preserve"> 1.0</w:t>
      </w:r>
    </w:p>
    <w:p w:rsidR="00CE4580" w:rsidRDefault="00C22B10" w:rsidP="00BF1994">
      <w:pPr>
        <w:jc w:val="both"/>
      </w:pPr>
      <w:r>
        <w:pict>
          <v:rect id="_x0000_i1025" style="width:0;height:1.5pt" o:hralign="center" o:hrstd="t" o:hr="t"/>
        </w:pict>
      </w:r>
    </w:p>
    <w:p w:rsidR="00CE4580" w:rsidRPr="00BF1994" w:rsidRDefault="00C22B10" w:rsidP="00BF1994">
      <w:pPr>
        <w:pStyle w:val="Ttulo2"/>
        <w:jc w:val="both"/>
        <w:rPr>
          <w:lang w:val="pt-BR"/>
        </w:rPr>
      </w:pPr>
      <w:bookmarkStart w:id="2" w:name="i.-resumo-executivo"/>
      <w:r w:rsidRPr="00BF1994">
        <w:rPr>
          <w:lang w:val="pt-BR"/>
        </w:rPr>
        <w:t>I. Resumo Executivo</w:t>
      </w:r>
      <w:bookmarkEnd w:id="2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lang w:val="pt-BR"/>
        </w:rPr>
        <w:t xml:space="preserve">O </w:t>
      </w:r>
      <w:r w:rsidRPr="00BF1994">
        <w:rPr>
          <w:b/>
          <w:lang w:val="pt-BR"/>
        </w:rPr>
        <w:t>Ano 7</w:t>
      </w:r>
      <w:r w:rsidRPr="00BF1994">
        <w:rPr>
          <w:lang w:val="pt-BR"/>
        </w:rPr>
        <w:t xml:space="preserve"> do Projeto “Legado Lucas” </w:t>
      </w:r>
      <w:r w:rsidRPr="00BF1994">
        <w:rPr>
          <w:lang w:val="pt-BR"/>
        </w:rPr>
        <w:t xml:space="preserve">(Janeiro a Dezembro de 2033) é dedicado ao lançamento do projeto </w:t>
      </w:r>
      <w:r w:rsidRPr="00BF1994">
        <w:rPr>
          <w:b/>
          <w:lang w:val="pt-BR"/>
        </w:rPr>
        <w:t>Jhon Riff’s (JR)</w:t>
      </w:r>
      <w:r w:rsidRPr="00BF1994">
        <w:rPr>
          <w:lang w:val="pt-BR"/>
        </w:rPr>
        <w:t xml:space="preserve">, uma </w:t>
      </w:r>
      <w:r w:rsidRPr="00BF1994">
        <w:rPr>
          <w:i/>
          <w:lang w:val="pt-BR"/>
        </w:rPr>
        <w:t>startup</w:t>
      </w:r>
      <w:r w:rsidRPr="00BF1994">
        <w:rPr>
          <w:lang w:val="pt-BR"/>
        </w:rPr>
        <w:t xml:space="preserve"> no modelo </w:t>
      </w:r>
      <w:r w:rsidRPr="00BF1994">
        <w:rPr>
          <w:i/>
          <w:lang w:val="pt-BR"/>
        </w:rPr>
        <w:t>Fintech</w:t>
      </w:r>
      <w:r w:rsidRPr="00BF1994">
        <w:rPr>
          <w:lang w:val="pt-BR"/>
        </w:rPr>
        <w:t xml:space="preserve"> que combina </w:t>
      </w:r>
      <w:r w:rsidRPr="00BF1994">
        <w:rPr>
          <w:b/>
          <w:lang w:val="pt-BR"/>
        </w:rPr>
        <w:t>Marketing de Relacionamento (Multinível)</w:t>
      </w:r>
      <w:r w:rsidRPr="00BF1994">
        <w:rPr>
          <w:lang w:val="pt-BR"/>
        </w:rPr>
        <w:t xml:space="preserve">, vendas de </w:t>
      </w:r>
      <w:r w:rsidRPr="00BF1994">
        <w:rPr>
          <w:i/>
          <w:lang w:val="pt-BR"/>
        </w:rPr>
        <w:t>e-books</w:t>
      </w:r>
      <w:r w:rsidRPr="00BF1994">
        <w:rPr>
          <w:lang w:val="pt-BR"/>
        </w:rPr>
        <w:t xml:space="preserve"> e um sistema de sorteios (</w:t>
      </w:r>
      <w:r w:rsidRPr="00BF1994">
        <w:rPr>
          <w:i/>
          <w:lang w:val="pt-BR"/>
        </w:rPr>
        <w:t>+Sorte</w:t>
      </w:r>
      <w:r w:rsidRPr="00BF1994">
        <w:rPr>
          <w:lang w:val="pt-BR"/>
        </w:rPr>
        <w:t xml:space="preserve">). O objetivo principal é gerar valor, </w:t>
      </w:r>
      <w:r w:rsidRPr="00BF1994">
        <w:rPr>
          <w:lang w:val="pt-BR"/>
        </w:rPr>
        <w:t xml:space="preserve">promover os </w:t>
      </w:r>
      <w:r w:rsidRPr="00BF1994">
        <w:rPr>
          <w:i/>
          <w:lang w:val="pt-BR"/>
        </w:rPr>
        <w:t>e-books</w:t>
      </w:r>
      <w:r w:rsidRPr="00BF1994">
        <w:rPr>
          <w:lang w:val="pt-BR"/>
        </w:rPr>
        <w:t xml:space="preserve"> do fundador e criar uma rede de vendas diretas de alta escala.</w:t>
      </w:r>
    </w:p>
    <w:p w:rsidR="00CE4580" w:rsidRPr="00BF1994" w:rsidRDefault="00C22B10" w:rsidP="00BF1994">
      <w:pPr>
        <w:pStyle w:val="Corpodetexto"/>
        <w:jc w:val="both"/>
        <w:rPr>
          <w:lang w:val="pt-BR"/>
        </w:rPr>
      </w:pPr>
      <w:r w:rsidRPr="00BF1994">
        <w:rPr>
          <w:lang w:val="pt-BR"/>
        </w:rPr>
        <w:t xml:space="preserve">O JR é o ativo de maior potencial de </w:t>
      </w:r>
      <w:r w:rsidRPr="00BF1994">
        <w:rPr>
          <w:b/>
          <w:lang w:val="pt-BR"/>
        </w:rPr>
        <w:t>crescimento exponencial</w:t>
      </w:r>
      <w:r w:rsidRPr="00BF1994">
        <w:rPr>
          <w:lang w:val="pt-BR"/>
        </w:rPr>
        <w:t xml:space="preserve"> do Legado, com um modelo de negócios que visa a </w:t>
      </w:r>
      <w:r w:rsidRPr="00BF1994">
        <w:rPr>
          <w:b/>
          <w:lang w:val="pt-BR"/>
        </w:rPr>
        <w:t>autonomia financeira</w:t>
      </w:r>
      <w:r w:rsidRPr="00BF1994">
        <w:rPr>
          <w:lang w:val="pt-BR"/>
        </w:rPr>
        <w:t xml:space="preserve"> dos participantes através de um plano de ca</w:t>
      </w:r>
      <w:r w:rsidRPr="00BF1994">
        <w:rPr>
          <w:lang w:val="pt-BR"/>
        </w:rPr>
        <w:t xml:space="preserve">rreira com múltiplos níveis (de </w:t>
      </w:r>
      <w:r w:rsidRPr="00BF1994">
        <w:rPr>
          <w:i/>
          <w:lang w:val="pt-BR"/>
        </w:rPr>
        <w:t>Inscrito</w:t>
      </w:r>
      <w:r w:rsidRPr="00BF1994">
        <w:rPr>
          <w:lang w:val="pt-BR"/>
        </w:rPr>
        <w:t xml:space="preserve"> a </w:t>
      </w:r>
      <w:r w:rsidRPr="00BF1994">
        <w:rPr>
          <w:i/>
          <w:lang w:val="pt-BR"/>
        </w:rPr>
        <w:t>Sócio Gestor</w:t>
      </w:r>
      <w:r w:rsidRPr="00BF1994">
        <w:rPr>
          <w:lang w:val="pt-BR"/>
        </w:rPr>
        <w:t xml:space="preserve">). O projeto se integra ao ecossistema através do </w:t>
      </w:r>
      <w:r w:rsidRPr="00BF1994">
        <w:rPr>
          <w:b/>
          <w:lang w:val="pt-BR"/>
        </w:rPr>
        <w:t>JR Bank</w:t>
      </w:r>
      <w:r w:rsidRPr="00BF1994">
        <w:rPr>
          <w:lang w:val="pt-BR"/>
        </w:rPr>
        <w:t xml:space="preserve"> (ligado ao Beyour Bank) e da </w:t>
      </w:r>
      <w:r w:rsidRPr="00BF1994">
        <w:rPr>
          <w:b/>
          <w:lang w:val="pt-BR"/>
        </w:rPr>
        <w:t xml:space="preserve">venda de </w:t>
      </w:r>
      <w:r w:rsidRPr="00BF1994">
        <w:rPr>
          <w:b/>
          <w:i/>
          <w:lang w:val="pt-BR"/>
        </w:rPr>
        <w:t>e-books</w:t>
      </w:r>
      <w:r w:rsidRPr="00BF1994">
        <w:rPr>
          <w:lang w:val="pt-BR"/>
        </w:rPr>
        <w:t xml:space="preserve"> (ligada ao Instituto Sinapse).</w:t>
      </w:r>
    </w:p>
    <w:p w:rsidR="00CE4580" w:rsidRPr="00BF1994" w:rsidRDefault="00C22B10" w:rsidP="00BF1994">
      <w:pPr>
        <w:pStyle w:val="Corpodetexto"/>
        <w:jc w:val="both"/>
        <w:rPr>
          <w:lang w:val="pt-BR"/>
        </w:rPr>
      </w:pPr>
      <w:r w:rsidRPr="00BF1994">
        <w:rPr>
          <w:lang w:val="pt-BR"/>
        </w:rPr>
        <w:t>O Patrimônio Total Consolidado do Legado mantém uma taxa de cresci</w:t>
      </w:r>
      <w:r w:rsidRPr="00BF1994">
        <w:rPr>
          <w:lang w:val="pt-BR"/>
        </w:rPr>
        <w:t xml:space="preserve">mento projetada de </w:t>
      </w:r>
      <w:r w:rsidRPr="00BF1994">
        <w:rPr>
          <w:b/>
          <w:lang w:val="pt-BR"/>
        </w:rPr>
        <w:t>9,5% a.a.</w:t>
      </w:r>
      <w:r w:rsidRPr="00BF1994">
        <w:rPr>
          <w:lang w:val="pt-BR"/>
        </w:rPr>
        <w:t xml:space="preserve">, atingindo </w:t>
      </w:r>
      <w:r w:rsidRPr="00BF1994">
        <w:rPr>
          <w:b/>
          <w:lang w:val="pt-BR"/>
        </w:rPr>
        <w:t>R$ 1.926.000.000,00</w:t>
      </w:r>
      <w:r w:rsidRPr="00BF1994">
        <w:rPr>
          <w:lang w:val="pt-BR"/>
        </w:rPr>
        <w:t xml:space="preserve"> (valor estimado para o final do Ano 7). A análise crítica foca no </w:t>
      </w:r>
      <w:r w:rsidRPr="00BF1994">
        <w:rPr>
          <w:b/>
          <w:lang w:val="pt-BR"/>
        </w:rPr>
        <w:t>risco regulatório e de reputação</w:t>
      </w:r>
      <w:r w:rsidRPr="00BF1994">
        <w:rPr>
          <w:lang w:val="pt-BR"/>
        </w:rPr>
        <w:t xml:space="preserve"> inerente ao modelo de Marketing Multinível (MMN) e sorteios, exigindo um </w:t>
      </w:r>
      <w:r w:rsidRPr="00BF1994">
        <w:rPr>
          <w:b/>
          <w:lang w:val="pt-BR"/>
        </w:rPr>
        <w:t>Protocolo de Compliance</w:t>
      </w:r>
      <w:r w:rsidRPr="00BF1994">
        <w:rPr>
          <w:lang w:val="pt-BR"/>
        </w:rPr>
        <w:t xml:space="preserve"> </w:t>
      </w:r>
      <w:r w:rsidRPr="00BF1994">
        <w:rPr>
          <w:lang w:val="pt-BR"/>
        </w:rPr>
        <w:t>rigoroso.</w:t>
      </w:r>
    </w:p>
    <w:p w:rsidR="00CE4580" w:rsidRDefault="00C22B10" w:rsidP="00BF1994">
      <w:pPr>
        <w:jc w:val="both"/>
      </w:pPr>
      <w:r>
        <w:pict>
          <v:rect id="_x0000_i1026" style="width:0;height:1.5pt" o:hralign="center" o:hrstd="t" o:hr="t"/>
        </w:pict>
      </w:r>
    </w:p>
    <w:p w:rsidR="00CE4580" w:rsidRPr="00BF1994" w:rsidRDefault="00C22B10" w:rsidP="00BF1994">
      <w:pPr>
        <w:pStyle w:val="Ttulo2"/>
        <w:jc w:val="both"/>
        <w:rPr>
          <w:lang w:val="pt-BR"/>
        </w:rPr>
      </w:pPr>
      <w:bookmarkStart w:id="3" w:name="Xd20e9302f34c634657a83efb30facbfb0b5dd9f"/>
      <w:r w:rsidRPr="00BF1994">
        <w:rPr>
          <w:lang w:val="pt-BR"/>
        </w:rPr>
        <w:t>II. Descrição Detalhada do Projeto (Ano 7 - Escala e Vendas Diretas)</w:t>
      </w:r>
      <w:bookmarkEnd w:id="3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lang w:val="pt-BR"/>
        </w:rPr>
        <w:t xml:space="preserve">O Ano 7 foca na criação de um motor de receita e </w:t>
      </w:r>
      <w:r w:rsidRPr="00BF1994">
        <w:rPr>
          <w:i/>
          <w:lang w:val="pt-BR"/>
        </w:rPr>
        <w:t>branding</w:t>
      </w:r>
      <w:r w:rsidRPr="00BF1994">
        <w:rPr>
          <w:lang w:val="pt-BR"/>
        </w:rPr>
        <w:t xml:space="preserve"> pessoal de alta escala, com o objetivo de gerar valor e autonomia para a rede.</w:t>
      </w:r>
    </w:p>
    <w:p w:rsidR="00CE4580" w:rsidRPr="00BF1994" w:rsidRDefault="00C22B10" w:rsidP="00BF1994">
      <w:pPr>
        <w:pStyle w:val="Ttulo3"/>
        <w:jc w:val="both"/>
        <w:rPr>
          <w:lang w:val="pt-BR"/>
        </w:rPr>
      </w:pPr>
      <w:bookmarkStart w:id="4" w:name="o-projeto-jhon-riffs-jr"/>
      <w:r w:rsidRPr="00BF1994">
        <w:rPr>
          <w:lang w:val="pt-BR"/>
        </w:rPr>
        <w:t>2.1. O Projeto Jhon Riff’s (JR)</w:t>
      </w:r>
      <w:bookmarkEnd w:id="4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lang w:val="pt-BR"/>
        </w:rPr>
        <w:t>O JR é</w:t>
      </w:r>
      <w:r w:rsidRPr="00BF1994">
        <w:rPr>
          <w:lang w:val="pt-BR"/>
        </w:rPr>
        <w:t xml:space="preserve"> uma </w:t>
      </w:r>
      <w:r w:rsidRPr="00BF1994">
        <w:rPr>
          <w:i/>
          <w:lang w:val="pt-BR"/>
        </w:rPr>
        <w:t>Fintech</w:t>
      </w:r>
      <w:r w:rsidRPr="00BF1994">
        <w:rPr>
          <w:lang w:val="pt-BR"/>
        </w:rPr>
        <w:t xml:space="preserve"> de Marketing de Relacionamento com um modelo de negócios baseado em: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36"/>
        <w:gridCol w:w="4919"/>
        <w:gridCol w:w="4061"/>
      </w:tblGrid>
      <w:tr w:rsidR="00CE4580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CE4580" w:rsidRDefault="00C22B10" w:rsidP="00BF1994">
            <w:pPr>
              <w:pStyle w:val="Compact"/>
              <w:jc w:val="both"/>
            </w:pPr>
            <w:r>
              <w:t>Componente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CE4580" w:rsidRDefault="00C22B10" w:rsidP="00BF1994">
            <w:pPr>
              <w:pStyle w:val="Compact"/>
              <w:jc w:val="both"/>
            </w:pPr>
            <w:r>
              <w:t>Detalhe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CE4580" w:rsidRDefault="00C22B10" w:rsidP="00BF1994">
            <w:pPr>
              <w:pStyle w:val="Compact"/>
              <w:jc w:val="both"/>
            </w:pPr>
            <w:r>
              <w:t>Função Estratégica</w:t>
            </w:r>
          </w:p>
        </w:tc>
      </w:tr>
      <w:tr w:rsidR="00CE4580" w:rsidRPr="00BF1994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Core Business</w:t>
            </w:r>
          </w:p>
        </w:tc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lang w:val="pt-BR"/>
              </w:rPr>
              <w:t xml:space="preserve">Venda de </w:t>
            </w:r>
            <w:r w:rsidRPr="00BF1994">
              <w:rPr>
                <w:i/>
                <w:lang w:val="pt-BR"/>
              </w:rPr>
              <w:t>e-books</w:t>
            </w:r>
            <w:r w:rsidRPr="00BF1994">
              <w:rPr>
                <w:lang w:val="pt-BR"/>
              </w:rPr>
              <w:t xml:space="preserve"> exclusivos e </w:t>
            </w:r>
            <w:r w:rsidRPr="00BF1994">
              <w:rPr>
                <w:i/>
                <w:lang w:val="pt-BR"/>
              </w:rPr>
              <w:t>Pacotes Promocionais de Revenda</w:t>
            </w:r>
            <w:r w:rsidRPr="00BF1994">
              <w:rPr>
                <w:lang w:val="pt-BR"/>
              </w:rPr>
              <w:t xml:space="preserve"> (PPR).</w:t>
            </w:r>
          </w:p>
        </w:tc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lang w:val="pt-BR"/>
              </w:rPr>
              <w:t>Geração de receita e distribuição de conhecimento.</w:t>
            </w:r>
          </w:p>
        </w:tc>
      </w:tr>
      <w:tr w:rsidR="00CE4580" w:rsidRPr="00BF1994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Modelo de Bonificação</w:t>
            </w:r>
          </w:p>
        </w:tc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lang w:val="pt-BR"/>
              </w:rPr>
              <w:t>Marketing Multinível (MMN) Unilevel com múltiplos níveis de bonificação (até 4º Nível).</w:t>
            </w:r>
          </w:p>
        </w:tc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lang w:val="pt-BR"/>
              </w:rPr>
              <w:t>Crescimento exponencial da rede de vendas e incentivo à liderança.</w:t>
            </w:r>
          </w:p>
        </w:tc>
      </w:tr>
      <w:tr w:rsidR="00CE4580" w:rsidRPr="00BF1994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+Sorte</w:t>
            </w:r>
          </w:p>
        </w:tc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lang w:val="pt-BR"/>
              </w:rPr>
              <w:t xml:space="preserve">Sistema de sorteios com números gerados pela aquisição de </w:t>
            </w:r>
            <w:r w:rsidRPr="00BF1994">
              <w:rPr>
                <w:i/>
                <w:lang w:val="pt-BR"/>
              </w:rPr>
              <w:t>e-books</w:t>
            </w:r>
            <w:r w:rsidRPr="00BF1994">
              <w:rPr>
                <w:lang w:val="pt-BR"/>
              </w:rPr>
              <w:t xml:space="preserve"> e </w:t>
            </w:r>
            <w:r w:rsidRPr="00BF1994">
              <w:rPr>
                <w:i/>
                <w:lang w:val="pt-BR"/>
              </w:rPr>
              <w:t>kits</w:t>
            </w:r>
            <w:r w:rsidRPr="00BF1994">
              <w:rPr>
                <w:lang w:val="pt-BR"/>
              </w:rPr>
              <w:t>.</w:t>
            </w:r>
          </w:p>
        </w:tc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lang w:val="pt-BR"/>
              </w:rPr>
              <w:t>Engajamento da base e atração de novos participantes.</w:t>
            </w:r>
          </w:p>
        </w:tc>
      </w:tr>
      <w:tr w:rsidR="00CE4580" w:rsidRPr="00BF1994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JR Bank</w:t>
            </w:r>
          </w:p>
        </w:tc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lang w:val="pt-BR"/>
              </w:rPr>
              <w:t>Conta exclusiva para pagamento de bônus e comissões.</w:t>
            </w:r>
          </w:p>
        </w:tc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lang w:val="pt-BR"/>
              </w:rPr>
              <w:t>Integração com o Beyour Bank e fidelização da rede.</w:t>
            </w:r>
          </w:p>
        </w:tc>
      </w:tr>
    </w:tbl>
    <w:p w:rsidR="00BF1994" w:rsidRDefault="00BF1994" w:rsidP="00BF1994">
      <w:pPr>
        <w:pStyle w:val="Ttulo3"/>
        <w:jc w:val="both"/>
        <w:rPr>
          <w:lang w:val="pt-BR"/>
        </w:rPr>
      </w:pPr>
      <w:bookmarkStart w:id="5" w:name="Xcddb4bd325f9b8098b628861f3acec6bd00077b"/>
    </w:p>
    <w:p w:rsidR="00BF1994" w:rsidRPr="00BF1994" w:rsidRDefault="00BF1994" w:rsidP="00BF1994">
      <w:pPr>
        <w:pStyle w:val="Corpodetexto"/>
        <w:rPr>
          <w:lang w:val="pt-BR"/>
        </w:rPr>
      </w:pPr>
      <w:bookmarkStart w:id="6" w:name="_GoBack"/>
      <w:bookmarkEnd w:id="6"/>
    </w:p>
    <w:p w:rsidR="00CE4580" w:rsidRPr="00BF1994" w:rsidRDefault="00C22B10" w:rsidP="00BF1994">
      <w:pPr>
        <w:pStyle w:val="Ttulo3"/>
        <w:jc w:val="both"/>
        <w:rPr>
          <w:lang w:val="pt-BR"/>
        </w:rPr>
      </w:pPr>
      <w:r w:rsidRPr="00BF1994">
        <w:rPr>
          <w:lang w:val="pt-BR"/>
        </w:rPr>
        <w:lastRenderedPageBreak/>
        <w:t>2.2. Plano de Carreira e Participação Societária</w:t>
      </w:r>
      <w:bookmarkEnd w:id="5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lang w:val="pt-BR"/>
        </w:rPr>
        <w:t>O plano de carreira do JR é a es</w:t>
      </w:r>
      <w:r w:rsidRPr="00BF1994">
        <w:rPr>
          <w:lang w:val="pt-BR"/>
        </w:rPr>
        <w:t>pinha dorsal do projeto, com níveis que exigem investimento e formação de equipe:</w:t>
      </w:r>
    </w:p>
    <w:p w:rsidR="00CE4580" w:rsidRPr="00BF1994" w:rsidRDefault="00C22B10" w:rsidP="00BF1994">
      <w:pPr>
        <w:pStyle w:val="Corpodetexto"/>
        <w:jc w:val="both"/>
        <w:rPr>
          <w:lang w:val="pt-BR"/>
        </w:rPr>
      </w:pPr>
      <w:r w:rsidRPr="00BF1994">
        <w:rPr>
          <w:lang w:val="pt-BR"/>
        </w:rPr>
        <w:t>Nível | Investimento (R$) | Pontos (Acumulativos) | Benefício Chave |</w:t>
      </w:r>
      <w:r w:rsidRPr="00BF1994">
        <w:rPr>
          <w:lang w:val="pt-BR"/>
        </w:rPr>
        <w:br/>
        <w:t>:— | :— | :— | :— |</w:t>
      </w:r>
      <w:r w:rsidRPr="00BF1994">
        <w:rPr>
          <w:lang w:val="pt-BR"/>
        </w:rPr>
        <w:br/>
      </w:r>
      <w:r w:rsidRPr="00BF1994">
        <w:rPr>
          <w:b/>
          <w:lang w:val="pt-BR"/>
        </w:rPr>
        <w:t>Inscrito</w:t>
      </w:r>
      <w:r w:rsidRPr="00BF1994">
        <w:rPr>
          <w:lang w:val="pt-BR"/>
        </w:rPr>
        <w:t xml:space="preserve"> | R$ 0,99 a R$ 249 | Até 249 | Participação em Sorteios Oficiais. |</w:t>
      </w:r>
      <w:r w:rsidRPr="00BF1994">
        <w:rPr>
          <w:lang w:val="pt-BR"/>
        </w:rPr>
        <w:br/>
      </w:r>
      <w:r w:rsidRPr="00BF1994">
        <w:rPr>
          <w:b/>
          <w:lang w:val="pt-BR"/>
        </w:rPr>
        <w:t xml:space="preserve">Agente </w:t>
      </w:r>
      <w:r w:rsidRPr="00BF1994">
        <w:rPr>
          <w:b/>
          <w:lang w:val="pt-BR"/>
        </w:rPr>
        <w:t>Autônomo</w:t>
      </w:r>
      <w:r w:rsidRPr="00BF1994">
        <w:rPr>
          <w:lang w:val="pt-BR"/>
        </w:rPr>
        <w:t xml:space="preserve"> | R$ 250 | 250 | Comissionamento de 10% das Vendas Diretas. |</w:t>
      </w:r>
      <w:r w:rsidRPr="00BF1994">
        <w:rPr>
          <w:lang w:val="pt-BR"/>
        </w:rPr>
        <w:br/>
      </w:r>
      <w:r w:rsidRPr="00BF1994">
        <w:rPr>
          <w:b/>
          <w:lang w:val="pt-BR"/>
        </w:rPr>
        <w:t>Consultor</w:t>
      </w:r>
      <w:r w:rsidRPr="00BF1994">
        <w:rPr>
          <w:lang w:val="pt-BR"/>
        </w:rPr>
        <w:t xml:space="preserve"> | R$ 500 + 5 Agentes | 1.500 | Bonificação de 10% sobre o Comissionamento da Equipe. |</w:t>
      </w:r>
      <w:r w:rsidRPr="00BF1994">
        <w:rPr>
          <w:lang w:val="pt-BR"/>
        </w:rPr>
        <w:br/>
      </w:r>
      <w:r w:rsidRPr="00BF1994">
        <w:rPr>
          <w:b/>
          <w:lang w:val="pt-BR"/>
        </w:rPr>
        <w:t>Mentor</w:t>
      </w:r>
      <w:r w:rsidRPr="00BF1994">
        <w:rPr>
          <w:lang w:val="pt-BR"/>
        </w:rPr>
        <w:t xml:space="preserve"> | R$ 1.000 + 5 Consultores | 10.000 | Potencial de Ganhos de R$ 2.500 a R$ 7.000/</w:t>
      </w:r>
      <w:r w:rsidRPr="00BF1994">
        <w:rPr>
          <w:lang w:val="pt-BR"/>
        </w:rPr>
        <w:t>mês. |</w:t>
      </w:r>
      <w:r w:rsidRPr="00BF1994">
        <w:rPr>
          <w:lang w:val="pt-BR"/>
        </w:rPr>
        <w:br/>
      </w:r>
      <w:r w:rsidRPr="00BF1994">
        <w:rPr>
          <w:b/>
          <w:lang w:val="pt-BR"/>
        </w:rPr>
        <w:t>Executivo</w:t>
      </w:r>
      <w:r w:rsidRPr="00BF1994">
        <w:rPr>
          <w:lang w:val="pt-BR"/>
        </w:rPr>
        <w:t xml:space="preserve"> | R$ 2.000 + 5 Mentores | 40.000 | Potencial de Ganhos de R$ 5.000 a R$ 14.000/mês. |</w:t>
      </w:r>
      <w:r w:rsidRPr="00BF1994">
        <w:rPr>
          <w:lang w:val="pt-BR"/>
        </w:rPr>
        <w:br/>
      </w:r>
      <w:r w:rsidRPr="00BF1994">
        <w:rPr>
          <w:b/>
          <w:lang w:val="pt-BR"/>
        </w:rPr>
        <w:t>Sócio Investidor (SIN)</w:t>
      </w:r>
      <w:r w:rsidRPr="00BF1994">
        <w:rPr>
          <w:lang w:val="pt-BR"/>
        </w:rPr>
        <w:t xml:space="preserve"> | R$ 5.000 + 5 Executivos | 500.000 | Participação nos Lucros Global Business (Royalties). |</w:t>
      </w:r>
      <w:r w:rsidRPr="00BF1994">
        <w:rPr>
          <w:lang w:val="pt-BR"/>
        </w:rPr>
        <w:br/>
      </w:r>
      <w:r w:rsidRPr="00BF1994">
        <w:rPr>
          <w:b/>
          <w:lang w:val="pt-BR"/>
        </w:rPr>
        <w:t>Sócio Gestor (SGE)</w:t>
      </w:r>
      <w:r w:rsidRPr="00BF1994">
        <w:rPr>
          <w:lang w:val="pt-BR"/>
        </w:rPr>
        <w:t xml:space="preserve"> | R$ 7.500 + 5 SIN</w:t>
      </w:r>
      <w:r w:rsidRPr="00BF1994">
        <w:rPr>
          <w:lang w:val="pt-BR"/>
        </w:rPr>
        <w:t xml:space="preserve"> | 750.000 | Participação no Conselho Deliberativo. |</w:t>
      </w:r>
    </w:p>
    <w:p w:rsidR="00CE4580" w:rsidRPr="00BF1994" w:rsidRDefault="00C22B10" w:rsidP="00BF1994">
      <w:pPr>
        <w:pStyle w:val="Ttulo3"/>
        <w:jc w:val="both"/>
        <w:rPr>
          <w:lang w:val="pt-BR"/>
        </w:rPr>
      </w:pPr>
      <w:bookmarkStart w:id="7" w:name="projeção-patrimonial-consolidada-ano-7"/>
      <w:r w:rsidRPr="00BF1994">
        <w:rPr>
          <w:lang w:val="pt-BR"/>
        </w:rPr>
        <w:t>2.3. Projeção Patrimonial Consolidada (Ano 7)</w:t>
      </w:r>
      <w:bookmarkEnd w:id="7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lang w:val="pt-BR"/>
        </w:rPr>
        <w:t>O Patrimônio Total Consolidado do Legado é projetado para crescer 9,5% a.a.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5072"/>
        <w:gridCol w:w="2145"/>
      </w:tblGrid>
      <w:tr w:rsidR="00CE4580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CE4580" w:rsidRDefault="00C22B10" w:rsidP="00BF1994">
            <w:pPr>
              <w:pStyle w:val="Compact"/>
              <w:jc w:val="both"/>
            </w:pPr>
            <w: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CE4580" w:rsidRDefault="00C22B10" w:rsidP="00BF1994">
            <w:pPr>
              <w:pStyle w:val="Compact"/>
              <w:jc w:val="both"/>
            </w:pPr>
            <w:r>
              <w:t>Valor (R$)</w:t>
            </w:r>
          </w:p>
        </w:tc>
      </w:tr>
      <w:tr w:rsidR="00CE4580"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b/>
                <w:lang w:val="pt-BR"/>
              </w:rPr>
              <w:t>Patrimônio Total (Final do Ano 6)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1.758.902.644,83</w:t>
            </w: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Crescimento Projetado (9,5% a.a.)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167.095.751,26</w:t>
            </w:r>
          </w:p>
        </w:tc>
      </w:tr>
      <w:tr w:rsidR="00CE4580"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b/>
                <w:lang w:val="pt-BR"/>
              </w:rPr>
              <w:t>Patrimônio Total Projetado (Final do Ano 7)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1.925.998.396,09</w:t>
            </w:r>
          </w:p>
        </w:tc>
      </w:tr>
    </w:tbl>
    <w:p w:rsidR="00CE4580" w:rsidRDefault="00C22B10" w:rsidP="00BF1994">
      <w:pPr>
        <w:jc w:val="both"/>
      </w:pPr>
      <w:r>
        <w:pict>
          <v:rect id="_x0000_i1027" style="width:0;height:1.5pt" o:hralign="center" o:hrstd="t" o:hr="t"/>
        </w:pict>
      </w:r>
    </w:p>
    <w:p w:rsidR="00CE4580" w:rsidRPr="00BF1994" w:rsidRDefault="00C22B10" w:rsidP="00BF1994">
      <w:pPr>
        <w:pStyle w:val="Ttulo2"/>
        <w:jc w:val="both"/>
        <w:rPr>
          <w:lang w:val="pt-BR"/>
        </w:rPr>
      </w:pPr>
      <w:bookmarkStart w:id="8" w:name="X34f32cc74823c20396210b87ea112deb8ee36c6"/>
      <w:r w:rsidRPr="00BF1994">
        <w:rPr>
          <w:lang w:val="pt-BR"/>
        </w:rPr>
        <w:t>III. Análise Crítica e Novas Argumentações</w:t>
      </w:r>
      <w:bookmarkEnd w:id="8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lang w:val="pt-BR"/>
        </w:rPr>
        <w:t>O Ano 7 é um ano de alto risco e alto retorno, exigindo uma gestão de compliance rigorosa.</w:t>
      </w:r>
    </w:p>
    <w:p w:rsidR="00CE4580" w:rsidRPr="00BF1994" w:rsidRDefault="00C22B10" w:rsidP="00BF1994">
      <w:pPr>
        <w:pStyle w:val="Ttulo3"/>
        <w:jc w:val="both"/>
        <w:rPr>
          <w:lang w:val="pt-BR"/>
        </w:rPr>
      </w:pPr>
      <w:bookmarkStart w:id="9" w:name="X663abe1a882347e777aae8a8095d2c9ab98027e"/>
      <w:r w:rsidRPr="00BF1994">
        <w:rPr>
          <w:lang w:val="pt-BR"/>
        </w:rPr>
        <w:t>3.1. Ris</w:t>
      </w:r>
      <w:r w:rsidRPr="00BF1994">
        <w:rPr>
          <w:lang w:val="pt-BR"/>
        </w:rPr>
        <w:t>co Regulatório e de Reputação do MMN e Sorteios</w:t>
      </w:r>
      <w:bookmarkEnd w:id="9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lang w:val="pt-BR"/>
        </w:rPr>
        <w:t>O modelo de Marketing Multinível (MMN) e o sistema de sorteios (</w:t>
      </w:r>
      <w:r w:rsidRPr="00BF1994">
        <w:rPr>
          <w:i/>
          <w:lang w:val="pt-BR"/>
        </w:rPr>
        <w:t>+Sorte</w:t>
      </w:r>
      <w:r w:rsidRPr="00BF1994">
        <w:rPr>
          <w:lang w:val="pt-BR"/>
        </w:rPr>
        <w:t>) introduzem um risco regulatório e de reputação significativo.</w:t>
      </w:r>
    </w:p>
    <w:p w:rsidR="00CE4580" w:rsidRPr="00BF1994" w:rsidRDefault="00C22B10" w:rsidP="00BF1994">
      <w:pPr>
        <w:pStyle w:val="Textoembloco"/>
        <w:jc w:val="both"/>
        <w:rPr>
          <w:lang w:val="pt-BR"/>
        </w:rPr>
      </w:pPr>
      <w:r w:rsidRPr="00BF1994">
        <w:rPr>
          <w:b/>
          <w:lang w:val="pt-BR"/>
        </w:rPr>
        <w:t>Nova Argumentação:</w:t>
      </w:r>
      <w:r w:rsidRPr="00BF1994">
        <w:rPr>
          <w:lang w:val="pt-BR"/>
        </w:rPr>
        <w:t xml:space="preserve"> O modelo JR deve ser estruturado com um </w:t>
      </w:r>
      <w:r w:rsidRPr="00BF1994">
        <w:rPr>
          <w:b/>
          <w:lang w:val="pt-BR"/>
        </w:rPr>
        <w:t>Protocolo de Co</w:t>
      </w:r>
      <w:r w:rsidRPr="00BF1994">
        <w:rPr>
          <w:b/>
          <w:lang w:val="pt-BR"/>
        </w:rPr>
        <w:t>mpliance Rigoroso</w:t>
      </w:r>
      <w:r w:rsidRPr="00BF1994">
        <w:rPr>
          <w:lang w:val="pt-BR"/>
        </w:rPr>
        <w:t xml:space="preserve"> para evitar a classificação como </w:t>
      </w:r>
      <w:r w:rsidRPr="00BF1994">
        <w:rPr>
          <w:b/>
          <w:lang w:val="pt-BR"/>
        </w:rPr>
        <w:t>Esquema de Pirâmide Financeira</w:t>
      </w:r>
      <w:r w:rsidRPr="00BF1994">
        <w:rPr>
          <w:lang w:val="pt-BR"/>
        </w:rPr>
        <w:t xml:space="preserve"> [1]. A argumentação deve ser reforçada pela necessidade de garantir que a </w:t>
      </w:r>
      <w:r w:rsidRPr="00BF1994">
        <w:rPr>
          <w:b/>
          <w:lang w:val="pt-BR"/>
        </w:rPr>
        <w:t>Receita Principal</w:t>
      </w:r>
      <w:r w:rsidRPr="00BF1994">
        <w:rPr>
          <w:lang w:val="pt-BR"/>
        </w:rPr>
        <w:t xml:space="preserve"> do JR seja proveniente da </w:t>
      </w:r>
      <w:r w:rsidRPr="00BF1994">
        <w:rPr>
          <w:b/>
          <w:lang w:val="pt-BR"/>
        </w:rPr>
        <w:t>venda de produtos (e-books)</w:t>
      </w:r>
      <w:r w:rsidRPr="00BF1994">
        <w:rPr>
          <w:lang w:val="pt-BR"/>
        </w:rPr>
        <w:t xml:space="preserve"> e não do recrutamento de nov</w:t>
      </w:r>
      <w:r w:rsidRPr="00BF1994">
        <w:rPr>
          <w:lang w:val="pt-BR"/>
        </w:rPr>
        <w:t>os membros. O sistema de sorteios (</w:t>
      </w:r>
      <w:r w:rsidRPr="00BF1994">
        <w:rPr>
          <w:i/>
          <w:lang w:val="pt-BR"/>
        </w:rPr>
        <w:t>+Sorte</w:t>
      </w:r>
      <w:r w:rsidRPr="00BF1994">
        <w:rPr>
          <w:lang w:val="pt-BR"/>
        </w:rPr>
        <w:t xml:space="preserve">) deve ser rigorosamente regulamentado pela </w:t>
      </w:r>
      <w:r w:rsidRPr="00BF1994">
        <w:rPr>
          <w:b/>
          <w:lang w:val="pt-BR"/>
        </w:rPr>
        <w:t>SECAP/ME</w:t>
      </w:r>
      <w:r w:rsidRPr="00BF1994">
        <w:rPr>
          <w:lang w:val="pt-BR"/>
        </w:rPr>
        <w:t xml:space="preserve"> (Secretaria de Avaliação, Planejamento, Energia e Loteria do Ministério da Economia) para evitar penalidades e a suspensão das atividades [2].</w:t>
      </w:r>
    </w:p>
    <w:p w:rsidR="00CE4580" w:rsidRPr="00BF1994" w:rsidRDefault="00C22B10" w:rsidP="00BF1994">
      <w:pPr>
        <w:pStyle w:val="Ttulo3"/>
        <w:jc w:val="both"/>
        <w:rPr>
          <w:lang w:val="pt-BR"/>
        </w:rPr>
      </w:pPr>
      <w:bookmarkStart w:id="10" w:name="X645c6294c40c27f5462cbc34ccb55ef9af1668b"/>
      <w:r w:rsidRPr="00BF1994">
        <w:rPr>
          <w:lang w:val="pt-BR"/>
        </w:rPr>
        <w:t>3.2. Sustentação da</w:t>
      </w:r>
      <w:r w:rsidRPr="00BF1994">
        <w:rPr>
          <w:lang w:val="pt-BR"/>
        </w:rPr>
        <w:t xml:space="preserve"> Estratégia de Vendas Diretas (E-books)</w:t>
      </w:r>
      <w:bookmarkEnd w:id="10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lang w:val="pt-BR"/>
        </w:rPr>
        <w:t xml:space="preserve">O </w:t>
      </w:r>
      <w:r w:rsidRPr="00BF1994">
        <w:rPr>
          <w:i/>
          <w:lang w:val="pt-BR"/>
        </w:rPr>
        <w:t>Core Business</w:t>
      </w:r>
      <w:r w:rsidRPr="00BF1994">
        <w:rPr>
          <w:lang w:val="pt-BR"/>
        </w:rPr>
        <w:t xml:space="preserve"> do JR é a venda de </w:t>
      </w:r>
      <w:r w:rsidRPr="00BF1994">
        <w:rPr>
          <w:i/>
          <w:lang w:val="pt-BR"/>
        </w:rPr>
        <w:t>e-books</w:t>
      </w:r>
      <w:r w:rsidRPr="00BF1994">
        <w:rPr>
          <w:lang w:val="pt-BR"/>
        </w:rPr>
        <w:t xml:space="preserve">, o que o alinha ao propósito de </w:t>
      </w:r>
      <w:r w:rsidRPr="00BF1994">
        <w:rPr>
          <w:b/>
          <w:lang w:val="pt-BR"/>
        </w:rPr>
        <w:t>distribuição de conhecimento</w:t>
      </w:r>
      <w:r w:rsidRPr="00BF1994">
        <w:rPr>
          <w:lang w:val="pt-BR"/>
        </w:rPr>
        <w:t xml:space="preserve"> do Legado.</w:t>
      </w:r>
    </w:p>
    <w:p w:rsidR="00CE4580" w:rsidRPr="00BF1994" w:rsidRDefault="00C22B10" w:rsidP="00BF1994">
      <w:pPr>
        <w:pStyle w:val="Textoembloco"/>
        <w:jc w:val="both"/>
        <w:rPr>
          <w:lang w:val="pt-BR"/>
        </w:rPr>
      </w:pPr>
      <w:r w:rsidRPr="00BF1994">
        <w:rPr>
          <w:b/>
          <w:lang w:val="pt-BR"/>
        </w:rPr>
        <w:t>Nova Argumentação:</w:t>
      </w:r>
      <w:r w:rsidRPr="00BF1994">
        <w:rPr>
          <w:lang w:val="pt-BR"/>
        </w:rPr>
        <w:t xml:space="preserve"> O JR é o </w:t>
      </w:r>
      <w:r w:rsidRPr="00BF1994">
        <w:rPr>
          <w:b/>
          <w:lang w:val="pt-BR"/>
        </w:rPr>
        <w:t>motor de distribuição de conhecimento</w:t>
      </w:r>
      <w:r w:rsidRPr="00BF1994">
        <w:rPr>
          <w:lang w:val="pt-BR"/>
        </w:rPr>
        <w:t xml:space="preserve"> </w:t>
      </w:r>
      <w:r w:rsidRPr="00BF1994">
        <w:rPr>
          <w:lang w:val="pt-BR"/>
        </w:rPr>
        <w:t xml:space="preserve">do Instituto Sinapse. A análise deve ser reforçada pela necessidade de um </w:t>
      </w:r>
      <w:r w:rsidRPr="00BF1994">
        <w:rPr>
          <w:b/>
          <w:lang w:val="pt-BR"/>
        </w:rPr>
        <w:t>KPI de Impacto Social</w:t>
      </w:r>
      <w:r w:rsidRPr="00BF1994">
        <w:rPr>
          <w:lang w:val="pt-BR"/>
        </w:rPr>
        <w:t xml:space="preserve"> que meça o número de </w:t>
      </w:r>
      <w:r w:rsidRPr="00BF1994">
        <w:rPr>
          <w:i/>
          <w:lang w:val="pt-BR"/>
        </w:rPr>
        <w:t>e-books</w:t>
      </w:r>
      <w:r w:rsidRPr="00BF1994">
        <w:rPr>
          <w:lang w:val="pt-BR"/>
        </w:rPr>
        <w:t xml:space="preserve"> distribuídos gratuitamente nas comunidades do FIQ e do Instituto. Isso transforma o JR de um mero motor de receita em um </w:t>
      </w:r>
      <w:r w:rsidRPr="00BF1994">
        <w:rPr>
          <w:b/>
          <w:lang w:val="pt-BR"/>
        </w:rPr>
        <w:t>multiplica</w:t>
      </w:r>
      <w:r w:rsidRPr="00BF1994">
        <w:rPr>
          <w:b/>
          <w:lang w:val="pt-BR"/>
        </w:rPr>
        <w:t>dor de impacto social</w:t>
      </w:r>
      <w:r w:rsidRPr="00BF1994">
        <w:rPr>
          <w:lang w:val="pt-BR"/>
        </w:rPr>
        <w:t>, validando o propósito do Legado [3].</w:t>
      </w:r>
    </w:p>
    <w:p w:rsidR="00CE4580" w:rsidRPr="00BF1994" w:rsidRDefault="00C22B10" w:rsidP="00BF1994">
      <w:pPr>
        <w:pStyle w:val="Ttulo3"/>
        <w:jc w:val="both"/>
        <w:rPr>
          <w:lang w:val="pt-BR"/>
        </w:rPr>
      </w:pPr>
      <w:bookmarkStart w:id="11" w:name="integração-do-jr-bank-com-o-beyour-bank"/>
      <w:r w:rsidRPr="00BF1994">
        <w:rPr>
          <w:lang w:val="pt-BR"/>
        </w:rPr>
        <w:lastRenderedPageBreak/>
        <w:t>3.3. Integração do JR Bank com o Beyour Bank</w:t>
      </w:r>
      <w:bookmarkEnd w:id="11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lang w:val="pt-BR"/>
        </w:rPr>
        <w:t>O JR Bank é o sistema circulatório do JR, mas sua integração com o Beyour Bank é crucial para a sinergia do ecossistema.</w:t>
      </w:r>
    </w:p>
    <w:p w:rsidR="00CE4580" w:rsidRPr="00BF1994" w:rsidRDefault="00C22B10" w:rsidP="00BF1994">
      <w:pPr>
        <w:pStyle w:val="Textoembloco"/>
        <w:jc w:val="both"/>
        <w:rPr>
          <w:lang w:val="pt-BR"/>
        </w:rPr>
      </w:pPr>
      <w:r w:rsidRPr="00BF1994">
        <w:rPr>
          <w:b/>
          <w:lang w:val="pt-BR"/>
        </w:rPr>
        <w:t>Nova Argumentação:</w:t>
      </w:r>
      <w:r w:rsidRPr="00BF1994">
        <w:rPr>
          <w:lang w:val="pt-BR"/>
        </w:rPr>
        <w:t xml:space="preserve"> O JR Bank d</w:t>
      </w:r>
      <w:r w:rsidRPr="00BF1994">
        <w:rPr>
          <w:lang w:val="pt-BR"/>
        </w:rPr>
        <w:t xml:space="preserve">eve ser o </w:t>
      </w:r>
      <w:r w:rsidRPr="00BF1994">
        <w:rPr>
          <w:b/>
          <w:lang w:val="pt-BR"/>
        </w:rPr>
        <w:t>primeiro caso de uso de escala</w:t>
      </w:r>
      <w:r w:rsidRPr="00BF1994">
        <w:rPr>
          <w:lang w:val="pt-BR"/>
        </w:rPr>
        <w:t xml:space="preserve"> do Beyour Bank. A análise deve ser reforçada pela necessidade de um </w:t>
      </w:r>
      <w:r w:rsidRPr="00BF1994">
        <w:rPr>
          <w:b/>
          <w:lang w:val="pt-BR"/>
        </w:rPr>
        <w:t>Protocolo de Integração Tecnológica</w:t>
      </w:r>
      <w:r w:rsidRPr="00BF1994">
        <w:rPr>
          <w:lang w:val="pt-BR"/>
        </w:rPr>
        <w:t xml:space="preserve"> que garanta que todas as transações do JR (pagamento de bônus, comissões, aquisição de </w:t>
      </w:r>
      <w:r w:rsidRPr="00BF1994">
        <w:rPr>
          <w:i/>
          <w:lang w:val="pt-BR"/>
        </w:rPr>
        <w:t>kits</w:t>
      </w:r>
      <w:r w:rsidRPr="00BF1994">
        <w:rPr>
          <w:lang w:val="pt-BR"/>
        </w:rPr>
        <w:t xml:space="preserve">) sejam processadas </w:t>
      </w:r>
      <w:r w:rsidRPr="00BF1994">
        <w:rPr>
          <w:lang w:val="pt-BR"/>
        </w:rPr>
        <w:t xml:space="preserve">pelo Beyour Bank. Isso valida o investimento de R$ 10 milhões no Beyour Bank e o transforma no </w:t>
      </w:r>
      <w:r w:rsidRPr="00BF1994">
        <w:rPr>
          <w:b/>
          <w:lang w:val="pt-BR"/>
        </w:rPr>
        <w:t>sistema circulatório quântico</w:t>
      </w:r>
      <w:r w:rsidRPr="00BF1994">
        <w:rPr>
          <w:lang w:val="pt-BR"/>
        </w:rPr>
        <w:t xml:space="preserve"> do Legado [4].</w:t>
      </w:r>
    </w:p>
    <w:p w:rsidR="00CE4580" w:rsidRDefault="00C22B10" w:rsidP="00BF1994">
      <w:pPr>
        <w:jc w:val="both"/>
      </w:pPr>
      <w:r>
        <w:pict>
          <v:rect id="_x0000_i1028" style="width:0;height:1.5pt" o:hralign="center" o:hrstd="t" o:hr="t"/>
        </w:pict>
      </w:r>
    </w:p>
    <w:p w:rsidR="00CE4580" w:rsidRPr="00BF1994" w:rsidRDefault="00C22B10" w:rsidP="00BF1994">
      <w:pPr>
        <w:pStyle w:val="Ttulo2"/>
        <w:jc w:val="both"/>
        <w:rPr>
          <w:lang w:val="pt-BR"/>
        </w:rPr>
      </w:pPr>
      <w:bookmarkStart w:id="12" w:name="Xa4cc411ac1db3ea10937a6d1d7906616c842a26"/>
      <w:r w:rsidRPr="00BF1994">
        <w:rPr>
          <w:lang w:val="pt-BR"/>
        </w:rPr>
        <w:t>IV. Balanço Financeiro e Patrimonial - Ano 7</w:t>
      </w:r>
      <w:bookmarkEnd w:id="12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lang w:val="pt-BR"/>
        </w:rPr>
        <w:t>O Balanço Patrimonial do Ano 7 reflete o crescimento projetado de 9,5</w:t>
      </w:r>
      <w:r w:rsidRPr="00BF1994">
        <w:rPr>
          <w:lang w:val="pt-BR"/>
        </w:rPr>
        <w:t>% a.a. e a alocação para o projeto JR.</w:t>
      </w:r>
    </w:p>
    <w:p w:rsidR="00CE4580" w:rsidRDefault="00C22B10" w:rsidP="00BF1994">
      <w:pPr>
        <w:pStyle w:val="Ttulo3"/>
        <w:jc w:val="both"/>
      </w:pPr>
      <w:bookmarkStart w:id="13" w:name="premissas-do-balanço"/>
      <w:r>
        <w:t>4.1. Premissas do Balanço</w:t>
      </w:r>
      <w:bookmarkEnd w:id="13"/>
    </w:p>
    <w:p w:rsidR="00CE4580" w:rsidRPr="00BF1994" w:rsidRDefault="00C22B10" w:rsidP="00BF1994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BF1994">
        <w:rPr>
          <w:b/>
          <w:lang w:val="pt-BR"/>
        </w:rPr>
        <w:t>Patrimônio Líquido (PL) do Ano 6:</w:t>
      </w:r>
      <w:r w:rsidRPr="00BF1994">
        <w:rPr>
          <w:lang w:val="pt-BR"/>
        </w:rPr>
        <w:t xml:space="preserve"> R$ 1.758.902.644,83 (Ajustado).</w:t>
      </w:r>
    </w:p>
    <w:p w:rsidR="00CE4580" w:rsidRPr="00BF1994" w:rsidRDefault="00C22B10" w:rsidP="00BF1994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BF1994">
        <w:rPr>
          <w:b/>
          <w:lang w:val="pt-BR"/>
        </w:rPr>
        <w:t>Crescimento Projetado (2033):</w:t>
      </w:r>
      <w:r w:rsidRPr="00BF1994">
        <w:rPr>
          <w:lang w:val="pt-BR"/>
        </w:rPr>
        <w:t xml:space="preserve"> R$ 167.095.751,26 (Lucros Acumulados).</w:t>
      </w:r>
    </w:p>
    <w:p w:rsidR="00CE4580" w:rsidRPr="00BF1994" w:rsidRDefault="00C22B10" w:rsidP="00BF1994">
      <w:pPr>
        <w:pStyle w:val="Compact"/>
        <w:numPr>
          <w:ilvl w:val="0"/>
          <w:numId w:val="2"/>
        </w:numPr>
        <w:jc w:val="both"/>
        <w:rPr>
          <w:lang w:val="pt-BR"/>
        </w:rPr>
      </w:pPr>
      <w:r w:rsidRPr="00BF1994">
        <w:rPr>
          <w:b/>
          <w:lang w:val="pt-BR"/>
        </w:rPr>
        <w:t>Patrimônio Líquido (PL) do Ano 7:</w:t>
      </w:r>
      <w:r w:rsidRPr="00BF1994">
        <w:rPr>
          <w:lang w:val="pt-BR"/>
        </w:rPr>
        <w:t xml:space="preserve"> R$ 1.925.998.396,09 (V</w:t>
      </w:r>
      <w:r w:rsidRPr="00BF1994">
        <w:rPr>
          <w:lang w:val="pt-BR"/>
        </w:rPr>
        <w:t>alor Consolidado).</w:t>
      </w:r>
    </w:p>
    <w:p w:rsidR="00CE4580" w:rsidRPr="00BF1994" w:rsidRDefault="00C22B10" w:rsidP="00BF1994">
      <w:pPr>
        <w:pStyle w:val="Ttulo3"/>
        <w:jc w:val="both"/>
        <w:rPr>
          <w:lang w:val="pt-BR"/>
        </w:rPr>
      </w:pPr>
      <w:bookmarkStart w:id="14" w:name="Xb49c0f375f357495a61b87e2a1a5f3bda5e3a6f"/>
      <w:r w:rsidRPr="00BF1994">
        <w:rPr>
          <w:lang w:val="pt-BR"/>
        </w:rPr>
        <w:t>4.2. Balanço Patrimonial Consolidado (Dezembro de 2033)</w:t>
      </w:r>
      <w:bookmarkEnd w:id="1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01"/>
        <w:gridCol w:w="4758"/>
        <w:gridCol w:w="2112"/>
        <w:gridCol w:w="2145"/>
      </w:tblGrid>
      <w:tr w:rsidR="00CE4580" w:rsidRPr="00BF1994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CE4580" w:rsidRDefault="00C22B10" w:rsidP="00BF1994">
            <w:pPr>
              <w:pStyle w:val="Compact"/>
              <w:jc w:val="both"/>
            </w:pPr>
            <w:r>
              <w:t>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lang w:val="pt-BR"/>
              </w:rPr>
              <w:t>Valor (R</w:t>
            </w:r>
            <m:oMath>
              <m:r>
                <w:rPr>
                  <w:rFonts w:ascii="Cambria Math" w:hAnsi="Cambria Math"/>
                  <w:lang w:val="pt-BR"/>
                </w:rPr>
                <m:t>)|</m:t>
              </m:r>
              <m:r>
                <w:rPr>
                  <w:rFonts w:ascii="Cambria Math" w:hAnsi="Cambria Math"/>
                </w:rPr>
                <m:t>PassivoePatrim</m:t>
              </m:r>
              <m:r>
                <w:rPr>
                  <w:rFonts w:ascii="Cambria Math" w:hAnsi="Cambria Math"/>
                  <w:lang w:val="pt-BR"/>
                </w:rPr>
                <m:t>ô</m:t>
              </m:r>
              <m:r>
                <w:rPr>
                  <w:rFonts w:ascii="Cambria Math" w:hAnsi="Cambria Math"/>
                </w:rPr>
                <m:t>nioL</m:t>
              </m:r>
              <m:r>
                <w:rPr>
                  <w:rFonts w:ascii="Cambria Math" w:hAnsi="Cambria Math"/>
                  <w:lang w:val="pt-BR"/>
                </w:rPr>
                <m:t>í</m:t>
              </m:r>
              <m:r>
                <w:rPr>
                  <w:rFonts w:ascii="Cambria Math" w:hAnsi="Cambria Math"/>
                </w:rPr>
                <m:t>quido</m:t>
              </m:r>
              <m:r>
                <w:rPr>
                  <w:rFonts w:ascii="Cambria Math" w:hAnsi="Cambria Math"/>
                  <w:lang w:val="pt-BR"/>
                </w:rPr>
                <m:t>|</m:t>
              </m:r>
              <m:r>
                <w:rPr>
                  <w:rFonts w:ascii="Cambria Math" w:hAnsi="Cambria Math"/>
                </w:rPr>
                <m:t>Valor</m:t>
              </m:r>
              <m:r>
                <w:rPr>
                  <w:rFonts w:ascii="Cambria Math" w:hAnsi="Cambria Math"/>
                  <w:lang w:val="pt-BR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</m:oMath>
            <w:r w:rsidRPr="00BF1994">
              <w:rPr>
                <w:lang w:val="pt-BR"/>
              </w:rP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CE4580" w:rsidRPr="00BF1994" w:rsidRDefault="00CE4580" w:rsidP="00BF1994">
            <w:pPr>
              <w:jc w:val="both"/>
              <w:rPr>
                <w:lang w:val="pt-BR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CE4580" w:rsidRPr="00BF1994" w:rsidRDefault="00CE4580" w:rsidP="00BF1994">
            <w:pPr>
              <w:jc w:val="both"/>
              <w:rPr>
                <w:lang w:val="pt-BR"/>
              </w:rPr>
            </w:pP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ATIVO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PASSIVO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Ativo Circulante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Passivo Circulante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</w:tr>
      <w:tr w:rsidR="00CE4580"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lang w:val="pt-BR"/>
              </w:rPr>
              <w:t>Reserva de Liquidez (Cash Tático)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10.000.000,00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Provisão Fiscal e Operacional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5.000.000,00</w:t>
            </w:r>
          </w:p>
        </w:tc>
      </w:tr>
      <w:tr w:rsidR="00CE4580"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lang w:val="pt-BR"/>
              </w:rPr>
              <w:t>FIQ - Capital de Giro e Reserva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22.370.050,52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Total do Passivo Circulante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5.000.000,00</w:t>
            </w: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Total do Ativo Circulante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32.370.050,52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Passivo Não Circulante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Ativo Não Circulante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Empréstimos e Financiamentos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0,00</w:t>
            </w: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Fundo Principal (FP) - Preservação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740.000.000,00</w:t>
            </w:r>
          </w:p>
        </w:tc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b/>
                <w:lang w:val="pt-BR"/>
              </w:rPr>
              <w:t>Total do Passivo Não Circulante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0,00</w:t>
            </w: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Fundo Secundário (FS) - Alavancagem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249.690.000,00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PATRIMÔNIO LÍQUIDO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Fundo Imobiliário Quântico (FIQ)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113.925.000,00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Capital Socia</w:t>
            </w:r>
            <w:r>
              <w:t>l Ajustado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977.500.000,00</w:t>
            </w: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Fundo Perpétuo (Endowment)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100.000.000,00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Lucros Acumulados (Ano 1 a 7)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948.498.396,09</w:t>
            </w: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lastRenderedPageBreak/>
              <w:t>Beyour Bank (Ativo)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10.000.000,00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Total do Patrimônio Líquido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1.925.998.396,09</w:t>
            </w: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FPS (Private Equity)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21.452.883,72</w:t>
            </w:r>
          </w:p>
        </w:tc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b/>
                <w:lang w:val="pt-BR"/>
              </w:rPr>
              <w:t>TOTAL DO PASSIVO E PL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1.930.998.396,09</w:t>
            </w: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FSQ (Fundo Anjo)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10.601.604,96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EMB (Ativo)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1.100.000,00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JR (Ativo)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t>5.000.000,00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</w:tr>
      <w:tr w:rsidR="00CE4580">
        <w:tc>
          <w:tcPr>
            <w:tcW w:w="0" w:type="auto"/>
          </w:tcPr>
          <w:p w:rsidR="00CE4580" w:rsidRPr="00BF1994" w:rsidRDefault="00C22B10" w:rsidP="00BF1994">
            <w:pPr>
              <w:pStyle w:val="Compact"/>
              <w:jc w:val="both"/>
              <w:rPr>
                <w:lang w:val="pt-BR"/>
              </w:rPr>
            </w:pPr>
            <w:r w:rsidRPr="00BF1994">
              <w:rPr>
                <w:b/>
                <w:lang w:val="pt-BR"/>
              </w:rPr>
              <w:t>Total do Ativo Não Circulante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1.251.769.488,68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</w:tr>
      <w:tr w:rsidR="00CE4580"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TOTAL DO ATIVO</w:t>
            </w:r>
          </w:p>
        </w:tc>
        <w:tc>
          <w:tcPr>
            <w:tcW w:w="0" w:type="auto"/>
          </w:tcPr>
          <w:p w:rsidR="00CE4580" w:rsidRDefault="00C22B10" w:rsidP="00BF1994">
            <w:pPr>
              <w:pStyle w:val="Compact"/>
              <w:jc w:val="both"/>
            </w:pPr>
            <w:r>
              <w:rPr>
                <w:b/>
              </w:rPr>
              <w:t>1.284.139.539,20</w:t>
            </w: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  <w:tc>
          <w:tcPr>
            <w:tcW w:w="0" w:type="auto"/>
          </w:tcPr>
          <w:p w:rsidR="00CE4580" w:rsidRDefault="00CE4580" w:rsidP="00BF1994">
            <w:pPr>
              <w:jc w:val="both"/>
            </w:pPr>
          </w:p>
        </w:tc>
      </w:tr>
    </w:tbl>
    <w:p w:rsidR="00CE4580" w:rsidRPr="00BF1994" w:rsidRDefault="00C22B10" w:rsidP="00BF1994">
      <w:pPr>
        <w:pStyle w:val="Corpodetexto"/>
        <w:jc w:val="both"/>
        <w:rPr>
          <w:lang w:val="pt-BR"/>
        </w:rPr>
      </w:pPr>
      <w:r w:rsidRPr="00BF1994">
        <w:rPr>
          <w:i/>
          <w:lang w:val="pt-BR"/>
        </w:rPr>
        <w:t>Nota: O balanço foi ajustado para refletir a alocação para o projeto JR (R$ 5 milhões - valor estimado para o investimento inicial) e o crescimento do Patrimônio Líquido para R$ 1.925.998.396,09, conforme o documento original.</w:t>
      </w:r>
    </w:p>
    <w:p w:rsidR="00CE4580" w:rsidRPr="00BF1994" w:rsidRDefault="00C22B10" w:rsidP="00BF1994">
      <w:pPr>
        <w:pStyle w:val="Ttulo3"/>
        <w:jc w:val="both"/>
        <w:rPr>
          <w:lang w:val="pt-BR"/>
        </w:rPr>
      </w:pPr>
      <w:bookmarkStart w:id="15" w:name="análise-de-divergências-e-ajustes"/>
      <w:r w:rsidRPr="00BF1994">
        <w:rPr>
          <w:lang w:val="pt-BR"/>
        </w:rPr>
        <w:t xml:space="preserve">4.3. Análise de Divergências </w:t>
      </w:r>
      <w:r w:rsidRPr="00BF1994">
        <w:rPr>
          <w:lang w:val="pt-BR"/>
        </w:rPr>
        <w:t>e Ajustes</w:t>
      </w:r>
      <w:bookmarkEnd w:id="15"/>
    </w:p>
    <w:p w:rsidR="00CE4580" w:rsidRPr="00BF1994" w:rsidRDefault="00C22B10" w:rsidP="00BF1994">
      <w:pPr>
        <w:pStyle w:val="FirstParagraph"/>
        <w:jc w:val="both"/>
        <w:rPr>
          <w:lang w:val="pt-BR"/>
        </w:rPr>
      </w:pPr>
      <w:r w:rsidRPr="00BF1994">
        <w:rPr>
          <w:b/>
          <w:lang w:val="pt-BR"/>
        </w:rPr>
        <w:t>Divergências/Anomalias:</w:t>
      </w:r>
      <w:r w:rsidRPr="00BF1994">
        <w:rPr>
          <w:lang w:val="pt-BR"/>
        </w:rPr>
        <w:t xml:space="preserve"> A principal anomalia é a </w:t>
      </w:r>
      <w:r w:rsidRPr="00BF1994">
        <w:rPr>
          <w:b/>
          <w:lang w:val="pt-BR"/>
        </w:rPr>
        <w:t>ausência de Balanço Patrimonial detalhado</w:t>
      </w:r>
      <w:r w:rsidRPr="00BF1994">
        <w:rPr>
          <w:lang w:val="pt-BR"/>
        </w:rPr>
        <w:t xml:space="preserve"> no documento original, o que impede a verificação da correção da anomalia contábil de R$ 123,7 milhões. O balanço ajustado reflete o crescimento de 9,5% a.</w:t>
      </w:r>
      <w:r w:rsidRPr="00BF1994">
        <w:rPr>
          <w:lang w:val="pt-BR"/>
        </w:rPr>
        <w:t>a. e a alocação para o projeto JR.</w:t>
      </w:r>
    </w:p>
    <w:p w:rsidR="00CE4580" w:rsidRPr="00BF1994" w:rsidRDefault="00C22B10" w:rsidP="00BF1994">
      <w:pPr>
        <w:pStyle w:val="Corpodetexto"/>
        <w:jc w:val="both"/>
        <w:rPr>
          <w:lang w:val="pt-BR"/>
        </w:rPr>
      </w:pPr>
      <w:r w:rsidRPr="00BF1994">
        <w:rPr>
          <w:b/>
          <w:lang w:val="pt-BR"/>
        </w:rPr>
        <w:t>Balanço Ajustado em Relação ao Ano Anterior:</w:t>
      </w:r>
      <w:r w:rsidRPr="00BF1994">
        <w:rPr>
          <w:lang w:val="pt-BR"/>
        </w:rPr>
        <w:t xml:space="preserve"> O Patrimônio Líquido cresceu de R$ 1.758,90 milhões (Ano 6) para </w:t>
      </w:r>
      <w:r w:rsidRPr="00BF1994">
        <w:rPr>
          <w:b/>
          <w:lang w:val="pt-BR"/>
        </w:rPr>
        <w:t>R$ 1.925,99 milhões</w:t>
      </w:r>
      <w:r w:rsidRPr="00BF1994">
        <w:rPr>
          <w:lang w:val="pt-BR"/>
        </w:rPr>
        <w:t xml:space="preserve"> (Ano 7), um aumento de </w:t>
      </w:r>
      <w:r w:rsidRPr="00BF1994">
        <w:rPr>
          <w:b/>
          <w:lang w:val="pt-BR"/>
        </w:rPr>
        <w:t>9,5%</w:t>
      </w:r>
      <w:r w:rsidRPr="00BF1994">
        <w:rPr>
          <w:lang w:val="pt-BR"/>
        </w:rPr>
        <w:t>. Este crescimento é consistente com a estratégia de diversifica</w:t>
      </w:r>
      <w:r w:rsidRPr="00BF1994">
        <w:rPr>
          <w:lang w:val="pt-BR"/>
        </w:rPr>
        <w:t>ção e o reinvestimento de lucros.</w:t>
      </w:r>
    </w:p>
    <w:p w:rsidR="00CE4580" w:rsidRDefault="00C22B10" w:rsidP="00BF1994">
      <w:pPr>
        <w:jc w:val="both"/>
      </w:pPr>
      <w:r>
        <w:pict>
          <v:rect id="_x0000_i1029" style="width:0;height:1.5pt" o:hralign="center" o:hrstd="t" o:hr="t"/>
        </w:pict>
      </w:r>
    </w:p>
    <w:p w:rsidR="00CE4580" w:rsidRPr="00BF1994" w:rsidRDefault="00C22B10" w:rsidP="00BF1994">
      <w:pPr>
        <w:pStyle w:val="Ttulo2"/>
        <w:jc w:val="both"/>
        <w:rPr>
          <w:lang w:val="pt-BR"/>
        </w:rPr>
      </w:pPr>
      <w:bookmarkStart w:id="16" w:name="v.-referências"/>
      <w:r w:rsidRPr="00BF1994">
        <w:rPr>
          <w:lang w:val="pt-BR"/>
        </w:rPr>
        <w:t>V. Referências</w:t>
      </w:r>
      <w:bookmarkEnd w:id="16"/>
    </w:p>
    <w:p w:rsidR="00CE4580" w:rsidRDefault="00C22B10" w:rsidP="00BF1994">
      <w:pPr>
        <w:pStyle w:val="FirstParagraph"/>
        <w:jc w:val="both"/>
      </w:pPr>
      <w:r w:rsidRPr="00BF1994">
        <w:rPr>
          <w:lang w:val="pt-BR"/>
        </w:rPr>
        <w:t xml:space="preserve">[1] CVM. </w:t>
      </w:r>
      <w:r w:rsidRPr="00BF1994">
        <w:rPr>
          <w:i/>
          <w:lang w:val="pt-BR"/>
        </w:rPr>
        <w:t>Instrução CVM nº 571/2015</w:t>
      </w:r>
      <w:r w:rsidRPr="00BF1994">
        <w:rPr>
          <w:lang w:val="pt-BR"/>
        </w:rPr>
        <w:t xml:space="preserve">. Disponível em: [URL da CVM]. [2] SECAP/ME. </w:t>
      </w:r>
      <w:r w:rsidRPr="00BF1994">
        <w:rPr>
          <w:i/>
          <w:lang w:val="pt-BR"/>
        </w:rPr>
        <w:t>Regulamentação de Sorteios e Promoções Comerciais</w:t>
      </w:r>
      <w:r w:rsidRPr="00BF1994">
        <w:rPr>
          <w:lang w:val="pt-BR"/>
        </w:rPr>
        <w:t xml:space="preserve">. Disponível em: [URL da SECAP/ME]. </w:t>
      </w:r>
      <w:r>
        <w:t xml:space="preserve">[3] Nicholls, J., Lawlor, E., Neitzert, E., &amp; Goodspeed, T. (2012). </w:t>
      </w:r>
      <w:r>
        <w:rPr>
          <w:i/>
        </w:rPr>
        <w:t>A Guide to Social Return on Investment (SROI)</w:t>
      </w:r>
      <w:r>
        <w:t xml:space="preserve">. The SROI Network. Disponível em: [URL do SROI Network]. [4] Christensen, C. M. (1997). </w:t>
      </w:r>
      <w:r>
        <w:rPr>
          <w:i/>
        </w:rPr>
        <w:t>The Innovator’s Dilemma: When New Technologies Cause G</w:t>
      </w:r>
      <w:r>
        <w:rPr>
          <w:i/>
        </w:rPr>
        <w:t>reat Firms to Fail</w:t>
      </w:r>
      <w:r>
        <w:t>. Harvard Business Review Press.</w:t>
      </w:r>
    </w:p>
    <w:sectPr w:rsidR="00CE4580" w:rsidSect="00BF1994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B10" w:rsidRDefault="00C22B10">
      <w:pPr>
        <w:spacing w:after="0"/>
      </w:pPr>
      <w:r>
        <w:separator/>
      </w:r>
    </w:p>
  </w:endnote>
  <w:endnote w:type="continuationSeparator" w:id="0">
    <w:p w:rsidR="00C22B10" w:rsidRDefault="00C22B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B10" w:rsidRDefault="00C22B10">
      <w:r>
        <w:separator/>
      </w:r>
    </w:p>
  </w:footnote>
  <w:footnote w:type="continuationSeparator" w:id="0">
    <w:p w:rsidR="00C22B10" w:rsidRDefault="00C22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C9F42B8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80DE3C5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BF1994"/>
    <w:rsid w:val="00C22B10"/>
    <w:rsid w:val="00C36279"/>
    <w:rsid w:val="00CE4580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CD3FC2-30A0-441B-B3A9-6CAC509A5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1292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2025-12-11T20:58:00Z</dcterms:created>
  <dcterms:modified xsi:type="dcterms:W3CDTF">2025-12-12T15:41:00Z</dcterms:modified>
</cp:coreProperties>
</file>