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28D" w:rsidRPr="006354BA" w:rsidRDefault="00225148" w:rsidP="006354BA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691d6d4464edeb6e3540773f7db5615b851a878"/>
      <w:r w:rsidRPr="006354BA">
        <w:rPr>
          <w:rFonts w:ascii="Lucida Sans Unicode" w:hAnsi="Lucida Sans Unicode" w:cs="Lucida Sans Unicode"/>
          <w:lang w:val="pt-BR"/>
        </w:rPr>
        <w:t>Relatório de Análise Crítica e Balanço Patrimonial - Ano 4</w:t>
      </w:r>
      <w:bookmarkEnd w:id="0"/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0"/>
      <w:r w:rsidRPr="006354BA">
        <w:rPr>
          <w:rFonts w:ascii="Lucida Sans Unicode" w:hAnsi="Lucida Sans Unicode" w:cs="Lucida Sans Unicode"/>
          <w:lang w:val="pt-BR"/>
        </w:rPr>
        <w:t>Projeto “Legado Lucas” (Jan - Dez 2030)</w:t>
      </w:r>
      <w:bookmarkEnd w:id="1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Autor:</w:t>
      </w:r>
      <w:r w:rsidRPr="006354BA">
        <w:rPr>
          <w:rFonts w:ascii="Lucida Sans Unicode" w:hAnsi="Lucida Sans Unicode" w:cs="Lucida Sans Unicode"/>
          <w:lang w:val="pt-BR"/>
        </w:rPr>
        <w:t xml:space="preserve"> Manus AI </w:t>
      </w:r>
      <w:r w:rsidRPr="006354BA">
        <w:rPr>
          <w:rFonts w:ascii="Lucida Sans Unicode" w:hAnsi="Lucida Sans Unicode" w:cs="Lucida Sans Unicode"/>
          <w:b/>
          <w:lang w:val="pt-BR"/>
        </w:rPr>
        <w:t>Data:</w:t>
      </w:r>
      <w:r w:rsidRPr="006354BA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6354BA">
        <w:rPr>
          <w:rFonts w:ascii="Lucida Sans Unicode" w:hAnsi="Lucida Sans Unicode" w:cs="Lucida Sans Unicode"/>
          <w:b/>
          <w:lang w:val="pt-BR"/>
        </w:rPr>
        <w:t>Versão:</w:t>
      </w:r>
      <w:r w:rsidRPr="006354BA">
        <w:rPr>
          <w:rFonts w:ascii="Lucida Sans Unicode" w:hAnsi="Lucida Sans Unicode" w:cs="Lucida Sans Unicode"/>
          <w:lang w:val="pt-BR"/>
        </w:rPr>
        <w:t xml:space="preserve"> 1.0</w:t>
      </w:r>
    </w:p>
    <w:p w:rsidR="0037528D" w:rsidRPr="006354BA" w:rsidRDefault="00225148" w:rsidP="006354BA">
      <w:pPr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6354BA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O </w:t>
      </w:r>
      <w:r w:rsidRPr="006354BA">
        <w:rPr>
          <w:rFonts w:ascii="Lucida Sans Unicode" w:hAnsi="Lucida Sans Unicode" w:cs="Lucida Sans Unicode"/>
          <w:b/>
          <w:lang w:val="pt-BR"/>
        </w:rPr>
        <w:t>Ano 4</w:t>
      </w:r>
      <w:r w:rsidRPr="006354BA">
        <w:rPr>
          <w:rFonts w:ascii="Lucida Sans Unicode" w:hAnsi="Lucida Sans Unicode" w:cs="Lucida Sans Unicode"/>
          <w:lang w:val="pt-BR"/>
        </w:rPr>
        <w:t xml:space="preserve"> do Projeto “Legado Lucas” </w:t>
      </w:r>
      <w:r w:rsidRPr="006354BA">
        <w:rPr>
          <w:rFonts w:ascii="Lucida Sans Unicode" w:hAnsi="Lucida Sans Unicode" w:cs="Lucida Sans Unicode"/>
          <w:lang w:val="pt-BR"/>
        </w:rPr>
        <w:t xml:space="preserve">(Janeiro a Dezembro de 2030) foi marcado pela consolidação da estratégia de diversificação e alto crescimento com a criação do </w:t>
      </w:r>
      <w:r w:rsidRPr="006354BA">
        <w:rPr>
          <w:rFonts w:ascii="Lucida Sans Unicode" w:hAnsi="Lucida Sans Unicode" w:cs="Lucida Sans Unicode"/>
          <w:b/>
          <w:lang w:val="pt-BR"/>
        </w:rPr>
        <w:t>Fundo de Participação Societária (FPS)</w:t>
      </w:r>
      <w:r w:rsidRPr="006354BA">
        <w:rPr>
          <w:rFonts w:ascii="Lucida Sans Unicode" w:hAnsi="Lucida Sans Unicode" w:cs="Lucida Sans Unicode"/>
          <w:lang w:val="pt-BR"/>
        </w:rPr>
        <w:t xml:space="preserve">. Este novo fundo, que representa o quinto pilar estratégico, foca em </w:t>
      </w:r>
      <w:r w:rsidRPr="006354BA">
        <w:rPr>
          <w:rFonts w:ascii="Lucida Sans Unicode" w:hAnsi="Lucida Sans Unicode" w:cs="Lucida Sans Unicode"/>
          <w:b/>
          <w:lang w:val="pt-BR"/>
        </w:rPr>
        <w:t>Private Equity e Vent</w:t>
      </w:r>
      <w:r w:rsidRPr="006354BA">
        <w:rPr>
          <w:rFonts w:ascii="Lucida Sans Unicode" w:hAnsi="Lucida Sans Unicode" w:cs="Lucida Sans Unicode"/>
          <w:b/>
          <w:lang w:val="pt-BR"/>
        </w:rPr>
        <w:t>ure Capital</w:t>
      </w:r>
      <w:r w:rsidRPr="006354BA">
        <w:rPr>
          <w:rFonts w:ascii="Lucida Sans Unicode" w:hAnsi="Lucida Sans Unicode" w:cs="Lucida Sans Unicode"/>
          <w:lang w:val="pt-BR"/>
        </w:rPr>
        <w:t xml:space="preserve"> através de empréstimos em troca de participação societária, alinhando-se ao potencial de crescimento do ecossistema (e.g., </w:t>
      </w:r>
      <w:r w:rsidRPr="006354BA">
        <w:rPr>
          <w:rFonts w:ascii="Lucida Sans Unicode" w:hAnsi="Lucida Sans Unicode" w:cs="Lucida Sans Unicode"/>
          <w:i/>
          <w:lang w:val="pt-BR"/>
        </w:rPr>
        <w:t>startups</w:t>
      </w:r>
      <w:r w:rsidRPr="006354BA">
        <w:rPr>
          <w:rFonts w:ascii="Lucida Sans Unicode" w:hAnsi="Lucida Sans Unicode" w:cs="Lucida Sans Unicode"/>
          <w:lang w:val="pt-BR"/>
        </w:rPr>
        <w:t xml:space="preserve"> do Berçário de Ideias).</w:t>
      </w:r>
    </w:p>
    <w:p w:rsidR="0037528D" w:rsidRPr="006354BA" w:rsidRDefault="00225148" w:rsidP="006354B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A alocação para o FPS foi definida em </w:t>
      </w:r>
      <w:r w:rsidRPr="006354BA">
        <w:rPr>
          <w:rFonts w:ascii="Lucida Sans Unicode" w:hAnsi="Lucida Sans Unicode" w:cs="Lucida Sans Unicode"/>
          <w:b/>
          <w:lang w:val="pt-BR"/>
        </w:rPr>
        <w:t>10% dos resultados mensais</w:t>
      </w:r>
      <w:r w:rsidRPr="006354BA">
        <w:rPr>
          <w:rFonts w:ascii="Lucida Sans Unicode" w:hAnsi="Lucida Sans Unicode" w:cs="Lucida Sans Unicode"/>
          <w:lang w:val="pt-BR"/>
        </w:rPr>
        <w:t xml:space="preserve"> (lucro), totalizando </w:t>
      </w:r>
      <w:r w:rsidRPr="006354BA">
        <w:rPr>
          <w:rFonts w:ascii="Lucida Sans Unicode" w:hAnsi="Lucida Sans Unicode" w:cs="Lucida Sans Unicode"/>
          <w:b/>
          <w:lang w:val="pt-BR"/>
        </w:rPr>
        <w:t>R$</w:t>
      </w:r>
      <w:r w:rsidRPr="006354BA">
        <w:rPr>
          <w:rFonts w:ascii="Lucida Sans Unicode" w:hAnsi="Lucida Sans Unicode" w:cs="Lucida Sans Unicode"/>
          <w:b/>
          <w:lang w:val="pt-BR"/>
        </w:rPr>
        <w:t xml:space="preserve"> 10.851.278,76</w:t>
      </w:r>
      <w:r w:rsidRPr="006354BA">
        <w:rPr>
          <w:rFonts w:ascii="Lucida Sans Unicode" w:hAnsi="Lucida Sans Unicode" w:cs="Lucida Sans Unicode"/>
          <w:lang w:val="pt-BR"/>
        </w:rPr>
        <w:t xml:space="preserve"> no Ano 4. Esta política garante que o crescimento do FPS seja orgânico e não comprometa o capital principal dos fundos existentes.</w:t>
      </w:r>
    </w:p>
    <w:p w:rsidR="0037528D" w:rsidRPr="006354BA" w:rsidRDefault="00225148" w:rsidP="006354B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O Patrimônio Total Consolidado projetado para o final do Ano 4 é de </w:t>
      </w:r>
      <w:r w:rsidRPr="006354BA">
        <w:rPr>
          <w:rFonts w:ascii="Lucida Sans Unicode" w:hAnsi="Lucida Sans Unicode" w:cs="Lucida Sans Unicode"/>
          <w:b/>
          <w:lang w:val="pt-BR"/>
        </w:rPr>
        <w:t>R$ 1.446.231.917,09</w:t>
      </w:r>
      <w:r w:rsidRPr="006354BA">
        <w:rPr>
          <w:rFonts w:ascii="Lucida Sans Unicode" w:hAnsi="Lucida Sans Unicode" w:cs="Lucida Sans Unicode"/>
          <w:lang w:val="pt-BR"/>
        </w:rPr>
        <w:t>. No entanto, a análise</w:t>
      </w:r>
      <w:r w:rsidRPr="006354BA">
        <w:rPr>
          <w:rFonts w:ascii="Lucida Sans Unicode" w:hAnsi="Lucida Sans Unicode" w:cs="Lucida Sans Unicode"/>
          <w:lang w:val="pt-BR"/>
        </w:rPr>
        <w:t xml:space="preserve"> crítica revela a </w:t>
      </w:r>
      <w:r w:rsidRPr="006354BA">
        <w:rPr>
          <w:rFonts w:ascii="Lucida Sans Unicode" w:hAnsi="Lucida Sans Unicode" w:cs="Lucida Sans Unicode"/>
          <w:b/>
          <w:lang w:val="pt-BR"/>
        </w:rPr>
        <w:t>persistência de uma anomalia contábil</w:t>
      </w:r>
      <w:r w:rsidRPr="006354BA">
        <w:rPr>
          <w:rFonts w:ascii="Lucida Sans Unicode" w:hAnsi="Lucida Sans Unicode" w:cs="Lucida Sans Unicode"/>
          <w:lang w:val="pt-BR"/>
        </w:rPr>
        <w:t xml:space="preserve"> de R$ 123,7 milhões, que compromete a credibilidade da base patrimonial e exige uma correção imediata para restaurar a fidelidade dos relatórios financeiros.</w:t>
      </w:r>
    </w:p>
    <w:p w:rsidR="0037528D" w:rsidRPr="006354BA" w:rsidRDefault="00225148" w:rsidP="006354BA">
      <w:pPr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86fd7e16b5f2357710105435e30a3a1819990d0"/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Corpodetexto"/>
        <w:rPr>
          <w:lang w:val="pt-BR"/>
        </w:rPr>
      </w:pPr>
    </w:p>
    <w:p w:rsidR="006354BA" w:rsidRDefault="006354BA" w:rsidP="006354BA">
      <w:pPr>
        <w:pStyle w:val="Corpodetexto"/>
        <w:rPr>
          <w:lang w:val="pt-BR"/>
        </w:rPr>
      </w:pPr>
    </w:p>
    <w:p w:rsidR="006354BA" w:rsidRDefault="006354BA" w:rsidP="006354BA">
      <w:pPr>
        <w:pStyle w:val="Corpodetexto"/>
        <w:rPr>
          <w:lang w:val="pt-BR"/>
        </w:rPr>
      </w:pPr>
    </w:p>
    <w:p w:rsidR="006354BA" w:rsidRDefault="006354BA" w:rsidP="006354BA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6354BA" w:rsidRDefault="006354BA" w:rsidP="006354BA">
      <w:pPr>
        <w:pStyle w:val="Corpodetexto"/>
        <w:rPr>
          <w:lang w:val="pt-BR"/>
        </w:rPr>
      </w:pPr>
    </w:p>
    <w:p w:rsidR="006354BA" w:rsidRPr="006354BA" w:rsidRDefault="006354BA" w:rsidP="006354BA">
      <w:pPr>
        <w:pStyle w:val="Corpodetexto"/>
        <w:rPr>
          <w:lang w:val="pt-BR"/>
        </w:rPr>
      </w:pPr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lastRenderedPageBreak/>
        <w:t xml:space="preserve">II. Descrição Detalhada do Projeto (Ano </w:t>
      </w:r>
      <w:r w:rsidRPr="006354BA">
        <w:rPr>
          <w:rFonts w:ascii="Lucida Sans Unicode" w:hAnsi="Lucida Sans Unicode" w:cs="Lucida Sans Unicode"/>
          <w:lang w:val="pt-BR"/>
        </w:rPr>
        <w:t>4 - Diversificação de Alto Crescimento)</w:t>
      </w:r>
      <w:bookmarkEnd w:id="3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O Ano 4 focou na criação de um veículo de investimento de alto risco/alto retorno, que complementa a estrutura de pilares do Legado.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o-fundo-de-participação-societária-fps"/>
      <w:r w:rsidRPr="006354BA">
        <w:rPr>
          <w:rFonts w:ascii="Lucida Sans Unicode" w:hAnsi="Lucida Sans Unicode" w:cs="Lucida Sans Unicode"/>
          <w:lang w:val="pt-BR"/>
        </w:rPr>
        <w:t>2.1. O Fundo de Participação Societária (FPS)</w:t>
      </w:r>
      <w:bookmarkEnd w:id="4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O FPS é o veículo de investimento em </w:t>
      </w:r>
      <w:r w:rsidRPr="006354BA">
        <w:rPr>
          <w:rFonts w:ascii="Lucida Sans Unicode" w:hAnsi="Lucida Sans Unicode" w:cs="Lucida Sans Unicode"/>
          <w:lang w:val="pt-BR"/>
        </w:rPr>
        <w:t>empresas privadas, com o objetivo de gerar crescimento exponencial e sinergia com o ecossistema do Legado.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84"/>
        <w:gridCol w:w="3042"/>
        <w:gridCol w:w="5890"/>
      </w:tblGrid>
      <w:tr w:rsidR="0037528D" w:rsidRPr="006354B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Natureza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Private Equity / Venture Capital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Investimento em empresas privadas em troca de participação societária</w:t>
            </w:r>
            <w:r w:rsidRPr="006354BA">
              <w:rPr>
                <w:rFonts w:ascii="Lucida Sans Unicode" w:hAnsi="Lucida Sans Unicode" w:cs="Lucida Sans Unicode"/>
                <w:lang w:val="pt-BR"/>
              </w:rPr>
              <w:t>.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Fonte de Capital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10% dos resultados mensais (lucro).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Crescimento orgânico e sustentável, sem comprometer o principal.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Alocação Anual (Ano 4)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R$ 10.851.278,76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Capital inicial para o novo fundo.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Mecanismo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Empréstimos em troca de Participação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 xml:space="preserve">Mitiga o risco, combinando a segurança de um empréstimo com o potencial de valorização de </w:t>
            </w:r>
            <w:r w:rsidRPr="006354BA">
              <w:rPr>
                <w:rFonts w:ascii="Lucida Sans Unicode" w:hAnsi="Lucida Sans Unicode" w:cs="Lucida Sans Unicode"/>
                <w:i/>
                <w:lang w:val="pt-BR"/>
              </w:rPr>
              <w:t>equity</w:t>
            </w:r>
            <w:r w:rsidRPr="006354BA">
              <w:rPr>
                <w:rFonts w:ascii="Lucida Sans Unicode" w:hAnsi="Lucida Sans Unicode" w:cs="Lucida Sans Unicode"/>
                <w:lang w:val="pt-BR"/>
              </w:rPr>
              <w:t>.</w:t>
            </w:r>
          </w:p>
        </w:tc>
      </w:tr>
    </w:tbl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estrutura-de-cinco-pilares"/>
      <w:r w:rsidRPr="006354BA">
        <w:rPr>
          <w:rFonts w:ascii="Lucida Sans Unicode" w:hAnsi="Lucida Sans Unicode" w:cs="Lucida Sans Unicode"/>
          <w:lang w:val="pt-BR"/>
        </w:rPr>
        <w:t>2.2. Estrutura de Cinco Pilares</w:t>
      </w:r>
      <w:bookmarkEnd w:id="5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O balanço do Ano 4 estabelece a estrutura de cinco pilares do Legado: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15"/>
        <w:gridCol w:w="3958"/>
        <w:gridCol w:w="2114"/>
        <w:gridCol w:w="2729"/>
      </w:tblGrid>
      <w:tr w:rsidR="0037528D" w:rsidRPr="006354B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Pilar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Fundo/Ativo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% do Patrimônio Total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Segurança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Principal (FP)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51,17%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Crescimento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Secundário (FS)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17,26%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Tangibilidade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7,88%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Perenidade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6,91%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Autonomia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0,69%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Alto Crescimento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FPS (Novo Fundo)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10.851.278,76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0,75%</w:t>
            </w:r>
          </w:p>
        </w:tc>
      </w:tr>
    </w:tbl>
    <w:p w:rsidR="006354BA" w:rsidRDefault="006354BA" w:rsidP="006354BA">
      <w:pPr>
        <w:pStyle w:val="Ttulo3"/>
        <w:jc w:val="both"/>
        <w:rPr>
          <w:rFonts w:ascii="Lucida Sans Unicode" w:hAnsi="Lucida Sans Unicode" w:cs="Lucida Sans Unicode"/>
        </w:rPr>
      </w:pPr>
      <w:bookmarkStart w:id="6" w:name="projeção-patrimonial-consolidada-ano-4"/>
    </w:p>
    <w:p w:rsidR="006354BA" w:rsidRPr="006354BA" w:rsidRDefault="006354BA" w:rsidP="006354BA">
      <w:pPr>
        <w:pStyle w:val="Corpodetexto"/>
      </w:pP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lastRenderedPageBreak/>
        <w:t>2.3. Projeção Patrimonial Consolidada (Ano 4)</w:t>
      </w:r>
      <w:bookmarkEnd w:id="6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O Patrimônio Total Projetado (Ano 4) com a inclusão do FPS é de </w:t>
      </w:r>
      <w:r w:rsidRPr="006354BA">
        <w:rPr>
          <w:rFonts w:ascii="Lucida Sans Unicode" w:hAnsi="Lucida Sans Unicode" w:cs="Lucida Sans Unicode"/>
          <w:b/>
          <w:lang w:val="pt-BR"/>
        </w:rPr>
        <w:t>R$ 1.446.231.917,09</w:t>
      </w:r>
      <w:r w:rsidRPr="006354BA">
        <w:rPr>
          <w:rFonts w:ascii="Lucida Sans Unicode" w:hAnsi="Lucida Sans Unicode" w:cs="Lucida Sans Unicode"/>
          <w:lang w:val="pt-BR"/>
        </w:rPr>
        <w:t>, baseado na soma dos component</w:t>
      </w:r>
      <w:r w:rsidRPr="006354BA">
        <w:rPr>
          <w:rFonts w:ascii="Lucida Sans Unicode" w:hAnsi="Lucida Sans Unicode" w:cs="Lucida Sans Unicode"/>
          <w:lang w:val="pt-BR"/>
        </w:rPr>
        <w:t>es e no reinvestimento de 90% do lucro em FP/FS.</w:t>
      </w:r>
    </w:p>
    <w:p w:rsidR="0037528D" w:rsidRPr="006354BA" w:rsidRDefault="00225148" w:rsidP="006354BA">
      <w:pPr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6354BA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O Ano 4 é marcado por uma excelente estratégia de investimento, mas por uma falha crítica na governança contábil.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8eabb2a76f3fbb8a836a7d57d18098f4ace9485"/>
      <w:r w:rsidRPr="006354BA">
        <w:rPr>
          <w:rFonts w:ascii="Lucida Sans Unicode" w:hAnsi="Lucida Sans Unicode" w:cs="Lucida Sans Unicode"/>
          <w:lang w:val="pt-BR"/>
        </w:rPr>
        <w:t>3.1. Crítica à Anomalia Contábil Persistente (R$</w:t>
      </w:r>
      <w:r w:rsidRPr="006354BA">
        <w:rPr>
          <w:rFonts w:ascii="Lucida Sans Unicode" w:hAnsi="Lucida Sans Unicode" w:cs="Lucida Sans Unicode"/>
          <w:lang w:val="pt-BR"/>
        </w:rPr>
        <w:t xml:space="preserve"> 123,7 Milhões)</w:t>
      </w:r>
      <w:bookmarkEnd w:id="8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A anomalia contábil de R$ 123.738.329,01, identificada nos relatórios do Ano 2 e Ano 3, foi carregada para a projeção do Ano 4.</w:t>
      </w:r>
    </w:p>
    <w:p w:rsidR="0037528D" w:rsidRPr="006354BA" w:rsidRDefault="00225148" w:rsidP="006354BA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Nova Argumentação:</w:t>
      </w:r>
      <w:r w:rsidRPr="006354BA">
        <w:rPr>
          <w:rFonts w:ascii="Lucida Sans Unicode" w:hAnsi="Lucida Sans Unicode" w:cs="Lucida Sans Unicode"/>
          <w:lang w:val="pt-BR"/>
        </w:rPr>
        <w:t xml:space="preserve"> A persistência desta anomalia por três anos fiscais é um </w:t>
      </w:r>
      <w:r w:rsidRPr="006354BA">
        <w:rPr>
          <w:rFonts w:ascii="Lucida Sans Unicode" w:hAnsi="Lucida Sans Unicode" w:cs="Lucida Sans Unicode"/>
          <w:b/>
          <w:lang w:val="pt-BR"/>
        </w:rPr>
        <w:t>risco de governança inaceitável</w:t>
      </w:r>
      <w:r w:rsidRPr="006354BA">
        <w:rPr>
          <w:rFonts w:ascii="Lucida Sans Unicode" w:hAnsi="Lucida Sans Unicode" w:cs="Lucida Sans Unicode"/>
          <w:lang w:val="pt-BR"/>
        </w:rPr>
        <w:t xml:space="preserve"> para</w:t>
      </w:r>
      <w:r w:rsidRPr="006354BA">
        <w:rPr>
          <w:rFonts w:ascii="Lucida Sans Unicode" w:hAnsi="Lucida Sans Unicode" w:cs="Lucida Sans Unicode"/>
          <w:lang w:val="pt-BR"/>
        </w:rPr>
        <w:t xml:space="preserve"> um patrimônio desta magnitude. O valor, que representa lucros não alocados ou não justificados, compromete a </w:t>
      </w:r>
      <w:r w:rsidRPr="006354BA">
        <w:rPr>
          <w:rFonts w:ascii="Lucida Sans Unicode" w:hAnsi="Lucida Sans Unicode" w:cs="Lucida Sans Unicode"/>
          <w:b/>
          <w:lang w:val="pt-BR"/>
        </w:rPr>
        <w:t>fidelidade contábil</w:t>
      </w:r>
      <w:r w:rsidRPr="006354BA">
        <w:rPr>
          <w:rFonts w:ascii="Lucida Sans Unicode" w:hAnsi="Lucida Sans Unicode" w:cs="Lucida Sans Unicode"/>
          <w:lang w:val="pt-BR"/>
        </w:rPr>
        <w:t xml:space="preserve"> da base patrimonial. A argumentação deve ser reforçada pela necessidade de uma </w:t>
      </w:r>
      <w:r w:rsidRPr="006354BA">
        <w:rPr>
          <w:rFonts w:ascii="Lucida Sans Unicode" w:hAnsi="Lucida Sans Unicode" w:cs="Lucida Sans Unicode"/>
          <w:b/>
          <w:lang w:val="pt-BR"/>
        </w:rPr>
        <w:t>intervenção contábil imediata</w:t>
      </w:r>
      <w:r w:rsidRPr="006354BA">
        <w:rPr>
          <w:rFonts w:ascii="Lucida Sans Unicode" w:hAnsi="Lucida Sans Unicode" w:cs="Lucida Sans Unicode"/>
          <w:lang w:val="pt-BR"/>
        </w:rPr>
        <w:t xml:space="preserve"> para isolar o val</w:t>
      </w:r>
      <w:r w:rsidRPr="006354BA">
        <w:rPr>
          <w:rFonts w:ascii="Lucida Sans Unicode" w:hAnsi="Lucida Sans Unicode" w:cs="Lucida Sans Unicode"/>
          <w:lang w:val="pt-BR"/>
        </w:rPr>
        <w:t>or, alocá-lo a uma conta transparente (e.g., Lucros Retidos Não Alocados) e corrigir a base de cálculo para o Ano 5. A estratégia é quântica, mas a contabilidade deve ser clássica: o balanço deve fechar [1].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X841e215da224ec1d6fd009df8003b43f911b1c2"/>
      <w:r w:rsidRPr="006354BA">
        <w:rPr>
          <w:rFonts w:ascii="Lucida Sans Unicode" w:hAnsi="Lucida Sans Unicode" w:cs="Lucida Sans Unicode"/>
          <w:lang w:val="pt-BR"/>
        </w:rPr>
        <w:t>3.2. Sustentação da Estratégia de Alto Crescimen</w:t>
      </w:r>
      <w:r w:rsidRPr="006354BA">
        <w:rPr>
          <w:rFonts w:ascii="Lucida Sans Unicode" w:hAnsi="Lucida Sans Unicode" w:cs="Lucida Sans Unicode"/>
          <w:lang w:val="pt-BR"/>
        </w:rPr>
        <w:t>to (FPS)</w:t>
      </w:r>
      <w:bookmarkEnd w:id="9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 xml:space="preserve">A criação do FPS é um movimento estratégico que alinha o Legado com o potencial de crescimento do mercado de </w:t>
      </w:r>
      <w:r w:rsidRPr="006354BA">
        <w:rPr>
          <w:rFonts w:ascii="Lucida Sans Unicode" w:hAnsi="Lucida Sans Unicode" w:cs="Lucida Sans Unicode"/>
          <w:i/>
          <w:lang w:val="pt-BR"/>
        </w:rPr>
        <w:t>Venture Capital</w:t>
      </w:r>
      <w:r w:rsidRPr="006354BA">
        <w:rPr>
          <w:rFonts w:ascii="Lucida Sans Unicode" w:hAnsi="Lucida Sans Unicode" w:cs="Lucida Sans Unicode"/>
          <w:lang w:val="pt-BR"/>
        </w:rPr>
        <w:t>.</w:t>
      </w:r>
    </w:p>
    <w:p w:rsidR="006354BA" w:rsidRDefault="00225148" w:rsidP="006354BA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Nova Argumentação:</w:t>
      </w:r>
      <w:r w:rsidRPr="006354BA">
        <w:rPr>
          <w:rFonts w:ascii="Lucida Sans Unicode" w:hAnsi="Lucida Sans Unicode" w:cs="Lucida Sans Unicode"/>
          <w:lang w:val="pt-BR"/>
        </w:rPr>
        <w:t xml:space="preserve"> O FPS é o </w:t>
      </w:r>
      <w:r w:rsidRPr="006354BA">
        <w:rPr>
          <w:rFonts w:ascii="Lucida Sans Unicode" w:hAnsi="Lucida Sans Unicode" w:cs="Lucida Sans Unicode"/>
          <w:b/>
          <w:lang w:val="pt-BR"/>
        </w:rPr>
        <w:t>catalisador de sinergia</w:t>
      </w:r>
      <w:r w:rsidRPr="006354BA">
        <w:rPr>
          <w:rFonts w:ascii="Lucida Sans Unicode" w:hAnsi="Lucida Sans Unicode" w:cs="Lucida Sans Unicode"/>
          <w:lang w:val="pt-BR"/>
        </w:rPr>
        <w:t xml:space="preserve"> do ecossistema. O investimento em empresas privadas deve ser prioriz</w:t>
      </w:r>
      <w:r w:rsidRPr="006354BA">
        <w:rPr>
          <w:rFonts w:ascii="Lucida Sans Unicode" w:hAnsi="Lucida Sans Unicode" w:cs="Lucida Sans Unicode"/>
          <w:lang w:val="pt-BR"/>
        </w:rPr>
        <w:t xml:space="preserve">ado para aquelas que complementam o Beyour Bank (Fintech), o FIQ (Imobiliário) e o Instituto Sinapse (Social). A argumentação deve ser complementada pela necessidade de um </w:t>
      </w:r>
      <w:r w:rsidRPr="006354BA">
        <w:rPr>
          <w:rFonts w:ascii="Lucida Sans Unicode" w:hAnsi="Lucida Sans Unicode" w:cs="Lucida Sans Unicode"/>
          <w:b/>
          <w:lang w:val="pt-BR"/>
        </w:rPr>
        <w:t>Protocolo de Exit</w:t>
      </w:r>
      <w:r w:rsidRPr="006354BA">
        <w:rPr>
          <w:rFonts w:ascii="Lucida Sans Unicode" w:hAnsi="Lucida Sans Unicode" w:cs="Lucida Sans Unicode"/>
          <w:lang w:val="pt-BR"/>
        </w:rPr>
        <w:t xml:space="preserve"> (saída do investimento) para o FPS, definindo claramente os gatilh</w:t>
      </w:r>
      <w:r w:rsidRPr="006354BA">
        <w:rPr>
          <w:rFonts w:ascii="Lucida Sans Unicode" w:hAnsi="Lucida Sans Unicode" w:cs="Lucida Sans Unicode"/>
          <w:lang w:val="pt-BR"/>
        </w:rPr>
        <w:t>os de venda (e.g., IPO, aquisição) para garantir que o capital de alto crescimento seja realizado e reinvestido no Fundo Secundário (FS), acelerando o crescimento do patrimônio total [2].</w:t>
      </w:r>
      <w:bookmarkStart w:id="10" w:name="inconsistência-do-fundo-secundário-fs"/>
    </w:p>
    <w:p w:rsidR="006354BA" w:rsidRPr="006354BA" w:rsidRDefault="006354BA" w:rsidP="006354BA">
      <w:pPr>
        <w:pStyle w:val="Corpodetexto"/>
        <w:rPr>
          <w:lang w:val="pt-BR"/>
        </w:rPr>
      </w:pP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lastRenderedPageBreak/>
        <w:t>3.3. Inconsistência do Fundo Secundário (FS)</w:t>
      </w:r>
      <w:bookmarkEnd w:id="10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O valor do Fundo Secundário (FS) permanece estático (R$ 249.690.000,00), ignorando o reinvestimento de 90% do lucro anual.</w:t>
      </w:r>
    </w:p>
    <w:p w:rsidR="0037528D" w:rsidRPr="006354BA" w:rsidRDefault="00225148" w:rsidP="006354BA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Nova Argumentação:</w:t>
      </w:r>
      <w:r w:rsidRPr="006354BA">
        <w:rPr>
          <w:rFonts w:ascii="Lucida Sans Unicode" w:hAnsi="Lucida Sans Unicode" w:cs="Lucida Sans Unicode"/>
          <w:lang w:val="pt-BR"/>
        </w:rPr>
        <w:t xml:space="preserve"> A manutenção do valor estático do FS é uma </w:t>
      </w:r>
      <w:r w:rsidRPr="006354BA">
        <w:rPr>
          <w:rFonts w:ascii="Lucida Sans Unicode" w:hAnsi="Lucida Sans Unicode" w:cs="Lucida Sans Unicode"/>
          <w:b/>
          <w:lang w:val="pt-BR"/>
        </w:rPr>
        <w:t>inconsistência conceitual</w:t>
      </w:r>
      <w:r w:rsidRPr="006354BA">
        <w:rPr>
          <w:rFonts w:ascii="Lucida Sans Unicode" w:hAnsi="Lucida Sans Unicode" w:cs="Lucida Sans Unicode"/>
          <w:lang w:val="pt-BR"/>
        </w:rPr>
        <w:t xml:space="preserve"> </w:t>
      </w:r>
      <w:r w:rsidRPr="006354BA">
        <w:rPr>
          <w:rFonts w:ascii="Lucida Sans Unicode" w:hAnsi="Lucida Sans Unicode" w:cs="Lucida Sans Unicode"/>
          <w:lang w:val="pt-BR"/>
        </w:rPr>
        <w:t xml:space="preserve">que desvirtua o papel do FS como motor de crescimento. O relatório deve exigir a </w:t>
      </w:r>
      <w:r w:rsidRPr="006354BA">
        <w:rPr>
          <w:rFonts w:ascii="Lucida Sans Unicode" w:hAnsi="Lucida Sans Unicode" w:cs="Lucida Sans Unicode"/>
          <w:b/>
          <w:lang w:val="pt-BR"/>
        </w:rPr>
        <w:t>revisão da distribuição do lucro</w:t>
      </w:r>
      <w:r w:rsidRPr="006354BA">
        <w:rPr>
          <w:rFonts w:ascii="Lucida Sans Unicode" w:hAnsi="Lucida Sans Unicode" w:cs="Lucida Sans Unicode"/>
          <w:lang w:val="pt-BR"/>
        </w:rPr>
        <w:t xml:space="preserve"> para que o FS reflita o reinvestimento de 90% do lucro anual (R$ 97,66 milhões), corrigindo o valor estático e permitindo a avaliação fiel da </w:t>
      </w:r>
      <w:r w:rsidRPr="006354BA">
        <w:rPr>
          <w:rFonts w:ascii="Lucida Sans Unicode" w:hAnsi="Lucida Sans Unicode" w:cs="Lucida Sans Unicode"/>
          <w:lang w:val="pt-BR"/>
        </w:rPr>
        <w:t>performance individual do fundo [3].</w:t>
      </w:r>
    </w:p>
    <w:p w:rsidR="0037528D" w:rsidRPr="006354BA" w:rsidRDefault="00225148" w:rsidP="006354BA">
      <w:pPr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1" w:name="X44458334e241930fe9968c8e1712486aceb9612"/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6354BA" w:rsidRDefault="006354BA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2" w:name="_GoBack"/>
      <w:bookmarkEnd w:id="12"/>
      <w:r w:rsidRPr="006354BA">
        <w:rPr>
          <w:rFonts w:ascii="Lucida Sans Unicode" w:hAnsi="Lucida Sans Unicode" w:cs="Lucida Sans Unicode"/>
          <w:lang w:val="pt-BR"/>
        </w:rPr>
        <w:lastRenderedPageBreak/>
        <w:t>IV. Balanço Financeiro e Patrimonial - Ano 4</w:t>
      </w:r>
      <w:bookmarkEnd w:id="11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lang w:val="pt-BR"/>
        </w:rPr>
        <w:t>O Balanço Patrimonial do Ano 4 reflete a alocação para o FPS e o crescimento do Patrimônio Líquido.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6354BA">
        <w:rPr>
          <w:rFonts w:ascii="Lucida Sans Unicode" w:hAnsi="Lucida Sans Unicode" w:cs="Lucida Sans Unicode"/>
        </w:rPr>
        <w:t>4.1. Premissas do Balanço</w:t>
      </w:r>
      <w:bookmarkEnd w:id="13"/>
    </w:p>
    <w:p w:rsidR="0037528D" w:rsidRPr="006354BA" w:rsidRDefault="00225148" w:rsidP="006354B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Patrimônio Líquido (PL) do Ano 3:</w:t>
      </w:r>
      <w:r w:rsidRPr="006354BA">
        <w:rPr>
          <w:rFonts w:ascii="Lucida Sans Unicode" w:hAnsi="Lucida Sans Unicode" w:cs="Lucida Sans Unicode"/>
          <w:lang w:val="pt-BR"/>
        </w:rPr>
        <w:t xml:space="preserve"> R$ 1.332.353</w:t>
      </w:r>
      <w:r w:rsidRPr="006354BA">
        <w:rPr>
          <w:rFonts w:ascii="Lucida Sans Unicode" w:hAnsi="Lucida Sans Unicode" w:cs="Lucida Sans Unicode"/>
          <w:lang w:val="pt-BR"/>
        </w:rPr>
        <w:t>.329,01 (Ajustado).</w:t>
      </w:r>
    </w:p>
    <w:p w:rsidR="0037528D" w:rsidRPr="006354BA" w:rsidRDefault="00225148" w:rsidP="006354B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Crescimento Projetado (2030):</w:t>
      </w:r>
      <w:r w:rsidRPr="006354BA">
        <w:rPr>
          <w:rFonts w:ascii="Lucida Sans Unicode" w:hAnsi="Lucida Sans Unicode" w:cs="Lucida Sans Unicode"/>
          <w:lang w:val="pt-BR"/>
        </w:rPr>
        <w:t xml:space="preserve"> R$ 108.512.788,08 (Lucros Acumulados).</w:t>
      </w:r>
    </w:p>
    <w:p w:rsidR="0037528D" w:rsidRPr="006354BA" w:rsidRDefault="00225148" w:rsidP="006354B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Patrimônio Líquido (PL) do Ano 4:</w:t>
      </w:r>
      <w:r w:rsidRPr="006354BA">
        <w:rPr>
          <w:rFonts w:ascii="Lucida Sans Unicode" w:hAnsi="Lucida Sans Unicode" w:cs="Lucida Sans Unicode"/>
          <w:lang w:val="pt-BR"/>
        </w:rPr>
        <w:t xml:space="preserve"> R$ 1.440.866.117,09 (Ativo Total - Passivo).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4" w:name="X36824fbfab2fecf9dada59626447b322a51139d"/>
      <w:r w:rsidRPr="006354BA">
        <w:rPr>
          <w:rFonts w:ascii="Lucida Sans Unicode" w:hAnsi="Lucida Sans Unicode" w:cs="Lucida Sans Unicode"/>
          <w:lang w:val="pt-BR"/>
        </w:rPr>
        <w:t>4.2. Balanço Patrimonial Consolidado (Dezembro de 2030)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67"/>
        <w:gridCol w:w="4674"/>
        <w:gridCol w:w="2132"/>
        <w:gridCol w:w="2343"/>
      </w:tblGrid>
      <w:tr w:rsidR="0037528D" w:rsidRPr="006354B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</m:t>
              </m:r>
              <m:r>
                <w:rPr>
                  <w:rFonts w:ascii="Cambria Math" w:hAnsi="Cambria Math" w:cs="Lucida Sans Unicode"/>
                </w:rPr>
                <m:t>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6354BA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lastRenderedPageBreak/>
              <w:t>Fundo Perpétuo (Endowment)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Lucros Acumulados (Ano 1, 2, 3 e 4)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463.366.117,09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1.440.866.117,09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FPS (Novo Fundo)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</w:rPr>
              <w:t>10.851.278,76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1.445.866.117,09</w:t>
            </w: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6354BA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1.224.466.278,76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37528D" w:rsidRPr="006354BA"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37528D" w:rsidRPr="006354BA" w:rsidRDefault="00225148" w:rsidP="006354B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6354BA">
              <w:rPr>
                <w:rFonts w:ascii="Lucida Sans Unicode" w:hAnsi="Lucida Sans Unicode" w:cs="Lucida Sans Unicode"/>
                <w:b/>
              </w:rPr>
              <w:t>1.256.836.329,28</w:t>
            </w: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37528D" w:rsidRPr="006354BA" w:rsidRDefault="0037528D" w:rsidP="006354B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37528D" w:rsidRPr="006354BA" w:rsidRDefault="00225148" w:rsidP="006354B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i/>
          <w:lang w:val="pt-BR"/>
        </w:rPr>
        <w:t xml:space="preserve">Nota: O balanço foi </w:t>
      </w:r>
      <w:r w:rsidRPr="006354BA">
        <w:rPr>
          <w:rFonts w:ascii="Lucida Sans Unicode" w:hAnsi="Lucida Sans Unicode" w:cs="Lucida Sans Unicode"/>
          <w:i/>
          <w:lang w:val="pt-BR"/>
        </w:rPr>
        <w:t>ajustado para refletir a alocação de R$ 10,85 milhões para o FPS e o lucro anual de R$ 108,5 milhões, resultando em um Patrimônio Líquido de R$ 1.440.866.117,09.</w:t>
      </w:r>
    </w:p>
    <w:p w:rsidR="0037528D" w:rsidRPr="006354BA" w:rsidRDefault="00225148" w:rsidP="006354B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6354BA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Divergências/Anomalias:</w:t>
      </w:r>
      <w:r w:rsidRPr="006354BA">
        <w:rPr>
          <w:rFonts w:ascii="Lucida Sans Unicode" w:hAnsi="Lucida Sans Unicode" w:cs="Lucida Sans Unicode"/>
          <w:lang w:val="pt-BR"/>
        </w:rPr>
        <w:t xml:space="preserve"> A principal anomalia é a </w:t>
      </w:r>
      <w:r w:rsidRPr="006354BA">
        <w:rPr>
          <w:rFonts w:ascii="Lucida Sans Unicode" w:hAnsi="Lucida Sans Unicode" w:cs="Lucida Sans Unicode"/>
          <w:b/>
          <w:lang w:val="pt-BR"/>
        </w:rPr>
        <w:t>inconsistência do FS</w:t>
      </w:r>
      <w:r w:rsidRPr="006354BA">
        <w:rPr>
          <w:rFonts w:ascii="Lucida Sans Unicode" w:hAnsi="Lucida Sans Unicode" w:cs="Lucida Sans Unicode"/>
          <w:lang w:val="pt-BR"/>
        </w:rPr>
        <w:t xml:space="preserve"> e a </w:t>
      </w:r>
      <w:r w:rsidRPr="006354BA">
        <w:rPr>
          <w:rFonts w:ascii="Lucida Sans Unicode" w:hAnsi="Lucida Sans Unicode" w:cs="Lucida Sans Unicode"/>
          <w:b/>
          <w:lang w:val="pt-BR"/>
        </w:rPr>
        <w:t>anomalia contábil de R$ 123,7 milhões</w:t>
      </w:r>
      <w:r w:rsidRPr="006354BA">
        <w:rPr>
          <w:rFonts w:ascii="Lucida Sans Unicode" w:hAnsi="Lucida Sans Unicode" w:cs="Lucida Sans Unicode"/>
          <w:lang w:val="pt-BR"/>
        </w:rPr>
        <w:t xml:space="preserve"> (não refletida no balanço acima, mas presente na base de cálculo do documento original). O balanço ajustado reflete o crescimento de R$ 108,5 milhões (lucro anual) e a alocação de R$ 10,85 milh</w:t>
      </w:r>
      <w:r w:rsidRPr="006354BA">
        <w:rPr>
          <w:rFonts w:ascii="Lucida Sans Unicode" w:hAnsi="Lucida Sans Unicode" w:cs="Lucida Sans Unicode"/>
          <w:lang w:val="pt-BR"/>
        </w:rPr>
        <w:t>ões para o FPS.</w:t>
      </w:r>
    </w:p>
    <w:p w:rsidR="0037528D" w:rsidRPr="006354BA" w:rsidRDefault="00225148" w:rsidP="006354B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6354BA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6354BA">
        <w:rPr>
          <w:rFonts w:ascii="Lucida Sans Unicode" w:hAnsi="Lucida Sans Unicode" w:cs="Lucida Sans Unicode"/>
          <w:lang w:val="pt-BR"/>
        </w:rPr>
        <w:t xml:space="preserve"> O Patrimônio Líquido cresceu de R$ 1.332,35 milhões (Ano 3) para </w:t>
      </w:r>
      <w:r w:rsidRPr="006354BA">
        <w:rPr>
          <w:rFonts w:ascii="Lucida Sans Unicode" w:hAnsi="Lucida Sans Unicode" w:cs="Lucida Sans Unicode"/>
          <w:b/>
          <w:lang w:val="pt-BR"/>
        </w:rPr>
        <w:t>R$ 1.440,86 milhões</w:t>
      </w:r>
      <w:r w:rsidRPr="006354BA">
        <w:rPr>
          <w:rFonts w:ascii="Lucida Sans Unicode" w:hAnsi="Lucida Sans Unicode" w:cs="Lucida Sans Unicode"/>
          <w:lang w:val="pt-BR"/>
        </w:rPr>
        <w:t xml:space="preserve"> (Ano 4), um aumento de </w:t>
      </w:r>
      <w:r w:rsidRPr="006354BA">
        <w:rPr>
          <w:rFonts w:ascii="Lucida Sans Unicode" w:hAnsi="Lucida Sans Unicode" w:cs="Lucida Sans Unicode"/>
          <w:b/>
          <w:lang w:val="pt-BR"/>
        </w:rPr>
        <w:t>8,14%</w:t>
      </w:r>
      <w:r w:rsidRPr="006354BA">
        <w:rPr>
          <w:rFonts w:ascii="Lucida Sans Unicode" w:hAnsi="Lucida Sans Unicode" w:cs="Lucida Sans Unicode"/>
          <w:lang w:val="pt-BR"/>
        </w:rPr>
        <w:t>. Este crescimento é consistente com a estratégia de financiar a diversificação (F</w:t>
      </w:r>
      <w:r w:rsidRPr="006354BA">
        <w:rPr>
          <w:rFonts w:ascii="Lucida Sans Unicode" w:hAnsi="Lucida Sans Unicode" w:cs="Lucida Sans Unicode"/>
          <w:lang w:val="pt-BR"/>
        </w:rPr>
        <w:t>PS) com o lucro anual, mantendo a base de capital dos fundos existentes.</w:t>
      </w:r>
    </w:p>
    <w:p w:rsidR="0037528D" w:rsidRPr="006354BA" w:rsidRDefault="00225148" w:rsidP="006354BA">
      <w:pPr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37528D" w:rsidRPr="006354BA" w:rsidRDefault="00225148" w:rsidP="006354B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6" w:name="v.-referências"/>
      <w:r w:rsidRPr="006354BA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37528D" w:rsidRPr="006354BA" w:rsidRDefault="00225148" w:rsidP="006354BA">
      <w:pPr>
        <w:pStyle w:val="FirstParagraph"/>
        <w:jc w:val="both"/>
        <w:rPr>
          <w:rFonts w:ascii="Lucida Sans Unicode" w:hAnsi="Lucida Sans Unicode" w:cs="Lucida Sans Unicode"/>
        </w:rPr>
      </w:pPr>
      <w:r w:rsidRPr="006354BA">
        <w:rPr>
          <w:rFonts w:ascii="Lucida Sans Unicode" w:hAnsi="Lucida Sans Unicode" w:cs="Lucida Sans Unicode"/>
          <w:lang w:val="pt-BR"/>
        </w:rPr>
        <w:t xml:space="preserve">[1] COSO. </w:t>
      </w:r>
      <w:r w:rsidRPr="006354BA">
        <w:rPr>
          <w:rFonts w:ascii="Lucida Sans Unicode" w:hAnsi="Lucida Sans Unicode" w:cs="Lucida Sans Unicode"/>
          <w:i/>
          <w:lang w:val="pt-BR"/>
        </w:rPr>
        <w:t>Internal Control—Integrated Framework</w:t>
      </w:r>
      <w:r w:rsidRPr="006354BA">
        <w:rPr>
          <w:rFonts w:ascii="Lucida Sans Unicode" w:hAnsi="Lucida Sans Unicode" w:cs="Lucida Sans Unicode"/>
          <w:lang w:val="pt-BR"/>
        </w:rPr>
        <w:t xml:space="preserve">. Disponível em: [URL do COSO]. </w:t>
      </w:r>
      <w:r w:rsidRPr="006354BA">
        <w:rPr>
          <w:rFonts w:ascii="Lucida Sans Unicode" w:hAnsi="Lucida Sans Unicode" w:cs="Lucida Sans Unicode"/>
        </w:rPr>
        <w:t xml:space="preserve">[2] Sahlman, W. A. (1997). </w:t>
      </w:r>
      <w:r w:rsidRPr="006354BA">
        <w:rPr>
          <w:rFonts w:ascii="Lucida Sans Unicode" w:hAnsi="Lucida Sans Unicode" w:cs="Lucida Sans Unicode"/>
          <w:i/>
        </w:rPr>
        <w:t>How to Write a Great Business Plan</w:t>
      </w:r>
      <w:r w:rsidRPr="006354BA">
        <w:rPr>
          <w:rFonts w:ascii="Lucida Sans Unicode" w:hAnsi="Lucida Sans Unicode" w:cs="Lucida Sans Unicode"/>
        </w:rPr>
        <w:t>. Harvard Business Review.</w:t>
      </w:r>
      <w:r w:rsidRPr="006354BA">
        <w:rPr>
          <w:rFonts w:ascii="Lucida Sans Unicode" w:hAnsi="Lucida Sans Unicode" w:cs="Lucida Sans Unicode"/>
        </w:rPr>
        <w:t xml:space="preserve"> [3] Campden Wealth. </w:t>
      </w:r>
      <w:r w:rsidRPr="006354BA">
        <w:rPr>
          <w:rFonts w:ascii="Lucida Sans Unicode" w:hAnsi="Lucida Sans Unicode" w:cs="Lucida Sans Unicode"/>
          <w:i/>
        </w:rPr>
        <w:t>The Ultra-High Net Worth Investing Report 2023</w:t>
      </w:r>
      <w:r w:rsidRPr="006354BA">
        <w:rPr>
          <w:rFonts w:ascii="Lucida Sans Unicode" w:hAnsi="Lucida Sans Unicode" w:cs="Lucida Sans Unicode"/>
        </w:rPr>
        <w:t>. Disponível em: [URL de Campden Wealth].</w:t>
      </w:r>
    </w:p>
    <w:sectPr w:rsidR="0037528D" w:rsidRPr="006354BA" w:rsidSect="006354BA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148" w:rsidRDefault="00225148">
      <w:pPr>
        <w:spacing w:after="0"/>
      </w:pPr>
      <w:r>
        <w:separator/>
      </w:r>
    </w:p>
  </w:endnote>
  <w:endnote w:type="continuationSeparator" w:id="0">
    <w:p w:rsidR="00225148" w:rsidRDefault="002251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148" w:rsidRDefault="00225148">
      <w:r>
        <w:separator/>
      </w:r>
    </w:p>
  </w:footnote>
  <w:footnote w:type="continuationSeparator" w:id="0">
    <w:p w:rsidR="00225148" w:rsidRDefault="00225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39C0EC8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AB401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225148"/>
    <w:rsid w:val="0037528D"/>
    <w:rsid w:val="004E29B3"/>
    <w:rsid w:val="00590D07"/>
    <w:rsid w:val="006354BA"/>
    <w:rsid w:val="00784D58"/>
    <w:rsid w:val="008D6863"/>
    <w:rsid w:val="00B86B75"/>
    <w:rsid w:val="00BB512F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DD72D6-7E75-42A4-9F87-A05EA06F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1198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2025-12-11T20:57:00Z</dcterms:created>
  <dcterms:modified xsi:type="dcterms:W3CDTF">2025-12-12T14:32:00Z</dcterms:modified>
</cp:coreProperties>
</file>