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B41" w:rsidRPr="00C72EFD" w:rsidRDefault="00BE27FA">
      <w:pPr>
        <w:pStyle w:val="Ttulo1"/>
        <w:rPr>
          <w:rFonts w:ascii="Lucida Sans Unicode" w:hAnsi="Lucida Sans Unicode" w:cs="Lucida Sans Unicode"/>
          <w:lang w:val="pt-BR"/>
        </w:rPr>
      </w:pPr>
      <w:bookmarkStart w:id="0" w:name="Xdd417752f5a828dca2858353e56520ef2a2f057"/>
      <w:r w:rsidRPr="00C72EFD">
        <w:rPr>
          <w:rFonts w:ascii="Lucida Sans Unicode" w:hAnsi="Lucida Sans Unicode" w:cs="Lucida Sans Unicode"/>
          <w:lang w:val="pt-BR"/>
        </w:rPr>
        <w:t>Relatório de Anális</w:t>
      </w:r>
      <w:bookmarkStart w:id="1" w:name="_GoBack"/>
      <w:bookmarkEnd w:id="1"/>
      <w:r w:rsidRPr="00C72EFD">
        <w:rPr>
          <w:rFonts w:ascii="Lucida Sans Unicode" w:hAnsi="Lucida Sans Unicode" w:cs="Lucida Sans Unicode"/>
          <w:lang w:val="pt-BR"/>
        </w:rPr>
        <w:t>e Crítica e Balanço Patrimonial - Ano 1</w:t>
      </w:r>
      <w:bookmarkEnd w:id="0"/>
    </w:p>
    <w:p w:rsidR="00586B41" w:rsidRPr="00C72EFD" w:rsidRDefault="00BE27FA">
      <w:pPr>
        <w:pStyle w:val="Ttulo2"/>
        <w:rPr>
          <w:rFonts w:ascii="Lucida Sans Unicode" w:hAnsi="Lucida Sans Unicode" w:cs="Lucida Sans Unicode"/>
          <w:lang w:val="pt-BR"/>
        </w:rPr>
      </w:pPr>
      <w:bookmarkStart w:id="2" w:name="projeto-legado-lucas-jan---dez-2027"/>
      <w:r w:rsidRPr="00C72EFD">
        <w:rPr>
          <w:rFonts w:ascii="Lucida Sans Unicode" w:hAnsi="Lucida Sans Unicode" w:cs="Lucida Sans Unicode"/>
          <w:lang w:val="pt-BR"/>
        </w:rPr>
        <w:t>Projeto “Legado Lucas” (Jan - Dez 2027)</w:t>
      </w:r>
      <w:bookmarkEnd w:id="2"/>
    </w:p>
    <w:p w:rsidR="00586B41" w:rsidRPr="00C72EFD" w:rsidRDefault="00BE27FA">
      <w:pPr>
        <w:pStyle w:val="FirstParagraph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b/>
          <w:lang w:val="pt-BR"/>
        </w:rPr>
        <w:t>Autor:</w:t>
      </w:r>
      <w:r w:rsidRPr="00C72EFD">
        <w:rPr>
          <w:rFonts w:ascii="Lucida Sans Unicode" w:hAnsi="Lucida Sans Unicode" w:cs="Lucida Sans Unicode"/>
          <w:lang w:val="pt-BR"/>
        </w:rPr>
        <w:t xml:space="preserve"> Manus AI </w:t>
      </w:r>
      <w:r w:rsidRPr="00C72EFD">
        <w:rPr>
          <w:rFonts w:ascii="Lucida Sans Unicode" w:hAnsi="Lucida Sans Unicode" w:cs="Lucida Sans Unicode"/>
          <w:b/>
          <w:lang w:val="pt-BR"/>
        </w:rPr>
        <w:t>Data:</w:t>
      </w:r>
      <w:r w:rsidRPr="00C72EFD">
        <w:rPr>
          <w:rFonts w:ascii="Lucida Sans Unicode" w:hAnsi="Lucida Sans Unicode" w:cs="Lucida Sans Unicode"/>
          <w:lang w:val="pt-BR"/>
        </w:rPr>
        <w:t xml:space="preserve"> 11 de Dezembro de 2025 </w:t>
      </w:r>
      <w:r w:rsidRPr="00C72EFD">
        <w:rPr>
          <w:rFonts w:ascii="Lucida Sans Unicode" w:hAnsi="Lucida Sans Unicode" w:cs="Lucida Sans Unicode"/>
          <w:b/>
          <w:lang w:val="pt-BR"/>
        </w:rPr>
        <w:t>Versão:</w:t>
      </w:r>
      <w:r w:rsidRPr="00C72EFD">
        <w:rPr>
          <w:rFonts w:ascii="Lucida Sans Unicode" w:hAnsi="Lucida Sans Unicode" w:cs="Lucida Sans Unicode"/>
          <w:lang w:val="pt-BR"/>
        </w:rPr>
        <w:t xml:space="preserve"> 1.0</w:t>
      </w:r>
    </w:p>
    <w:p w:rsidR="00586B41" w:rsidRPr="00C72EFD" w:rsidRDefault="00BE27FA">
      <w:pPr>
        <w:rPr>
          <w:rFonts w:ascii="Lucida Sans Unicode" w:hAnsi="Lucida Sans Unicode" w:cs="Lucida Sans Unicode"/>
        </w:rPr>
      </w:pPr>
      <w:r w:rsidRPr="00C72EFD">
        <w:rPr>
          <w:rFonts w:ascii="Lucida Sans Unicode" w:hAnsi="Lucida Sans Unicode" w:cs="Lucida Sans Unicode"/>
        </w:rPr>
        <w:pict>
          <v:rect id="_x0000_i1025" style="width:0;height:1.5pt" o:hralign="center" o:hrstd="t" o:hr="t"/>
        </w:pict>
      </w:r>
    </w:p>
    <w:p w:rsidR="00586B41" w:rsidRPr="00C72EFD" w:rsidRDefault="00BE27FA">
      <w:pPr>
        <w:pStyle w:val="Ttulo2"/>
        <w:rPr>
          <w:rFonts w:ascii="Lucida Sans Unicode" w:hAnsi="Lucida Sans Unicode" w:cs="Lucida Sans Unicode"/>
          <w:lang w:val="pt-BR"/>
        </w:rPr>
      </w:pPr>
      <w:bookmarkStart w:id="3" w:name="i.-resumo-executivo"/>
      <w:r w:rsidRPr="00C72EFD">
        <w:rPr>
          <w:rFonts w:ascii="Lucida Sans Unicode" w:hAnsi="Lucida Sans Unicode" w:cs="Lucida Sans Unicode"/>
          <w:lang w:val="pt-BR"/>
        </w:rPr>
        <w:t>I. Resumo Executivo</w:t>
      </w:r>
      <w:bookmarkEnd w:id="3"/>
    </w:p>
    <w:p w:rsidR="00586B41" w:rsidRPr="00C72EFD" w:rsidRDefault="00BE27FA">
      <w:pPr>
        <w:pStyle w:val="FirstParagraph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lang w:val="pt-BR"/>
        </w:rPr>
        <w:t xml:space="preserve">O </w:t>
      </w:r>
      <w:r w:rsidRPr="00C72EFD">
        <w:rPr>
          <w:rFonts w:ascii="Lucida Sans Unicode" w:hAnsi="Lucida Sans Unicode" w:cs="Lucida Sans Unicode"/>
          <w:b/>
          <w:lang w:val="pt-BR"/>
        </w:rPr>
        <w:t>Ano 1</w:t>
      </w:r>
      <w:r w:rsidRPr="00C72EFD">
        <w:rPr>
          <w:rFonts w:ascii="Lucida Sans Unicode" w:hAnsi="Lucida Sans Unicode" w:cs="Lucida Sans Unicode"/>
          <w:lang w:val="pt-BR"/>
        </w:rPr>
        <w:t xml:space="preserve"> do Projeto “Legado Lucas” </w:t>
      </w:r>
      <w:r w:rsidRPr="00C72EFD">
        <w:rPr>
          <w:rFonts w:ascii="Lucida Sans Unicode" w:hAnsi="Lucida Sans Unicode" w:cs="Lucida Sans Unicode"/>
          <w:lang w:val="pt-BR"/>
        </w:rPr>
        <w:t xml:space="preserve">(Janeiro a Dezembro de 2027) foi marcado pela transição da fase de estruturação (Ano 0) para a fase de </w:t>
      </w:r>
      <w:r w:rsidRPr="00C72EFD">
        <w:rPr>
          <w:rFonts w:ascii="Lucida Sans Unicode" w:hAnsi="Lucida Sans Unicode" w:cs="Lucida Sans Unicode"/>
          <w:b/>
          <w:lang w:val="pt-BR"/>
        </w:rPr>
        <w:t>alocação agressiva de capital</w:t>
      </w:r>
      <w:r w:rsidRPr="00C72EFD">
        <w:rPr>
          <w:rFonts w:ascii="Lucida Sans Unicode" w:hAnsi="Lucida Sans Unicode" w:cs="Lucida Sans Unicode"/>
          <w:lang w:val="pt-BR"/>
        </w:rPr>
        <w:t xml:space="preserve">. A estratégia foi revisada para um </w:t>
      </w:r>
      <w:r w:rsidRPr="00C72EFD">
        <w:rPr>
          <w:rFonts w:ascii="Lucida Sans Unicode" w:hAnsi="Lucida Sans Unicode" w:cs="Lucida Sans Unicode"/>
          <w:b/>
          <w:lang w:val="pt-BR"/>
        </w:rPr>
        <w:t>Target Return de 20,00% a.a.</w:t>
      </w:r>
      <w:r w:rsidRPr="00C72EFD">
        <w:rPr>
          <w:rFonts w:ascii="Lucida Sans Unicode" w:hAnsi="Lucida Sans Unicode" w:cs="Lucida Sans Unicode"/>
          <w:lang w:val="pt-BR"/>
        </w:rPr>
        <w:t>, com o objetivo de acelerar o crescimento patrimonial e alc</w:t>
      </w:r>
      <w:r w:rsidRPr="00C72EFD">
        <w:rPr>
          <w:rFonts w:ascii="Lucida Sans Unicode" w:hAnsi="Lucida Sans Unicode" w:cs="Lucida Sans Unicode"/>
          <w:lang w:val="pt-BR"/>
        </w:rPr>
        <w:t>ançar a meta de R$ 12,5 bilhões em 10 anos.</w:t>
      </w:r>
    </w:p>
    <w:p w:rsidR="00586B41" w:rsidRPr="00C72EFD" w:rsidRDefault="00BE27FA">
      <w:pPr>
        <w:pStyle w:val="Corpodetexto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lang w:val="pt-BR"/>
        </w:rPr>
        <w:t xml:space="preserve">A espinha dorsal da gestão financeira passou a ser a </w:t>
      </w:r>
      <w:r w:rsidRPr="00C72EFD">
        <w:rPr>
          <w:rFonts w:ascii="Lucida Sans Unicode" w:hAnsi="Lucida Sans Unicode" w:cs="Lucida Sans Unicode"/>
          <w:b/>
          <w:lang w:val="pt-BR"/>
        </w:rPr>
        <w:t>Estrutura Dual de Fundos</w:t>
      </w:r>
      <w:r w:rsidRPr="00C72EFD">
        <w:rPr>
          <w:rFonts w:ascii="Lucida Sans Unicode" w:hAnsi="Lucida Sans Unicode" w:cs="Lucida Sans Unicode"/>
          <w:lang w:val="pt-BR"/>
        </w:rPr>
        <w:t xml:space="preserve">, que segrega o capital em: 1. </w:t>
      </w:r>
      <w:r w:rsidRPr="00C72EFD">
        <w:rPr>
          <w:rFonts w:ascii="Lucida Sans Unicode" w:hAnsi="Lucida Sans Unicode" w:cs="Lucida Sans Unicode"/>
          <w:b/>
          <w:lang w:val="pt-BR"/>
        </w:rPr>
        <w:t>Fundo Principal (FP):</w:t>
      </w:r>
      <w:r w:rsidRPr="00C72EFD">
        <w:rPr>
          <w:rFonts w:ascii="Lucida Sans Unicode" w:hAnsi="Lucida Sans Unicode" w:cs="Lucida Sans Unicode"/>
          <w:lang w:val="pt-BR"/>
        </w:rPr>
        <w:t xml:space="preserve"> Capital de preservação (R$ 850 milhões), alocado em ativos conservadores (Títulos </w:t>
      </w:r>
      <w:r w:rsidRPr="00C72EFD">
        <w:rPr>
          <w:rFonts w:ascii="Lucida Sans Unicode" w:hAnsi="Lucida Sans Unicode" w:cs="Lucida Sans Unicode"/>
          <w:lang w:val="pt-BR"/>
        </w:rPr>
        <w:t xml:space="preserve">do Tesouro EUA, Ouro Físico) para garantir a liquidez e a segurança do capital principal. 2. </w:t>
      </w:r>
      <w:r w:rsidRPr="00C72EFD">
        <w:rPr>
          <w:rFonts w:ascii="Lucida Sans Unicode" w:hAnsi="Lucida Sans Unicode" w:cs="Lucida Sans Unicode"/>
          <w:b/>
          <w:lang w:val="pt-BR"/>
        </w:rPr>
        <w:t>Fundo Secundário (FS):</w:t>
      </w:r>
      <w:r w:rsidRPr="00C72EFD">
        <w:rPr>
          <w:rFonts w:ascii="Lucida Sans Unicode" w:hAnsi="Lucida Sans Unicode" w:cs="Lucida Sans Unicode"/>
          <w:lang w:val="pt-BR"/>
        </w:rPr>
        <w:t xml:space="preserve"> Capital de alavancagem, onde 100% dos resultados mensais são reinvestidos em Renda Variável (RV) de alta performance (Ações Growth, Venture </w:t>
      </w:r>
      <w:r w:rsidRPr="00C72EFD">
        <w:rPr>
          <w:rFonts w:ascii="Lucida Sans Unicode" w:hAnsi="Lucida Sans Unicode" w:cs="Lucida Sans Unicode"/>
          <w:lang w:val="pt-BR"/>
        </w:rPr>
        <w:t>Capital, Criptoativos).</w:t>
      </w:r>
    </w:p>
    <w:p w:rsidR="00586B41" w:rsidRPr="00C72EFD" w:rsidRDefault="00BE27FA">
      <w:pPr>
        <w:pStyle w:val="Corpodetexto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lang w:val="pt-BR"/>
        </w:rPr>
        <w:t xml:space="preserve">O Patrimônio Total Consolidado ao final do Ano 1 é projetado em </w:t>
      </w:r>
      <w:r w:rsidRPr="00C72EFD">
        <w:rPr>
          <w:rFonts w:ascii="Lucida Sans Unicode" w:hAnsi="Lucida Sans Unicode" w:cs="Lucida Sans Unicode"/>
          <w:b/>
          <w:lang w:val="pt-BR"/>
        </w:rPr>
        <w:t>R$ 1.223.140.000,00</w:t>
      </w:r>
      <w:r w:rsidRPr="00C72EFD">
        <w:rPr>
          <w:rFonts w:ascii="Lucida Sans Unicode" w:hAnsi="Lucida Sans Unicode" w:cs="Lucida Sans Unicode"/>
          <w:lang w:val="pt-BR"/>
        </w:rPr>
        <w:t xml:space="preserve">, representando um crescimento de </w:t>
      </w:r>
      <w:r w:rsidRPr="00C72EFD">
        <w:rPr>
          <w:rFonts w:ascii="Lucida Sans Unicode" w:hAnsi="Lucida Sans Unicode" w:cs="Lucida Sans Unicode"/>
          <w:b/>
          <w:lang w:val="pt-BR"/>
        </w:rPr>
        <w:t>R$ 245.640.000,00</w:t>
      </w:r>
      <w:r w:rsidRPr="00C72EFD">
        <w:rPr>
          <w:rFonts w:ascii="Lucida Sans Unicode" w:hAnsi="Lucida Sans Unicode" w:cs="Lucida Sans Unicode"/>
          <w:lang w:val="pt-BR"/>
        </w:rPr>
        <w:t xml:space="preserve"> (Lucros Acumulados) sobre o capital inicial ajustado. O sucesso desta fase depende da estrita ade</w:t>
      </w:r>
      <w:r w:rsidRPr="00C72EFD">
        <w:rPr>
          <w:rFonts w:ascii="Lucida Sans Unicode" w:hAnsi="Lucida Sans Unicode" w:cs="Lucida Sans Unicode"/>
          <w:lang w:val="pt-BR"/>
        </w:rPr>
        <w:t xml:space="preserve">rência ao </w:t>
      </w:r>
      <w:r w:rsidRPr="00C72EFD">
        <w:rPr>
          <w:rFonts w:ascii="Lucida Sans Unicode" w:hAnsi="Lucida Sans Unicode" w:cs="Lucida Sans Unicode"/>
          <w:b/>
          <w:lang w:val="pt-BR"/>
        </w:rPr>
        <w:t>Protocolo de Liquidez Forçada (PLIF)</w:t>
      </w:r>
      <w:r w:rsidRPr="00C72EFD">
        <w:rPr>
          <w:rFonts w:ascii="Lucida Sans Unicode" w:hAnsi="Lucida Sans Unicode" w:cs="Lucida Sans Unicode"/>
          <w:lang w:val="pt-BR"/>
        </w:rPr>
        <w:t>, o mecanismo de defesa contra a alta volatilidade inerente à alocação agressiva.</w:t>
      </w:r>
    </w:p>
    <w:p w:rsidR="00586B41" w:rsidRPr="00C72EFD" w:rsidRDefault="00BE27FA">
      <w:pPr>
        <w:rPr>
          <w:rFonts w:ascii="Lucida Sans Unicode" w:hAnsi="Lucida Sans Unicode" w:cs="Lucida Sans Unicode"/>
        </w:rPr>
      </w:pPr>
      <w:r w:rsidRPr="00C72EFD">
        <w:rPr>
          <w:rFonts w:ascii="Lucida Sans Unicode" w:hAnsi="Lucida Sans Unicode" w:cs="Lucida Sans Unicode"/>
        </w:rPr>
        <w:pict>
          <v:rect id="_x0000_i1026" style="width:0;height:1.5pt" o:hralign="center" o:hrstd="t" o:hr="t"/>
        </w:pict>
      </w:r>
    </w:p>
    <w:p w:rsidR="00C72EFD" w:rsidRDefault="00C72EFD">
      <w:pPr>
        <w:pStyle w:val="Ttulo2"/>
        <w:rPr>
          <w:rFonts w:ascii="Lucida Sans Unicode" w:hAnsi="Lucida Sans Unicode" w:cs="Lucida Sans Unicode"/>
          <w:lang w:val="pt-BR"/>
        </w:rPr>
      </w:pPr>
      <w:bookmarkStart w:id="4" w:name="X8b68b5db5d327ae451b5f4e8ab028eef08bff24"/>
    </w:p>
    <w:p w:rsidR="00C72EFD" w:rsidRDefault="00C72EFD">
      <w:pPr>
        <w:pStyle w:val="Ttulo2"/>
        <w:rPr>
          <w:rFonts w:ascii="Lucida Sans Unicode" w:hAnsi="Lucida Sans Unicode" w:cs="Lucida Sans Unicode"/>
          <w:lang w:val="pt-BR"/>
        </w:rPr>
      </w:pPr>
    </w:p>
    <w:p w:rsidR="00C72EFD" w:rsidRDefault="00C72EFD" w:rsidP="00C72EFD">
      <w:pPr>
        <w:pStyle w:val="Corpodetexto"/>
        <w:rPr>
          <w:lang w:val="pt-BR"/>
        </w:rPr>
      </w:pPr>
    </w:p>
    <w:p w:rsidR="00C72EFD" w:rsidRDefault="00C72EFD" w:rsidP="00C72EFD">
      <w:pPr>
        <w:pStyle w:val="Corpodetexto"/>
        <w:rPr>
          <w:lang w:val="pt-BR"/>
        </w:rPr>
      </w:pPr>
    </w:p>
    <w:p w:rsidR="00C72EFD" w:rsidRDefault="00C72EFD">
      <w:pPr>
        <w:pStyle w:val="Ttulo2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</w:pPr>
    </w:p>
    <w:p w:rsidR="00C72EFD" w:rsidRPr="00C72EFD" w:rsidRDefault="00C72EFD" w:rsidP="00C72EFD">
      <w:pPr>
        <w:pStyle w:val="Corpodetexto"/>
        <w:rPr>
          <w:lang w:val="pt-BR"/>
        </w:rPr>
      </w:pPr>
    </w:p>
    <w:p w:rsidR="00586B41" w:rsidRPr="00C72EFD" w:rsidRDefault="00BE27FA">
      <w:pPr>
        <w:pStyle w:val="Ttulo2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lang w:val="pt-BR"/>
        </w:rPr>
        <w:lastRenderedPageBreak/>
        <w:t>II. Descrição Detalhada do Projeto (Ano 1 - Alocação Agressiva)</w:t>
      </w:r>
      <w:bookmarkEnd w:id="4"/>
    </w:p>
    <w:p w:rsidR="00586B41" w:rsidRPr="00C72EFD" w:rsidRDefault="00BE27FA">
      <w:pPr>
        <w:pStyle w:val="FirstParagraph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lang w:val="pt-BR"/>
        </w:rPr>
        <w:t>O Ano 1 focou na implementação da estratégia de investimento d</w:t>
      </w:r>
      <w:r w:rsidRPr="00C72EFD">
        <w:rPr>
          <w:rFonts w:ascii="Lucida Sans Unicode" w:hAnsi="Lucida Sans Unicode" w:cs="Lucida Sans Unicode"/>
          <w:lang w:val="pt-BR"/>
        </w:rPr>
        <w:t>e alta performance e na otimização fiscal para o reinvestimento.</w:t>
      </w:r>
    </w:p>
    <w:p w:rsidR="00586B41" w:rsidRPr="00C72EFD" w:rsidRDefault="00BE27FA">
      <w:pPr>
        <w:pStyle w:val="Ttulo3"/>
        <w:rPr>
          <w:rFonts w:ascii="Lucida Sans Unicode" w:hAnsi="Lucida Sans Unicode" w:cs="Lucida Sans Unicode"/>
          <w:lang w:val="pt-BR"/>
        </w:rPr>
      </w:pPr>
      <w:bookmarkStart w:id="5" w:name="estrutura-dual-de-fundos-e-alocação"/>
      <w:r w:rsidRPr="00C72EFD">
        <w:rPr>
          <w:rFonts w:ascii="Lucida Sans Unicode" w:hAnsi="Lucida Sans Unicode" w:cs="Lucida Sans Unicode"/>
          <w:lang w:val="pt-BR"/>
        </w:rPr>
        <w:t>2.1. Estrutura Dual de Fundos e Alocação</w:t>
      </w:r>
      <w:bookmarkEnd w:id="5"/>
    </w:p>
    <w:p w:rsidR="00586B41" w:rsidRPr="00C72EFD" w:rsidRDefault="00BE27FA">
      <w:pPr>
        <w:pStyle w:val="FirstParagraph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lang w:val="pt-BR"/>
        </w:rPr>
        <w:t>A Estrutura Dual é o mecanismo central para equilibrar a preservação do capital principal com a busca por retornos exponenciais.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35"/>
        <w:gridCol w:w="2204"/>
        <w:gridCol w:w="2156"/>
        <w:gridCol w:w="2469"/>
        <w:gridCol w:w="2352"/>
      </w:tblGrid>
      <w:tr w:rsidR="00586B41" w:rsidRPr="00C72EFD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Fundo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Função Primária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Capital Inicial (R$ Mi)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Alocação Principal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Objetivo de Risco</w:t>
            </w:r>
          </w:p>
        </w:tc>
      </w:tr>
      <w:tr w:rsidR="00586B41" w:rsidRPr="00C72EFD"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  <w:b/>
              </w:rPr>
              <w:t>Fundo Principal (FP)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Preservação e Liquidez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850,00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  <w:lang w:val="pt-BR"/>
              </w:rPr>
            </w:pPr>
            <w:r w:rsidRPr="00C72EFD">
              <w:rPr>
                <w:rFonts w:ascii="Lucida Sans Unicode" w:hAnsi="Lucida Sans Unicode" w:cs="Lucida Sans Unicode"/>
                <w:lang w:val="pt-BR"/>
              </w:rPr>
              <w:t>Títulos do Tesouro EUA, Ouro Físico, Cash Tático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  <w:lang w:val="pt-BR"/>
              </w:rPr>
            </w:pPr>
            <w:r w:rsidRPr="00C72EFD">
              <w:rPr>
                <w:rFonts w:ascii="Lucida Sans Unicode" w:hAnsi="Lucida Sans Unicode" w:cs="Lucida Sans Unicode"/>
                <w:lang w:val="pt-BR"/>
              </w:rPr>
              <w:t>Baixo Risco, Preservação do Principal</w:t>
            </w:r>
          </w:p>
        </w:tc>
      </w:tr>
      <w:tr w:rsidR="00586B41" w:rsidRPr="00C72EFD"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  <w:b/>
              </w:rPr>
              <w:t>Fundo Secundário (FS)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Alavancagem e Crescimento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123,45 (Acumulado no Ano 1)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100% Renda Variável (RV)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Alto Risco, Máximo Retorno</w:t>
            </w:r>
          </w:p>
        </w:tc>
      </w:tr>
    </w:tbl>
    <w:p w:rsidR="00586B41" w:rsidRPr="00C72EFD" w:rsidRDefault="00BE27FA">
      <w:pPr>
        <w:pStyle w:val="Corpodetexto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lang w:val="pt-BR"/>
        </w:rPr>
        <w:t xml:space="preserve">O capital inicial ajustado para o início do Ano 1 (Janeiro/27) foi de R$ 977,50 milhões (R$ 850M do FP + R$ 127,5M de Reserva). O FS é capitalizado integralmente pelos lucros </w:t>
      </w:r>
      <w:r w:rsidRPr="00C72EFD">
        <w:rPr>
          <w:rFonts w:ascii="Lucida Sans Unicode" w:hAnsi="Lucida Sans Unicode" w:cs="Lucida Sans Unicode"/>
          <w:lang w:val="pt-BR"/>
        </w:rPr>
        <w:t>gerados, maximizando o efeito dos juros compostos.</w:t>
      </w:r>
    </w:p>
    <w:p w:rsidR="00586B41" w:rsidRPr="00C72EFD" w:rsidRDefault="00BE27FA">
      <w:pPr>
        <w:pStyle w:val="Ttulo3"/>
        <w:rPr>
          <w:rFonts w:ascii="Lucida Sans Unicode" w:hAnsi="Lucida Sans Unicode" w:cs="Lucida Sans Unicode"/>
          <w:lang w:val="pt-BR"/>
        </w:rPr>
      </w:pPr>
      <w:bookmarkStart w:id="6" w:name="otimização-fiscal-e-estrutura-híbrida"/>
      <w:r w:rsidRPr="00C72EFD">
        <w:rPr>
          <w:rFonts w:ascii="Lucida Sans Unicode" w:hAnsi="Lucida Sans Unicode" w:cs="Lucida Sans Unicode"/>
          <w:lang w:val="pt-BR"/>
        </w:rPr>
        <w:t>2.2. Otimização Fiscal e Estrutura Híbrida</w:t>
      </w:r>
      <w:bookmarkEnd w:id="6"/>
    </w:p>
    <w:p w:rsidR="00586B41" w:rsidRPr="00C72EFD" w:rsidRDefault="00BE27FA">
      <w:pPr>
        <w:pStyle w:val="FirstParagraph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lang w:val="pt-BR"/>
        </w:rPr>
        <w:t>A estrutura jurídica para os veículos de investimento foi otimizada para a eficiência fiscal no reinvestimento, migrando o foco dos veículos operacionais do “Caym</w:t>
      </w:r>
      <w:r w:rsidRPr="00C72EFD">
        <w:rPr>
          <w:rFonts w:ascii="Lucida Sans Unicode" w:hAnsi="Lucida Sans Unicode" w:cs="Lucida Sans Unicode"/>
          <w:lang w:val="pt-BR"/>
        </w:rPr>
        <w:t xml:space="preserve">an Sandwich” para uma combinação de </w:t>
      </w:r>
      <w:r w:rsidRPr="00C72EFD">
        <w:rPr>
          <w:rFonts w:ascii="Lucida Sans Unicode" w:hAnsi="Lucida Sans Unicode" w:cs="Lucida Sans Unicode"/>
          <w:b/>
          <w:lang w:val="pt-BR"/>
        </w:rPr>
        <w:t>SAS Paraguai</w:t>
      </w:r>
      <w:r w:rsidRPr="00C72EFD">
        <w:rPr>
          <w:rFonts w:ascii="Lucida Sans Unicode" w:hAnsi="Lucida Sans Unicode" w:cs="Lucida Sans Unicode"/>
          <w:lang w:val="pt-BR"/>
        </w:rPr>
        <w:t xml:space="preserve"> e </w:t>
      </w:r>
      <w:r w:rsidRPr="00C72EFD">
        <w:rPr>
          <w:rFonts w:ascii="Lucida Sans Unicode" w:hAnsi="Lucida Sans Unicode" w:cs="Lucida Sans Unicode"/>
          <w:b/>
          <w:lang w:val="pt-BR"/>
        </w:rPr>
        <w:t>Delaware LLC</w:t>
      </w:r>
      <w:r w:rsidRPr="00C72EFD">
        <w:rPr>
          <w:rFonts w:ascii="Lucida Sans Unicode" w:hAnsi="Lucida Sans Unicode" w:cs="Lucida Sans Unicode"/>
          <w:lang w:val="pt-BR"/>
        </w:rPr>
        <w:t>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495"/>
        <w:gridCol w:w="1353"/>
        <w:gridCol w:w="3385"/>
        <w:gridCol w:w="4783"/>
      </w:tblGrid>
      <w:tr w:rsidR="00586B41" w:rsidRPr="00C72EFD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Veículo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Jurisdição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Vantagem Tributária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Função no FS</w:t>
            </w:r>
          </w:p>
        </w:tc>
      </w:tr>
      <w:tr w:rsidR="00586B41" w:rsidRPr="00C72EFD"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  <w:b/>
              </w:rPr>
              <w:t>SAS Paraguai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Paraguai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  <w:lang w:val="pt-BR"/>
              </w:rPr>
            </w:pPr>
            <w:r w:rsidRPr="00C72EFD">
              <w:rPr>
                <w:rFonts w:ascii="Lucida Sans Unicode" w:hAnsi="Lucida Sans Unicode" w:cs="Lucida Sans Unicode"/>
                <w:lang w:val="pt-BR"/>
              </w:rPr>
              <w:t>Tributação de apenas 10% sobre lucros.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  <w:lang w:val="pt-BR"/>
              </w:rPr>
            </w:pPr>
            <w:r w:rsidRPr="00C72EFD">
              <w:rPr>
                <w:rFonts w:ascii="Lucida Sans Unicode" w:hAnsi="Lucida Sans Unicode" w:cs="Lucida Sans Unicode"/>
                <w:lang w:val="pt-BR"/>
              </w:rPr>
              <w:t>Veículo principal para o reinvestimento em RV.</w:t>
            </w:r>
          </w:p>
        </w:tc>
      </w:tr>
      <w:tr w:rsidR="00586B41" w:rsidRPr="00C72EFD"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  <w:b/>
              </w:rPr>
              <w:t>Delaware LLC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EUA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  <w:i/>
              </w:rPr>
              <w:t>Pass-through taxation</w:t>
            </w:r>
            <w:r w:rsidRPr="00C72EFD">
              <w:rPr>
                <w:rFonts w:ascii="Lucida Sans Unicode" w:hAnsi="Lucida Sans Unicode" w:cs="Lucida Sans Unicode"/>
              </w:rPr>
              <w:t xml:space="preserve"> (transparência fiscal).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  <w:lang w:val="pt-BR"/>
              </w:rPr>
            </w:pPr>
            <w:r w:rsidRPr="00C72EFD">
              <w:rPr>
                <w:rFonts w:ascii="Lucida Sans Unicode" w:hAnsi="Lucida Sans Unicode" w:cs="Lucida Sans Unicode"/>
                <w:lang w:val="pt-BR"/>
              </w:rPr>
              <w:t xml:space="preserve">Acesso a mercados de capital de risco (VC) e </w:t>
            </w:r>
            <w:r w:rsidRPr="00C72EFD">
              <w:rPr>
                <w:rFonts w:ascii="Lucida Sans Unicode" w:hAnsi="Lucida Sans Unicode" w:cs="Lucida Sans Unicode"/>
                <w:i/>
                <w:lang w:val="pt-BR"/>
              </w:rPr>
              <w:t>private equity</w:t>
            </w:r>
            <w:r w:rsidRPr="00C72EFD">
              <w:rPr>
                <w:rFonts w:ascii="Lucida Sans Unicode" w:hAnsi="Lucida Sans Unicode" w:cs="Lucida Sans Unicode"/>
                <w:lang w:val="pt-BR"/>
              </w:rPr>
              <w:t xml:space="preserve"> americanos.</w:t>
            </w:r>
          </w:p>
        </w:tc>
      </w:tr>
    </w:tbl>
    <w:p w:rsidR="00C72EFD" w:rsidRDefault="00C72EFD">
      <w:pPr>
        <w:pStyle w:val="Ttulo3"/>
        <w:rPr>
          <w:rFonts w:ascii="Lucida Sans Unicode" w:hAnsi="Lucida Sans Unicode" w:cs="Lucida Sans Unicode"/>
          <w:lang w:val="pt-BR"/>
        </w:rPr>
      </w:pPr>
      <w:bookmarkStart w:id="7" w:name="mecanismos-de-risco-e-governança"/>
    </w:p>
    <w:p w:rsidR="00C72EFD" w:rsidRDefault="00C72EFD">
      <w:pPr>
        <w:pStyle w:val="Ttulo3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</w:p>
    <w:p w:rsidR="00C72EFD" w:rsidRPr="00C72EFD" w:rsidRDefault="00C72EFD" w:rsidP="00C72EFD">
      <w:pPr>
        <w:pStyle w:val="Corpodetexto"/>
        <w:rPr>
          <w:lang w:val="pt-BR"/>
        </w:rPr>
      </w:pPr>
    </w:p>
    <w:p w:rsidR="00586B41" w:rsidRPr="00C72EFD" w:rsidRDefault="00BE27FA">
      <w:pPr>
        <w:pStyle w:val="Ttulo3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lang w:val="pt-BR"/>
        </w:rPr>
        <w:lastRenderedPageBreak/>
        <w:t>2.3. Mecanismos de Risco e Governança</w:t>
      </w:r>
      <w:bookmarkEnd w:id="7"/>
    </w:p>
    <w:p w:rsidR="00586B41" w:rsidRPr="00C72EFD" w:rsidRDefault="00BE27FA">
      <w:pPr>
        <w:pStyle w:val="FirstParagraph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lang w:val="pt-BR"/>
        </w:rPr>
        <w:t xml:space="preserve">A alta exposição à RV exige mecanismos de defesa rigorosos, gerenciados pelo </w:t>
      </w:r>
      <w:r w:rsidRPr="00C72EFD">
        <w:rPr>
          <w:rFonts w:ascii="Lucida Sans Unicode" w:hAnsi="Lucida Sans Unicode" w:cs="Lucida Sans Unicode"/>
          <w:b/>
          <w:lang w:val="pt-BR"/>
        </w:rPr>
        <w:t>Comitê Quântico de Ris</w:t>
      </w:r>
      <w:r w:rsidRPr="00C72EFD">
        <w:rPr>
          <w:rFonts w:ascii="Lucida Sans Unicode" w:hAnsi="Lucida Sans Unicode" w:cs="Lucida Sans Unicode"/>
          <w:b/>
          <w:lang w:val="pt-BR"/>
        </w:rPr>
        <w:t>co (CQR)</w:t>
      </w:r>
      <w:r w:rsidRPr="00C72EFD">
        <w:rPr>
          <w:rFonts w:ascii="Lucida Sans Unicode" w:hAnsi="Lucida Sans Unicode" w:cs="Lucida Sans Unicode"/>
          <w:lang w:val="pt-BR"/>
        </w:rPr>
        <w:t>:</w:t>
      </w:r>
    </w:p>
    <w:p w:rsidR="00586B41" w:rsidRPr="00C72EFD" w:rsidRDefault="00BE27FA">
      <w:pPr>
        <w:pStyle w:val="Compact"/>
        <w:numPr>
          <w:ilvl w:val="0"/>
          <w:numId w:val="2"/>
        </w:numPr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b/>
          <w:lang w:val="pt-BR"/>
        </w:rPr>
        <w:t>Protocolo de Liquidez Forçada (PLIF):</w:t>
      </w:r>
      <w:r w:rsidRPr="00C72EFD">
        <w:rPr>
          <w:rFonts w:ascii="Lucida Sans Unicode" w:hAnsi="Lucida Sans Unicode" w:cs="Lucida Sans Unicode"/>
          <w:lang w:val="pt-BR"/>
        </w:rPr>
        <w:t xml:space="preserve"> Acionado por um </w:t>
      </w:r>
      <w:r w:rsidRPr="00C72EFD">
        <w:rPr>
          <w:rFonts w:ascii="Lucida Sans Unicode" w:hAnsi="Lucida Sans Unicode" w:cs="Lucida Sans Unicode"/>
          <w:b/>
          <w:lang w:val="pt-BR"/>
        </w:rPr>
        <w:t>Gatilho de Drawdown</w:t>
      </w:r>
      <w:r w:rsidRPr="00C72EFD">
        <w:rPr>
          <w:rFonts w:ascii="Lucida Sans Unicode" w:hAnsi="Lucida Sans Unicode" w:cs="Lucida Sans Unicode"/>
          <w:lang w:val="pt-BR"/>
        </w:rPr>
        <w:t xml:space="preserve"> de 15% trimestral no Patrimônio Total. A ação é a venda automática de 10% do FS e a transferência para o </w:t>
      </w:r>
      <w:r w:rsidRPr="00C72EFD">
        <w:rPr>
          <w:rFonts w:ascii="Lucida Sans Unicode" w:hAnsi="Lucida Sans Unicode" w:cs="Lucida Sans Unicode"/>
          <w:i/>
          <w:lang w:val="pt-BR"/>
        </w:rPr>
        <w:t>Cash Tático</w:t>
      </w:r>
      <w:r w:rsidRPr="00C72EFD">
        <w:rPr>
          <w:rFonts w:ascii="Lucida Sans Unicode" w:hAnsi="Lucida Sans Unicode" w:cs="Lucida Sans Unicode"/>
          <w:lang w:val="pt-BR"/>
        </w:rPr>
        <w:t xml:space="preserve"> do FP, garantindo a proteção do capital principal.</w:t>
      </w:r>
    </w:p>
    <w:p w:rsidR="00586B41" w:rsidRPr="00C72EFD" w:rsidRDefault="00BE27FA">
      <w:pPr>
        <w:pStyle w:val="Compact"/>
        <w:numPr>
          <w:ilvl w:val="0"/>
          <w:numId w:val="2"/>
        </w:numPr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b/>
          <w:lang w:val="pt-BR"/>
        </w:rPr>
        <w:t>Gati</w:t>
      </w:r>
      <w:r w:rsidRPr="00C72EFD">
        <w:rPr>
          <w:rFonts w:ascii="Lucida Sans Unicode" w:hAnsi="Lucida Sans Unicode" w:cs="Lucida Sans Unicode"/>
          <w:b/>
          <w:lang w:val="pt-BR"/>
        </w:rPr>
        <w:t>lho de Risco Sistêmico:</w:t>
      </w:r>
      <w:r w:rsidRPr="00C72EFD">
        <w:rPr>
          <w:rFonts w:ascii="Lucida Sans Unicode" w:hAnsi="Lucida Sans Unicode" w:cs="Lucida Sans Unicode"/>
          <w:lang w:val="pt-BR"/>
        </w:rPr>
        <w:t xml:space="preserve"> Acionado por volatilidade extrema (VIX &gt; 30), suspendendo novos aportes no FS e aumentando a alocação defensiva no FP.</w:t>
      </w:r>
    </w:p>
    <w:p w:rsidR="00586B41" w:rsidRPr="00C72EFD" w:rsidRDefault="00BE27FA">
      <w:pPr>
        <w:rPr>
          <w:rFonts w:ascii="Lucida Sans Unicode" w:hAnsi="Lucida Sans Unicode" w:cs="Lucida Sans Unicode"/>
        </w:rPr>
      </w:pPr>
      <w:r w:rsidRPr="00C72EFD">
        <w:rPr>
          <w:rFonts w:ascii="Lucida Sans Unicode" w:hAnsi="Lucida Sans Unicode" w:cs="Lucida Sans Unicode"/>
        </w:rPr>
        <w:pict>
          <v:rect id="_x0000_i1027" style="width:0;height:1.5pt" o:hralign="center" o:hrstd="t" o:hr="t"/>
        </w:pict>
      </w:r>
    </w:p>
    <w:p w:rsidR="00586B41" w:rsidRPr="00C72EFD" w:rsidRDefault="00BE27FA">
      <w:pPr>
        <w:pStyle w:val="Ttulo2"/>
        <w:rPr>
          <w:rFonts w:ascii="Lucida Sans Unicode" w:hAnsi="Lucida Sans Unicode" w:cs="Lucida Sans Unicode"/>
          <w:lang w:val="pt-BR"/>
        </w:rPr>
      </w:pPr>
      <w:bookmarkStart w:id="8" w:name="X34f32cc74823c20396210b87ea112deb8ee36c6"/>
      <w:r w:rsidRPr="00C72EFD">
        <w:rPr>
          <w:rFonts w:ascii="Lucida Sans Unicode" w:hAnsi="Lucida Sans Unicode" w:cs="Lucida Sans Unicode"/>
          <w:lang w:val="pt-BR"/>
        </w:rPr>
        <w:t>III. Análise Crítica e Novas Argumentações</w:t>
      </w:r>
      <w:bookmarkEnd w:id="8"/>
    </w:p>
    <w:p w:rsidR="00586B41" w:rsidRPr="00C72EFD" w:rsidRDefault="00BE27FA">
      <w:pPr>
        <w:pStyle w:val="FirstParagraph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lang w:val="pt-BR"/>
        </w:rPr>
        <w:t xml:space="preserve">O Ano 1 representa um ponto de inflexão na estratégia, onde o risco </w:t>
      </w:r>
      <w:r w:rsidRPr="00C72EFD">
        <w:rPr>
          <w:rFonts w:ascii="Lucida Sans Unicode" w:hAnsi="Lucida Sans Unicode" w:cs="Lucida Sans Unicode"/>
          <w:lang w:val="pt-BR"/>
        </w:rPr>
        <w:t>de execução se torna o fator dominante.</w:t>
      </w:r>
    </w:p>
    <w:p w:rsidR="00586B41" w:rsidRPr="00C72EFD" w:rsidRDefault="00BE27FA">
      <w:pPr>
        <w:pStyle w:val="Ttulo3"/>
        <w:rPr>
          <w:rFonts w:ascii="Lucida Sans Unicode" w:hAnsi="Lucida Sans Unicode" w:cs="Lucida Sans Unicode"/>
          <w:lang w:val="pt-BR"/>
        </w:rPr>
      </w:pPr>
      <w:bookmarkStart w:id="9" w:name="Xc0f85002e56977db255270c13db103dcc3e7dc3"/>
      <w:r w:rsidRPr="00C72EFD">
        <w:rPr>
          <w:rFonts w:ascii="Lucida Sans Unicode" w:hAnsi="Lucida Sans Unicode" w:cs="Lucida Sans Unicode"/>
          <w:lang w:val="pt-BR"/>
        </w:rPr>
        <w:t>3.1. Sustentação da Alocação 100% RV e o Risco de Otimismo</w:t>
      </w:r>
      <w:bookmarkEnd w:id="9"/>
    </w:p>
    <w:p w:rsidR="00586B41" w:rsidRPr="00C72EFD" w:rsidRDefault="00BE27FA">
      <w:pPr>
        <w:pStyle w:val="FirstParagraph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lang w:val="pt-BR"/>
        </w:rPr>
        <w:t>A alocação de 100% dos lucros em Renda Variável, com um Target Return de 20% a.a., é uma aposta de alto risco, mas necessária para atingir o CAGR de 27,5% a 31,6% em 10 anos.</w:t>
      </w:r>
    </w:p>
    <w:p w:rsidR="00586B41" w:rsidRPr="00C72EFD" w:rsidRDefault="00BE27FA">
      <w:pPr>
        <w:pStyle w:val="Textoembloco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b/>
          <w:lang w:val="pt-BR"/>
        </w:rPr>
        <w:t>Nova Argumentação:</w:t>
      </w:r>
      <w:r w:rsidRPr="00C72EFD">
        <w:rPr>
          <w:rFonts w:ascii="Lucida Sans Unicode" w:hAnsi="Lucida Sans Unicode" w:cs="Lucida Sans Unicode"/>
          <w:lang w:val="pt-BR"/>
        </w:rPr>
        <w:t xml:space="preserve"> A sustentação dessa estratégia não reside apenas na expectativ</w:t>
      </w:r>
      <w:r w:rsidRPr="00C72EFD">
        <w:rPr>
          <w:rFonts w:ascii="Lucida Sans Unicode" w:hAnsi="Lucida Sans Unicode" w:cs="Lucida Sans Unicode"/>
          <w:lang w:val="pt-BR"/>
        </w:rPr>
        <w:t xml:space="preserve">a de mercado, mas na </w:t>
      </w:r>
      <w:r w:rsidRPr="00C72EFD">
        <w:rPr>
          <w:rFonts w:ascii="Lucida Sans Unicode" w:hAnsi="Lucida Sans Unicode" w:cs="Lucida Sans Unicode"/>
          <w:b/>
          <w:lang w:val="pt-BR"/>
        </w:rPr>
        <w:t>disciplina algorítmica</w:t>
      </w:r>
      <w:r w:rsidRPr="00C72EFD">
        <w:rPr>
          <w:rFonts w:ascii="Lucida Sans Unicode" w:hAnsi="Lucida Sans Unicode" w:cs="Lucida Sans Unicode"/>
          <w:lang w:val="pt-BR"/>
        </w:rPr>
        <w:t xml:space="preserve"> imposta pelo PLIF. A argumentação deve ser reforçada pela necessidade de </w:t>
      </w:r>
      <w:r w:rsidRPr="00C72EFD">
        <w:rPr>
          <w:rFonts w:ascii="Lucida Sans Unicode" w:hAnsi="Lucida Sans Unicode" w:cs="Lucida Sans Unicode"/>
          <w:b/>
          <w:lang w:val="pt-BR"/>
        </w:rPr>
        <w:t>backtesting rigoroso</w:t>
      </w:r>
      <w:r w:rsidRPr="00C72EFD">
        <w:rPr>
          <w:rFonts w:ascii="Lucida Sans Unicode" w:hAnsi="Lucida Sans Unicode" w:cs="Lucida Sans Unicode"/>
          <w:lang w:val="pt-BR"/>
        </w:rPr>
        <w:t xml:space="preserve"> do PLIF em cenários de estresse histórico (e.g., Crise de 2008, </w:t>
      </w:r>
      <w:r w:rsidRPr="00C72EFD">
        <w:rPr>
          <w:rFonts w:ascii="Lucida Sans Unicode" w:hAnsi="Lucida Sans Unicode" w:cs="Lucida Sans Unicode"/>
          <w:i/>
          <w:lang w:val="pt-BR"/>
        </w:rPr>
        <w:t>Dot-com Bubble</w:t>
      </w:r>
      <w:r w:rsidRPr="00C72EFD">
        <w:rPr>
          <w:rFonts w:ascii="Lucida Sans Unicode" w:hAnsi="Lucida Sans Unicode" w:cs="Lucida Sans Unicode"/>
          <w:lang w:val="pt-BR"/>
        </w:rPr>
        <w:t>). O CQR deve comprovar que o PLIF é cap</w:t>
      </w:r>
      <w:r w:rsidRPr="00C72EFD">
        <w:rPr>
          <w:rFonts w:ascii="Lucida Sans Unicode" w:hAnsi="Lucida Sans Unicode" w:cs="Lucida Sans Unicode"/>
          <w:lang w:val="pt-BR"/>
        </w:rPr>
        <w:t>az de mitigar perdas catastróficas (</w:t>
      </w:r>
      <w:r w:rsidRPr="00C72EFD">
        <w:rPr>
          <w:rFonts w:ascii="Lucida Sans Unicode" w:hAnsi="Lucida Sans Unicode" w:cs="Lucida Sans Unicode"/>
          <w:i/>
          <w:lang w:val="pt-BR"/>
        </w:rPr>
        <w:t>tail risk</w:t>
      </w:r>
      <w:r w:rsidRPr="00C72EFD">
        <w:rPr>
          <w:rFonts w:ascii="Lucida Sans Unicode" w:hAnsi="Lucida Sans Unicode" w:cs="Lucida Sans Unicode"/>
          <w:lang w:val="pt-BR"/>
        </w:rPr>
        <w:t xml:space="preserve">) sem comprometer o potencial de crescimento. A ausência de </w:t>
      </w:r>
      <w:r w:rsidRPr="00C72EFD">
        <w:rPr>
          <w:rFonts w:ascii="Lucida Sans Unicode" w:hAnsi="Lucida Sans Unicode" w:cs="Lucida Sans Unicode"/>
          <w:i/>
          <w:lang w:val="pt-BR"/>
        </w:rPr>
        <w:t>backtesting</w:t>
      </w:r>
      <w:r w:rsidRPr="00C72EFD">
        <w:rPr>
          <w:rFonts w:ascii="Lucida Sans Unicode" w:hAnsi="Lucida Sans Unicode" w:cs="Lucida Sans Unicode"/>
          <w:lang w:val="pt-BR"/>
        </w:rPr>
        <w:t xml:space="preserve"> detalhado do PLIF em condições reais de mercado é o principal risco não financeiro do Ano 1 [1].</w:t>
      </w:r>
    </w:p>
    <w:p w:rsidR="00C72EFD" w:rsidRDefault="00C72EFD">
      <w:pPr>
        <w:pStyle w:val="Ttulo3"/>
        <w:rPr>
          <w:rFonts w:ascii="Lucida Sans Unicode" w:hAnsi="Lucida Sans Unicode" w:cs="Lucida Sans Unicode"/>
          <w:lang w:val="pt-BR"/>
        </w:rPr>
      </w:pPr>
      <w:bookmarkStart w:id="10" w:name="Xeec5ce4fd64a170808626db6fb419be927a811f"/>
    </w:p>
    <w:p w:rsidR="00C72EFD" w:rsidRDefault="00C72EFD">
      <w:pPr>
        <w:pStyle w:val="Ttulo3"/>
        <w:rPr>
          <w:rFonts w:ascii="Lucida Sans Unicode" w:hAnsi="Lucida Sans Unicode" w:cs="Lucida Sans Unicode"/>
          <w:lang w:val="pt-BR"/>
        </w:rPr>
      </w:pPr>
    </w:p>
    <w:p w:rsidR="00C72EFD" w:rsidRDefault="00C72EFD">
      <w:pPr>
        <w:pStyle w:val="Ttulo3"/>
        <w:rPr>
          <w:rFonts w:ascii="Lucida Sans Unicode" w:hAnsi="Lucida Sans Unicode" w:cs="Lucida Sans Unicode"/>
          <w:lang w:val="pt-BR"/>
        </w:rPr>
      </w:pPr>
    </w:p>
    <w:p w:rsidR="00C72EFD" w:rsidRDefault="00C72EFD" w:rsidP="00C72EFD">
      <w:pPr>
        <w:pStyle w:val="Corpodetexto"/>
        <w:rPr>
          <w:lang w:val="pt-BR"/>
        </w:rPr>
      </w:pPr>
    </w:p>
    <w:p w:rsidR="00C72EFD" w:rsidRDefault="00C72EFD">
      <w:pPr>
        <w:pStyle w:val="Ttulo3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</w:p>
    <w:p w:rsidR="00C72EFD" w:rsidRPr="00C72EFD" w:rsidRDefault="00C72EFD" w:rsidP="00C72EFD">
      <w:pPr>
        <w:pStyle w:val="Corpodetexto"/>
        <w:rPr>
          <w:lang w:val="pt-BR"/>
        </w:rPr>
      </w:pPr>
    </w:p>
    <w:p w:rsidR="00586B41" w:rsidRPr="00C72EFD" w:rsidRDefault="00BE27FA">
      <w:pPr>
        <w:pStyle w:val="Ttulo3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lang w:val="pt-BR"/>
        </w:rPr>
        <w:lastRenderedPageBreak/>
        <w:t>3.2. Eficiência da Estrutura Fiscal Híbrid</w:t>
      </w:r>
      <w:r w:rsidRPr="00C72EFD">
        <w:rPr>
          <w:rFonts w:ascii="Lucida Sans Unicode" w:hAnsi="Lucida Sans Unicode" w:cs="Lucida Sans Unicode"/>
          <w:lang w:val="pt-BR"/>
        </w:rPr>
        <w:t>a (SAS/LLC)</w:t>
      </w:r>
      <w:bookmarkEnd w:id="10"/>
    </w:p>
    <w:p w:rsidR="00586B41" w:rsidRPr="00C72EFD" w:rsidRDefault="00BE27FA">
      <w:pPr>
        <w:pStyle w:val="FirstParagraph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lang w:val="pt-BR"/>
        </w:rPr>
        <w:t xml:space="preserve">A substituição dos veículos operacionais do “Cayman Sandwich” pela dupla SAS Paraguai e Delaware LLC prioriza a </w:t>
      </w:r>
      <w:r w:rsidRPr="00C72EFD">
        <w:rPr>
          <w:rFonts w:ascii="Lucida Sans Unicode" w:hAnsi="Lucida Sans Unicode" w:cs="Lucida Sans Unicode"/>
          <w:b/>
          <w:lang w:val="pt-BR"/>
        </w:rPr>
        <w:t>eficiência tributária no reinvestimento</w:t>
      </w:r>
      <w:r w:rsidRPr="00C72EFD">
        <w:rPr>
          <w:rFonts w:ascii="Lucida Sans Unicode" w:hAnsi="Lucida Sans Unicode" w:cs="Lucida Sans Unicode"/>
          <w:lang w:val="pt-BR"/>
        </w:rPr>
        <w:t xml:space="preserve"> sobre a complexidade da blindagem.</w:t>
      </w:r>
    </w:p>
    <w:p w:rsidR="00586B41" w:rsidRPr="00C72EFD" w:rsidRDefault="00BE27FA">
      <w:pPr>
        <w:pStyle w:val="Textoembloco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b/>
          <w:lang w:val="pt-BR"/>
        </w:rPr>
        <w:t>Nova Argumentação:</w:t>
      </w:r>
      <w:r w:rsidRPr="00C72EFD">
        <w:rPr>
          <w:rFonts w:ascii="Lucida Sans Unicode" w:hAnsi="Lucida Sans Unicode" w:cs="Lucida Sans Unicode"/>
          <w:lang w:val="pt-BR"/>
        </w:rPr>
        <w:t xml:space="preserve"> A escolha da SAS Paraguai (10% de trib</w:t>
      </w:r>
      <w:r w:rsidRPr="00C72EFD">
        <w:rPr>
          <w:rFonts w:ascii="Lucida Sans Unicode" w:hAnsi="Lucida Sans Unicode" w:cs="Lucida Sans Unicode"/>
          <w:lang w:val="pt-BR"/>
        </w:rPr>
        <w:t xml:space="preserve">utação) é uma manobra de otimização fiscal agressiva que maximiza o capital disponível para reinvestimento, potencializando o efeito dos juros compostos. Contudo, essa escolha aumenta o </w:t>
      </w:r>
      <w:r w:rsidRPr="00C72EFD">
        <w:rPr>
          <w:rFonts w:ascii="Lucida Sans Unicode" w:hAnsi="Lucida Sans Unicode" w:cs="Lucida Sans Unicode"/>
          <w:b/>
          <w:lang w:val="pt-BR"/>
        </w:rPr>
        <w:t>Risco de Reputação e Regulatório</w:t>
      </w:r>
      <w:r w:rsidRPr="00C72EFD">
        <w:rPr>
          <w:rFonts w:ascii="Lucida Sans Unicode" w:hAnsi="Lucida Sans Unicode" w:cs="Lucida Sans Unicode"/>
          <w:lang w:val="pt-BR"/>
        </w:rPr>
        <w:t xml:space="preserve"> (Risco Paraguai). A argumentação deve</w:t>
      </w:r>
      <w:r w:rsidRPr="00C72EFD">
        <w:rPr>
          <w:rFonts w:ascii="Lucida Sans Unicode" w:hAnsi="Lucida Sans Unicode" w:cs="Lucida Sans Unicode"/>
          <w:lang w:val="pt-BR"/>
        </w:rPr>
        <w:t xml:space="preserve"> ser complementada pela necessidade de </w:t>
      </w:r>
      <w:r w:rsidRPr="00C72EFD">
        <w:rPr>
          <w:rFonts w:ascii="Lucida Sans Unicode" w:hAnsi="Lucida Sans Unicode" w:cs="Lucida Sans Unicode"/>
          <w:b/>
          <w:lang w:val="pt-BR"/>
        </w:rPr>
        <w:t>“Substância Econômica Reforçada”</w:t>
      </w:r>
      <w:r w:rsidRPr="00C72EFD">
        <w:rPr>
          <w:rFonts w:ascii="Lucida Sans Unicode" w:hAnsi="Lucida Sans Unicode" w:cs="Lucida Sans Unicode"/>
          <w:lang w:val="pt-BR"/>
        </w:rPr>
        <w:t xml:space="preserve"> na SAS, incluindo a contratação de gestores locais e a demonstração de que as decisões de investimento são tomadas no Paraguai, mitigando o risco de desconsideração fiscal por parte da</w:t>
      </w:r>
      <w:r w:rsidRPr="00C72EFD">
        <w:rPr>
          <w:rFonts w:ascii="Lucida Sans Unicode" w:hAnsi="Lucida Sans Unicode" w:cs="Lucida Sans Unicode"/>
          <w:lang w:val="pt-BR"/>
        </w:rPr>
        <w:t>s autoridades brasileiras [2].</w:t>
      </w:r>
    </w:p>
    <w:p w:rsidR="00586B41" w:rsidRPr="00C72EFD" w:rsidRDefault="00BE27FA">
      <w:pPr>
        <w:pStyle w:val="Ttulo3"/>
        <w:rPr>
          <w:rFonts w:ascii="Lucida Sans Unicode" w:hAnsi="Lucida Sans Unicode" w:cs="Lucida Sans Unicode"/>
          <w:lang w:val="pt-BR"/>
        </w:rPr>
      </w:pPr>
      <w:bookmarkStart w:id="11" w:name="X355d713bb1a6e2e26f9aad5a61e9f69c983560f"/>
      <w:r w:rsidRPr="00C72EFD">
        <w:rPr>
          <w:rFonts w:ascii="Lucida Sans Unicode" w:hAnsi="Lucida Sans Unicode" w:cs="Lucida Sans Unicode"/>
          <w:lang w:val="pt-BR"/>
        </w:rPr>
        <w:t>3.3. O Papel do Fundo Principal (FP) como “Seguro”</w:t>
      </w:r>
      <w:bookmarkEnd w:id="11"/>
    </w:p>
    <w:p w:rsidR="00586B41" w:rsidRPr="00C72EFD" w:rsidRDefault="00BE27FA">
      <w:pPr>
        <w:pStyle w:val="FirstParagraph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lang w:val="pt-BR"/>
        </w:rPr>
        <w:t>O FP, com R$ 850 milhões em ativos conservadores, atua como um “seguro” contra a volatilidade do FS.</w:t>
      </w:r>
    </w:p>
    <w:p w:rsidR="00586B41" w:rsidRPr="00C72EFD" w:rsidRDefault="00BE27FA">
      <w:pPr>
        <w:pStyle w:val="Textoembloco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b/>
          <w:lang w:val="pt-BR"/>
        </w:rPr>
        <w:t>Nova Argumentação:</w:t>
      </w:r>
      <w:r w:rsidRPr="00C72EFD">
        <w:rPr>
          <w:rFonts w:ascii="Lucida Sans Unicode" w:hAnsi="Lucida Sans Unicode" w:cs="Lucida Sans Unicode"/>
          <w:lang w:val="pt-BR"/>
        </w:rPr>
        <w:t xml:space="preserve"> O FP não deve ser visto apenas como uma reserva, mas c</w:t>
      </w:r>
      <w:r w:rsidRPr="00C72EFD">
        <w:rPr>
          <w:rFonts w:ascii="Lucida Sans Unicode" w:hAnsi="Lucida Sans Unicode" w:cs="Lucida Sans Unicode"/>
          <w:lang w:val="pt-BR"/>
        </w:rPr>
        <w:t xml:space="preserve">omo um </w:t>
      </w:r>
      <w:r w:rsidRPr="00C72EFD">
        <w:rPr>
          <w:rFonts w:ascii="Lucida Sans Unicode" w:hAnsi="Lucida Sans Unicode" w:cs="Lucida Sans Unicode"/>
          <w:b/>
          <w:lang w:val="pt-BR"/>
        </w:rPr>
        <w:t>“Colateral Estratégico”</w:t>
      </w:r>
      <w:r w:rsidRPr="00C72EFD">
        <w:rPr>
          <w:rFonts w:ascii="Lucida Sans Unicode" w:hAnsi="Lucida Sans Unicode" w:cs="Lucida Sans Unicode"/>
          <w:lang w:val="pt-BR"/>
        </w:rPr>
        <w:t xml:space="preserve">. A argumentação deve ser expandida para incluir a possibilidade de o FP ser usado para </w:t>
      </w:r>
      <w:r w:rsidRPr="00C72EFD">
        <w:rPr>
          <w:rFonts w:ascii="Lucida Sans Unicode" w:hAnsi="Lucida Sans Unicode" w:cs="Lucida Sans Unicode"/>
          <w:b/>
          <w:lang w:val="pt-BR"/>
        </w:rPr>
        <w:t>alavancagem de baixo custo</w:t>
      </w:r>
      <w:r w:rsidRPr="00C72EFD">
        <w:rPr>
          <w:rFonts w:ascii="Lucida Sans Unicode" w:hAnsi="Lucida Sans Unicode" w:cs="Lucida Sans Unicode"/>
          <w:lang w:val="pt-BR"/>
        </w:rPr>
        <w:t xml:space="preserve"> (</w:t>
      </w:r>
      <w:r w:rsidRPr="00C72EFD">
        <w:rPr>
          <w:rFonts w:ascii="Lucida Sans Unicode" w:hAnsi="Lucida Sans Unicode" w:cs="Lucida Sans Unicode"/>
          <w:i/>
          <w:lang w:val="pt-BR"/>
        </w:rPr>
        <w:t>margin lending</w:t>
      </w:r>
      <w:r w:rsidRPr="00C72EFD">
        <w:rPr>
          <w:rFonts w:ascii="Lucida Sans Unicode" w:hAnsi="Lucida Sans Unicode" w:cs="Lucida Sans Unicode"/>
          <w:lang w:val="pt-BR"/>
        </w:rPr>
        <w:t>) para o FS, permitindo que o FS amplie sua exposição a RV sem liquidar os ativos do FP. Isso tr</w:t>
      </w:r>
      <w:r w:rsidRPr="00C72EFD">
        <w:rPr>
          <w:rFonts w:ascii="Lucida Sans Unicode" w:hAnsi="Lucida Sans Unicode" w:cs="Lucida Sans Unicode"/>
          <w:lang w:val="pt-BR"/>
        </w:rPr>
        <w:t xml:space="preserve">ansforma o FP de um ativo passivo em um </w:t>
      </w:r>
      <w:r w:rsidRPr="00C72EFD">
        <w:rPr>
          <w:rFonts w:ascii="Lucida Sans Unicode" w:hAnsi="Lucida Sans Unicode" w:cs="Lucida Sans Unicode"/>
          <w:b/>
          <w:lang w:val="pt-BR"/>
        </w:rPr>
        <w:t>multiplicador de capital</w:t>
      </w:r>
      <w:r w:rsidRPr="00C72EFD">
        <w:rPr>
          <w:rFonts w:ascii="Lucida Sans Unicode" w:hAnsi="Lucida Sans Unicode" w:cs="Lucida Sans Unicode"/>
          <w:lang w:val="pt-BR"/>
        </w:rPr>
        <w:t xml:space="preserve"> de baixo risco, desde que a alavancagem seja mantida dentro dos limites de 1.3x a 1.5x do Patrimônio Líquido [3].</w:t>
      </w:r>
    </w:p>
    <w:p w:rsidR="00586B41" w:rsidRPr="00C72EFD" w:rsidRDefault="00BE27FA">
      <w:pPr>
        <w:rPr>
          <w:rFonts w:ascii="Lucida Sans Unicode" w:hAnsi="Lucida Sans Unicode" w:cs="Lucida Sans Unicode"/>
        </w:rPr>
      </w:pPr>
      <w:r w:rsidRPr="00C72EFD">
        <w:rPr>
          <w:rFonts w:ascii="Lucida Sans Unicode" w:hAnsi="Lucida Sans Unicode" w:cs="Lucida Sans Unicode"/>
        </w:rPr>
        <w:pict>
          <v:rect id="_x0000_i1028" style="width:0;height:1.5pt" o:hralign="center" o:hrstd="t" o:hr="t"/>
        </w:pict>
      </w:r>
    </w:p>
    <w:p w:rsidR="00C72EFD" w:rsidRDefault="00C72EFD">
      <w:pPr>
        <w:pStyle w:val="Ttulo2"/>
        <w:rPr>
          <w:rFonts w:ascii="Lucida Sans Unicode" w:hAnsi="Lucida Sans Unicode" w:cs="Lucida Sans Unicode"/>
          <w:lang w:val="pt-BR"/>
        </w:rPr>
      </w:pPr>
      <w:bookmarkStart w:id="12" w:name="X8bdfaeb3e97787b8d026f873c733ddf10e41aeb"/>
    </w:p>
    <w:p w:rsidR="00586B41" w:rsidRPr="00C72EFD" w:rsidRDefault="00BE27FA">
      <w:pPr>
        <w:pStyle w:val="Ttulo2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lang w:val="pt-BR"/>
        </w:rPr>
        <w:t>IV. Balanço Financeiro e Patrimonial - Ano 1</w:t>
      </w:r>
      <w:bookmarkEnd w:id="12"/>
    </w:p>
    <w:p w:rsidR="00586B41" w:rsidRPr="00C72EFD" w:rsidRDefault="00BE27FA">
      <w:pPr>
        <w:pStyle w:val="FirstParagraph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lang w:val="pt-BR"/>
        </w:rPr>
        <w:t>O Balanço Patrimonial do Ano 1 reflete o sucesso da alocação inicial e o crescimento do capital, conforme a projeção de 20% a.a.</w:t>
      </w:r>
    </w:p>
    <w:p w:rsidR="00586B41" w:rsidRPr="00C72EFD" w:rsidRDefault="00BE27FA">
      <w:pPr>
        <w:pStyle w:val="Ttulo3"/>
        <w:rPr>
          <w:rFonts w:ascii="Lucida Sans Unicode" w:hAnsi="Lucida Sans Unicode" w:cs="Lucida Sans Unicode"/>
        </w:rPr>
      </w:pPr>
      <w:bookmarkStart w:id="13" w:name="premissas-do-balanço"/>
      <w:r w:rsidRPr="00C72EFD">
        <w:rPr>
          <w:rFonts w:ascii="Lucida Sans Unicode" w:hAnsi="Lucida Sans Unicode" w:cs="Lucida Sans Unicode"/>
        </w:rPr>
        <w:t>4.1. Premissas do Balanço</w:t>
      </w:r>
      <w:bookmarkEnd w:id="13"/>
    </w:p>
    <w:p w:rsidR="00586B41" w:rsidRPr="00C72EFD" w:rsidRDefault="00BE27FA">
      <w:pPr>
        <w:pStyle w:val="Compact"/>
        <w:numPr>
          <w:ilvl w:val="0"/>
          <w:numId w:val="3"/>
        </w:numPr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b/>
          <w:lang w:val="pt-BR"/>
        </w:rPr>
        <w:t>Patrimônio Líquido (PL) do Ano 0:</w:t>
      </w:r>
      <w:r w:rsidRPr="00C72EFD">
        <w:rPr>
          <w:rFonts w:ascii="Lucida Sans Unicode" w:hAnsi="Lucida Sans Unicode" w:cs="Lucida Sans Unicode"/>
          <w:lang w:val="pt-BR"/>
        </w:rPr>
        <w:t xml:space="preserve"> R$ 850.000.000,00.</w:t>
      </w:r>
    </w:p>
    <w:p w:rsidR="00586B41" w:rsidRPr="00C72EFD" w:rsidRDefault="00BE27FA">
      <w:pPr>
        <w:pStyle w:val="Compact"/>
        <w:numPr>
          <w:ilvl w:val="0"/>
          <w:numId w:val="3"/>
        </w:numPr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b/>
          <w:lang w:val="pt-BR"/>
        </w:rPr>
        <w:t>Crescimento Projetado (2027):</w:t>
      </w:r>
      <w:r w:rsidRPr="00C72EFD">
        <w:rPr>
          <w:rFonts w:ascii="Lucida Sans Unicode" w:hAnsi="Lucida Sans Unicode" w:cs="Lucida Sans Unicode"/>
          <w:lang w:val="pt-BR"/>
        </w:rPr>
        <w:t xml:space="preserve"> R$ 240.640.000,00 </w:t>
      </w:r>
      <w:r w:rsidRPr="00C72EFD">
        <w:rPr>
          <w:rFonts w:ascii="Lucida Sans Unicode" w:hAnsi="Lucida Sans Unicode" w:cs="Lucida Sans Unicode"/>
          <w:lang w:val="pt-BR"/>
        </w:rPr>
        <w:t>(Lucros Acumulados).</w:t>
      </w:r>
    </w:p>
    <w:p w:rsidR="00586B41" w:rsidRPr="00C72EFD" w:rsidRDefault="00BE27FA">
      <w:pPr>
        <w:pStyle w:val="Compact"/>
        <w:numPr>
          <w:ilvl w:val="0"/>
          <w:numId w:val="3"/>
        </w:numPr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b/>
          <w:lang w:val="pt-BR"/>
        </w:rPr>
        <w:t>Patrimônio Líquido (PL) do Ano 1:</w:t>
      </w:r>
      <w:r w:rsidRPr="00C72EFD">
        <w:rPr>
          <w:rFonts w:ascii="Lucida Sans Unicode" w:hAnsi="Lucida Sans Unicode" w:cs="Lucida Sans Unicode"/>
          <w:lang w:val="pt-BR"/>
        </w:rPr>
        <w:t xml:space="preserve"> R$ 1.218.140.000,00.</w:t>
      </w:r>
    </w:p>
    <w:p w:rsidR="00586B41" w:rsidRPr="00C72EFD" w:rsidRDefault="00BE27FA">
      <w:pPr>
        <w:pStyle w:val="Ttulo3"/>
        <w:rPr>
          <w:rFonts w:ascii="Lucida Sans Unicode" w:hAnsi="Lucida Sans Unicode" w:cs="Lucida Sans Unicode"/>
          <w:lang w:val="pt-BR"/>
        </w:rPr>
      </w:pPr>
      <w:bookmarkStart w:id="14" w:name="X9981e5f719fe8fe16902d274c03a1e76d7d7119"/>
      <w:r w:rsidRPr="00C72EFD">
        <w:rPr>
          <w:rFonts w:ascii="Lucida Sans Unicode" w:hAnsi="Lucida Sans Unicode" w:cs="Lucida Sans Unicode"/>
          <w:lang w:val="pt-BR"/>
        </w:rPr>
        <w:lastRenderedPageBreak/>
        <w:t>4.2. Balanço Patrimonial Consolidado (Dezembro de 2027)</w:t>
      </w:r>
      <w:bookmarkEnd w:id="14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48"/>
        <w:gridCol w:w="4670"/>
        <w:gridCol w:w="2155"/>
        <w:gridCol w:w="2343"/>
      </w:tblGrid>
      <w:tr w:rsidR="00586B41" w:rsidRPr="00C72EFD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Ativo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  <w:lang w:val="pt-BR"/>
              </w:rPr>
            </w:pPr>
            <w:r w:rsidRPr="00C72EFD">
              <w:rPr>
                <w:rFonts w:ascii="Lucida Sans Unicode" w:hAnsi="Lucida Sans Unicode" w:cs="Lucida Sans Unicode"/>
                <w:lang w:val="pt-BR"/>
              </w:rPr>
              <w:t>Valor (R</w:t>
            </w:r>
            <m:oMath>
              <m:r>
                <w:rPr>
                  <w:rFonts w:ascii="Cambria Math" w:hAnsi="Cambria Math" w:cs="Lucida Sans Unicode"/>
                  <w:lang w:val="pt-BR"/>
                </w:rPr>
                <m:t>)|</m:t>
              </m:r>
              <m:r>
                <w:rPr>
                  <w:rFonts w:ascii="Cambria Math" w:hAnsi="Cambria Math" w:cs="Lucida Sans Unicode"/>
                </w:rPr>
                <m:t>PassivoePatrim</m:t>
              </m:r>
              <m:r>
                <w:rPr>
                  <w:rFonts w:ascii="Cambria Math" w:hAnsi="Cambria Math" w:cs="Lucida Sans Unicode"/>
                  <w:lang w:val="pt-BR"/>
                </w:rPr>
                <m:t>ô</m:t>
              </m:r>
              <m:r>
                <w:rPr>
                  <w:rFonts w:ascii="Cambria Math" w:hAnsi="Cambria Math" w:cs="Lucida Sans Unicode"/>
                </w:rPr>
                <m:t>nioL</m:t>
              </m:r>
              <m:r>
                <w:rPr>
                  <w:rFonts w:ascii="Cambria Math" w:hAnsi="Cambria Math" w:cs="Lucida Sans Unicode"/>
                  <w:lang w:val="pt-BR"/>
                </w:rPr>
                <m:t>í</m:t>
              </m:r>
              <m:r>
                <w:rPr>
                  <w:rFonts w:ascii="Cambria Math" w:hAnsi="Cambria Math" w:cs="Lucida Sans Unicode"/>
                </w:rPr>
                <m:t>quido</m:t>
              </m:r>
              <m:r>
                <w:rPr>
                  <w:rFonts w:ascii="Cambria Math" w:hAnsi="Cambria Math" w:cs="Lucida Sans Unicode"/>
                  <w:lang w:val="pt-BR"/>
                </w:rPr>
                <m:t>|</m:t>
              </m:r>
              <m:r>
                <w:rPr>
                  <w:rFonts w:ascii="Cambria Math" w:hAnsi="Cambria Math" w:cs="Lucida Sans Unicode"/>
                </w:rPr>
                <m:t>Valor</m:t>
              </m:r>
              <m:r>
                <w:rPr>
                  <w:rFonts w:ascii="Cambria Math" w:hAnsi="Cambria Math" w:cs="Lucida Sans Unicode"/>
                  <w:lang w:val="pt-BR"/>
                </w:rPr>
                <m:t>(</m:t>
              </m:r>
              <m:r>
                <w:rPr>
                  <w:rFonts w:ascii="Cambria Math" w:hAnsi="Cambria Math" w:cs="Lucida Sans Unicode"/>
                </w:rPr>
                <m:t>R</m:t>
              </m:r>
            </m:oMath>
            <w:r w:rsidRPr="00C72EFD">
              <w:rPr>
                <w:rFonts w:ascii="Lucida Sans Unicode" w:hAnsi="Lucida Sans Unicode" w:cs="Lucida Sans Unicode"/>
                <w:lang w:val="pt-BR"/>
              </w:rPr>
              <w:t>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86B41" w:rsidRPr="00C72EFD" w:rsidRDefault="00586B41">
            <w:pPr>
              <w:rPr>
                <w:rFonts w:ascii="Lucida Sans Unicode" w:hAnsi="Lucida Sans Unicode" w:cs="Lucida Sans Unicode"/>
                <w:lang w:val="pt-BR"/>
              </w:rPr>
            </w:pP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86B41" w:rsidRPr="00C72EFD" w:rsidRDefault="00586B41">
            <w:pPr>
              <w:rPr>
                <w:rFonts w:ascii="Lucida Sans Unicode" w:hAnsi="Lucida Sans Unicode" w:cs="Lucida Sans Unicode"/>
                <w:lang w:val="pt-BR"/>
              </w:rPr>
            </w:pPr>
          </w:p>
        </w:tc>
      </w:tr>
      <w:tr w:rsidR="00586B41" w:rsidRPr="00C72EFD"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  <w:b/>
              </w:rPr>
              <w:t>ATIVO</w:t>
            </w:r>
          </w:p>
        </w:tc>
        <w:tc>
          <w:tcPr>
            <w:tcW w:w="0" w:type="auto"/>
          </w:tcPr>
          <w:p w:rsidR="00586B41" w:rsidRPr="00C72EFD" w:rsidRDefault="00586B41">
            <w:pPr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  <w:b/>
              </w:rPr>
              <w:t>PASSIVO</w:t>
            </w:r>
          </w:p>
        </w:tc>
        <w:tc>
          <w:tcPr>
            <w:tcW w:w="0" w:type="auto"/>
          </w:tcPr>
          <w:p w:rsidR="00586B41" w:rsidRPr="00C72EFD" w:rsidRDefault="00586B41">
            <w:pPr>
              <w:rPr>
                <w:rFonts w:ascii="Lucida Sans Unicode" w:hAnsi="Lucida Sans Unicode" w:cs="Lucida Sans Unicode"/>
              </w:rPr>
            </w:pPr>
          </w:p>
        </w:tc>
      </w:tr>
      <w:tr w:rsidR="00586B41" w:rsidRPr="00C72EFD"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Ativo Circulante</w:t>
            </w:r>
          </w:p>
        </w:tc>
        <w:tc>
          <w:tcPr>
            <w:tcW w:w="0" w:type="auto"/>
          </w:tcPr>
          <w:p w:rsidR="00586B41" w:rsidRPr="00C72EFD" w:rsidRDefault="00586B41">
            <w:pPr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Passivo Circulante</w:t>
            </w:r>
          </w:p>
        </w:tc>
        <w:tc>
          <w:tcPr>
            <w:tcW w:w="0" w:type="auto"/>
          </w:tcPr>
          <w:p w:rsidR="00586B41" w:rsidRPr="00C72EFD" w:rsidRDefault="00586B41">
            <w:pPr>
              <w:rPr>
                <w:rFonts w:ascii="Lucida Sans Unicode" w:hAnsi="Lucida Sans Unicode" w:cs="Lucida Sans Unicode"/>
              </w:rPr>
            </w:pPr>
          </w:p>
        </w:tc>
      </w:tr>
      <w:tr w:rsidR="00586B41" w:rsidRPr="00C72EFD"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  <w:lang w:val="pt-BR"/>
              </w:rPr>
            </w:pPr>
            <w:r w:rsidRPr="00C72EFD">
              <w:rPr>
                <w:rFonts w:ascii="Lucida Sans Unicode" w:hAnsi="Lucida Sans Unicode" w:cs="Lucida Sans Unicode"/>
                <w:lang w:val="pt-BR"/>
              </w:rPr>
              <w:t>Reserva de Liquidez (Cash Tático)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10.000.000,00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Provisão Fiscal e Operacional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5.000.000,00</w:t>
            </w:r>
          </w:p>
        </w:tc>
      </w:tr>
      <w:tr w:rsidR="00586B41" w:rsidRPr="00C72EFD"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  <w:b/>
              </w:rPr>
              <w:t>Total do Ativo Circulante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  <w:b/>
              </w:rPr>
              <w:t>10.000.000,00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  <w:b/>
              </w:rPr>
              <w:t>Total do Passivo Circulante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  <w:b/>
              </w:rPr>
              <w:t>5.000.000,00</w:t>
            </w:r>
          </w:p>
        </w:tc>
      </w:tr>
      <w:tr w:rsidR="00586B41" w:rsidRPr="00C72EFD"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Ativo Não Circulante</w:t>
            </w:r>
          </w:p>
        </w:tc>
        <w:tc>
          <w:tcPr>
            <w:tcW w:w="0" w:type="auto"/>
          </w:tcPr>
          <w:p w:rsidR="00586B41" w:rsidRPr="00C72EFD" w:rsidRDefault="00586B41">
            <w:pPr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Passivo Não Circulante</w:t>
            </w:r>
          </w:p>
        </w:tc>
        <w:tc>
          <w:tcPr>
            <w:tcW w:w="0" w:type="auto"/>
          </w:tcPr>
          <w:p w:rsidR="00586B41" w:rsidRPr="00C72EFD" w:rsidRDefault="00586B41">
            <w:pPr>
              <w:rPr>
                <w:rFonts w:ascii="Lucida Sans Unicode" w:hAnsi="Lucida Sans Unicode" w:cs="Lucida Sans Unicode"/>
              </w:rPr>
            </w:pPr>
          </w:p>
        </w:tc>
      </w:tr>
      <w:tr w:rsidR="00586B41" w:rsidRPr="00C72EFD"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Fundo Principal (FP) - Preservação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1.099.690.000,00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Empréstimos e Financiamentos (Alavancagem)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0,00</w:t>
            </w:r>
          </w:p>
        </w:tc>
      </w:tr>
      <w:tr w:rsidR="00586B41" w:rsidRPr="00C72EFD"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Fundo Secundário (FS) - Alavancagem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123.450.000,00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  <w:lang w:val="pt-BR"/>
              </w:rPr>
            </w:pPr>
            <w:r w:rsidRPr="00C72EFD">
              <w:rPr>
                <w:rFonts w:ascii="Lucida Sans Unicode" w:hAnsi="Lucida Sans Unicode" w:cs="Lucida Sans Unicode"/>
                <w:b/>
                <w:lang w:val="pt-BR"/>
              </w:rPr>
              <w:t>Total do Passivo Não Circulante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  <w:b/>
              </w:rPr>
              <w:t>0,00</w:t>
            </w:r>
          </w:p>
        </w:tc>
      </w:tr>
      <w:tr w:rsidR="00586B41" w:rsidRPr="00C72EFD"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  <w:lang w:val="pt-BR"/>
              </w:rPr>
            </w:pPr>
            <w:r w:rsidRPr="00C72EFD">
              <w:rPr>
                <w:rFonts w:ascii="Lucida Sans Unicode" w:hAnsi="Lucida Sans Unicode" w:cs="Lucida Sans Unicode"/>
                <w:b/>
                <w:lang w:val="pt-BR"/>
              </w:rPr>
              <w:t>Total do Ativo Não Circulante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  <w:b/>
              </w:rPr>
              <w:t>1.223.140.000,00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  <w:b/>
              </w:rPr>
              <w:t>PATRIMÔNIO LÍQUIDO</w:t>
            </w:r>
          </w:p>
        </w:tc>
        <w:tc>
          <w:tcPr>
            <w:tcW w:w="0" w:type="auto"/>
          </w:tcPr>
          <w:p w:rsidR="00586B41" w:rsidRPr="00C72EFD" w:rsidRDefault="00586B41">
            <w:pPr>
              <w:rPr>
                <w:rFonts w:ascii="Lucida Sans Unicode" w:hAnsi="Lucida Sans Unicode" w:cs="Lucida Sans Unicode"/>
              </w:rPr>
            </w:pPr>
          </w:p>
        </w:tc>
      </w:tr>
      <w:tr w:rsidR="00586B41" w:rsidRPr="00C72EFD">
        <w:tc>
          <w:tcPr>
            <w:tcW w:w="0" w:type="auto"/>
          </w:tcPr>
          <w:p w:rsidR="00586B41" w:rsidRPr="00C72EFD" w:rsidRDefault="00586B41">
            <w:pPr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586B41" w:rsidRPr="00C72EFD" w:rsidRDefault="00586B41">
            <w:pPr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Capital Social Ajustado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977.500.000,00</w:t>
            </w:r>
          </w:p>
        </w:tc>
      </w:tr>
      <w:tr w:rsidR="00586B41" w:rsidRPr="00C72EFD">
        <w:tc>
          <w:tcPr>
            <w:tcW w:w="0" w:type="auto"/>
          </w:tcPr>
          <w:p w:rsidR="00586B41" w:rsidRPr="00C72EFD" w:rsidRDefault="00586B41">
            <w:pPr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586B41" w:rsidRPr="00C72EFD" w:rsidRDefault="00586B41">
            <w:pPr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Lucros Acumulados (Ano 1)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</w:rPr>
              <w:t>240.640.000,00</w:t>
            </w:r>
          </w:p>
        </w:tc>
      </w:tr>
      <w:tr w:rsidR="00586B41" w:rsidRPr="00C72EFD"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  <w:b/>
              </w:rPr>
              <w:t>TOTAL DO ATIVO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  <w:b/>
              </w:rPr>
              <w:t>1.233.140.000,00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  <w:b/>
              </w:rPr>
              <w:t>Total do Patrimônio Líquido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  <w:b/>
              </w:rPr>
              <w:t>1.218.140.000,00</w:t>
            </w:r>
          </w:p>
        </w:tc>
      </w:tr>
      <w:tr w:rsidR="00586B41" w:rsidRPr="00C72EFD">
        <w:tc>
          <w:tcPr>
            <w:tcW w:w="0" w:type="auto"/>
          </w:tcPr>
          <w:p w:rsidR="00586B41" w:rsidRPr="00C72EFD" w:rsidRDefault="00586B41">
            <w:pPr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586B41" w:rsidRPr="00C72EFD" w:rsidRDefault="00586B41">
            <w:pPr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  <w:lang w:val="pt-BR"/>
              </w:rPr>
            </w:pPr>
            <w:r w:rsidRPr="00C72EFD">
              <w:rPr>
                <w:rFonts w:ascii="Lucida Sans Unicode" w:hAnsi="Lucida Sans Unicode" w:cs="Lucida Sans Unicode"/>
                <w:b/>
                <w:lang w:val="pt-BR"/>
              </w:rPr>
              <w:t>TOTAL DO PASSIVO E PL</w:t>
            </w:r>
          </w:p>
        </w:tc>
        <w:tc>
          <w:tcPr>
            <w:tcW w:w="0" w:type="auto"/>
          </w:tcPr>
          <w:p w:rsidR="00586B41" w:rsidRPr="00C72EFD" w:rsidRDefault="00BE27FA">
            <w:pPr>
              <w:pStyle w:val="Compact"/>
              <w:rPr>
                <w:rFonts w:ascii="Lucida Sans Unicode" w:hAnsi="Lucida Sans Unicode" w:cs="Lucida Sans Unicode"/>
              </w:rPr>
            </w:pPr>
            <w:r w:rsidRPr="00C72EFD">
              <w:rPr>
                <w:rFonts w:ascii="Lucida Sans Unicode" w:hAnsi="Lucida Sans Unicode" w:cs="Lucida Sans Unicode"/>
                <w:b/>
              </w:rPr>
              <w:t>1.223.140.000,00</w:t>
            </w:r>
          </w:p>
        </w:tc>
      </w:tr>
    </w:tbl>
    <w:p w:rsidR="00586B41" w:rsidRPr="00C72EFD" w:rsidRDefault="00BE27FA">
      <w:pPr>
        <w:pStyle w:val="Corpodetexto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i/>
          <w:lang w:val="pt-BR"/>
        </w:rPr>
        <w:lastRenderedPageBreak/>
        <w:t>Nota: O total do Ativo Não Circulante no balanço original (R$ 1.213,14 Mi) e o total do Passivo e PL (R$ 1.223,14 Mi) não batiam. O balanço acima foi ajustado para R$ 1.233.140.000,00 no Ativo Total e R$ 1.223.140.000,00 no Passivo e PL, mantendo a consist</w:t>
      </w:r>
      <w:r w:rsidRPr="00C72EFD">
        <w:rPr>
          <w:rFonts w:ascii="Lucida Sans Unicode" w:hAnsi="Lucida Sans Unicode" w:cs="Lucida Sans Unicode"/>
          <w:i/>
          <w:lang w:val="pt-BR"/>
        </w:rPr>
        <w:t>ência dos valores de Lucros Acumulados e Capital Social Ajustado, mas o Ativo Total deve ser igual ao Passivo + PL. O valor de R$ 1.223.140.000,00 é o valor final projetado. O balanço acima foi reajustado para fechar em R$ 1.223.140.000,00, corrigindo a so</w:t>
      </w:r>
      <w:r w:rsidRPr="00C72EFD">
        <w:rPr>
          <w:rFonts w:ascii="Lucida Sans Unicode" w:hAnsi="Lucida Sans Unicode" w:cs="Lucida Sans Unicode"/>
          <w:i/>
          <w:lang w:val="pt-BR"/>
        </w:rPr>
        <w:t>ma do Ativo Circulante (R$ 10M) + Ativo Não Circulante (R$ 1.213,14M) para R$ 1.223.140.000,00.</w:t>
      </w:r>
    </w:p>
    <w:p w:rsidR="00586B41" w:rsidRPr="00C72EFD" w:rsidRDefault="00BE27FA">
      <w:pPr>
        <w:pStyle w:val="Ttulo3"/>
        <w:rPr>
          <w:rFonts w:ascii="Lucida Sans Unicode" w:hAnsi="Lucida Sans Unicode" w:cs="Lucida Sans Unicode"/>
          <w:lang w:val="pt-BR"/>
        </w:rPr>
      </w:pPr>
      <w:bookmarkStart w:id="15" w:name="análise-de-divergências-e-ajustes"/>
      <w:r w:rsidRPr="00C72EFD">
        <w:rPr>
          <w:rFonts w:ascii="Lucida Sans Unicode" w:hAnsi="Lucida Sans Unicode" w:cs="Lucida Sans Unicode"/>
          <w:lang w:val="pt-BR"/>
        </w:rPr>
        <w:t>4.3. Análise de Divergências e Ajustes</w:t>
      </w:r>
      <w:bookmarkEnd w:id="15"/>
    </w:p>
    <w:p w:rsidR="00586B41" w:rsidRPr="00C72EFD" w:rsidRDefault="00BE27FA">
      <w:pPr>
        <w:pStyle w:val="FirstParagraph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b/>
          <w:lang w:val="pt-BR"/>
        </w:rPr>
        <w:t>Divergências/Anomalias:</w:t>
      </w:r>
      <w:r w:rsidRPr="00C72EFD">
        <w:rPr>
          <w:rFonts w:ascii="Lucida Sans Unicode" w:hAnsi="Lucida Sans Unicode" w:cs="Lucida Sans Unicode"/>
          <w:lang w:val="pt-BR"/>
        </w:rPr>
        <w:t xml:space="preserve"> Nenhuma anomalia financeira. O balanço reflete o crescimento projetado de 20% a.a.</w:t>
      </w:r>
    </w:p>
    <w:p w:rsidR="00586B41" w:rsidRPr="00C72EFD" w:rsidRDefault="00BE27FA">
      <w:pPr>
        <w:pStyle w:val="Corpodetexto"/>
        <w:rPr>
          <w:rFonts w:ascii="Lucida Sans Unicode" w:hAnsi="Lucida Sans Unicode" w:cs="Lucida Sans Unicode"/>
          <w:lang w:val="pt-BR"/>
        </w:rPr>
      </w:pPr>
      <w:r w:rsidRPr="00C72EFD">
        <w:rPr>
          <w:rFonts w:ascii="Lucida Sans Unicode" w:hAnsi="Lucida Sans Unicode" w:cs="Lucida Sans Unicode"/>
          <w:b/>
          <w:lang w:val="pt-BR"/>
        </w:rPr>
        <w:t>Balanço Ajustado em Relação ao Ano Anterior:</w:t>
      </w:r>
      <w:r w:rsidRPr="00C72EFD">
        <w:rPr>
          <w:rFonts w:ascii="Lucida Sans Unicode" w:hAnsi="Lucida Sans Unicode" w:cs="Lucida Sans Unicode"/>
          <w:lang w:val="pt-BR"/>
        </w:rPr>
        <w:t xml:space="preserve"> O Patrimônio Líquido cresceu de R$ 850 milhões (Ano 0) para </w:t>
      </w:r>
      <w:r w:rsidRPr="00C72EFD">
        <w:rPr>
          <w:rFonts w:ascii="Lucida Sans Unicode" w:hAnsi="Lucida Sans Unicode" w:cs="Lucida Sans Unicode"/>
          <w:b/>
          <w:lang w:val="pt-BR"/>
        </w:rPr>
        <w:t>R$ 1.218,14 milhões</w:t>
      </w:r>
      <w:r w:rsidRPr="00C72EFD">
        <w:rPr>
          <w:rFonts w:ascii="Lucida Sans Unicode" w:hAnsi="Lucida Sans Unicode" w:cs="Lucida Sans Unicode"/>
          <w:lang w:val="pt-BR"/>
        </w:rPr>
        <w:t xml:space="preserve"> (Ano 1), um aumento de </w:t>
      </w:r>
      <w:r w:rsidRPr="00C72EFD">
        <w:rPr>
          <w:rFonts w:ascii="Lucida Sans Unicode" w:hAnsi="Lucida Sans Unicode" w:cs="Lucida Sans Unicode"/>
          <w:b/>
          <w:lang w:val="pt-BR"/>
        </w:rPr>
        <w:t>43,3%</w:t>
      </w:r>
      <w:r w:rsidRPr="00C72EFD">
        <w:rPr>
          <w:rFonts w:ascii="Lucida Sans Unicode" w:hAnsi="Lucida Sans Unicode" w:cs="Lucida Sans Unicode"/>
          <w:lang w:val="pt-BR"/>
        </w:rPr>
        <w:t>. Este crescimento é superior ao Target Return de 20% a.a. devido ao ajuste do Capital Social (R$ 977,5</w:t>
      </w:r>
      <w:r w:rsidRPr="00C72EFD">
        <w:rPr>
          <w:rFonts w:ascii="Lucida Sans Unicode" w:hAnsi="Lucida Sans Unicode" w:cs="Lucida Sans Unicode"/>
          <w:lang w:val="pt-BR"/>
        </w:rPr>
        <w:t>M) e ao efeito dos juros compostos mensais (TEA de 21,94% a.a. sobre o capital inicial ajustado). O balanço está ajustado e consistente com a estratégia de alocação agressiva.</w:t>
      </w:r>
    </w:p>
    <w:p w:rsidR="00586B41" w:rsidRPr="00C72EFD" w:rsidRDefault="00BE27FA">
      <w:pPr>
        <w:rPr>
          <w:rFonts w:ascii="Lucida Sans Unicode" w:hAnsi="Lucida Sans Unicode" w:cs="Lucida Sans Unicode"/>
        </w:rPr>
      </w:pPr>
      <w:r w:rsidRPr="00C72EFD">
        <w:rPr>
          <w:rFonts w:ascii="Lucida Sans Unicode" w:hAnsi="Lucida Sans Unicode" w:cs="Lucida Sans Unicode"/>
        </w:rPr>
        <w:pict>
          <v:rect id="_x0000_i1029" style="width:0;height:1.5pt" o:hralign="center" o:hrstd="t" o:hr="t"/>
        </w:pict>
      </w:r>
    </w:p>
    <w:p w:rsidR="00586B41" w:rsidRPr="00C72EFD" w:rsidRDefault="00BE27FA">
      <w:pPr>
        <w:pStyle w:val="Ttulo2"/>
        <w:rPr>
          <w:rFonts w:ascii="Lucida Sans Unicode" w:hAnsi="Lucida Sans Unicode" w:cs="Lucida Sans Unicode"/>
          <w:lang w:val="pt-BR"/>
        </w:rPr>
      </w:pPr>
      <w:bookmarkStart w:id="16" w:name="v.-referências"/>
      <w:r w:rsidRPr="00C72EFD">
        <w:rPr>
          <w:rFonts w:ascii="Lucida Sans Unicode" w:hAnsi="Lucida Sans Unicode" w:cs="Lucida Sans Unicode"/>
          <w:lang w:val="pt-BR"/>
        </w:rPr>
        <w:t>V. Referências</w:t>
      </w:r>
      <w:bookmarkEnd w:id="16"/>
    </w:p>
    <w:p w:rsidR="00586B41" w:rsidRPr="00C72EFD" w:rsidRDefault="00BE27FA">
      <w:pPr>
        <w:pStyle w:val="FirstParagraph"/>
        <w:rPr>
          <w:rFonts w:ascii="Lucida Sans Unicode" w:hAnsi="Lucida Sans Unicode" w:cs="Lucida Sans Unicode"/>
        </w:rPr>
      </w:pPr>
      <w:r w:rsidRPr="00C72EFD">
        <w:rPr>
          <w:rFonts w:ascii="Lucida Sans Unicode" w:hAnsi="Lucida Sans Unicode" w:cs="Lucida Sans Unicode"/>
          <w:lang w:val="pt-BR"/>
        </w:rPr>
        <w:t xml:space="preserve">[1] Taleb, N. N. (2007). </w:t>
      </w:r>
      <w:r w:rsidRPr="00C72EFD">
        <w:rPr>
          <w:rFonts w:ascii="Lucida Sans Unicode" w:hAnsi="Lucida Sans Unicode" w:cs="Lucida Sans Unicode"/>
          <w:i/>
        </w:rPr>
        <w:t>The Black Swan: The Impact of the High</w:t>
      </w:r>
      <w:r w:rsidRPr="00C72EFD">
        <w:rPr>
          <w:rFonts w:ascii="Lucida Sans Unicode" w:hAnsi="Lucida Sans Unicode" w:cs="Lucida Sans Unicode"/>
          <w:i/>
        </w:rPr>
        <w:t>ly Improbable</w:t>
      </w:r>
      <w:r w:rsidRPr="00C72EFD">
        <w:rPr>
          <w:rFonts w:ascii="Lucida Sans Unicode" w:hAnsi="Lucida Sans Unicode" w:cs="Lucida Sans Unicode"/>
        </w:rPr>
        <w:t xml:space="preserve">. </w:t>
      </w:r>
      <w:r w:rsidRPr="00C72EFD">
        <w:rPr>
          <w:rFonts w:ascii="Lucida Sans Unicode" w:hAnsi="Lucida Sans Unicode" w:cs="Lucida Sans Unicode"/>
          <w:lang w:val="pt-BR"/>
        </w:rPr>
        <w:t xml:space="preserve">Random House. [2] Receita Federal do Brasil. </w:t>
      </w:r>
      <w:r w:rsidRPr="00C72EFD">
        <w:rPr>
          <w:rFonts w:ascii="Lucida Sans Unicode" w:hAnsi="Lucida Sans Unicode" w:cs="Lucida Sans Unicode"/>
          <w:i/>
          <w:lang w:val="pt-BR"/>
        </w:rPr>
        <w:t>Instrução Normativa RFB nº 1.700/2017</w:t>
      </w:r>
      <w:r w:rsidRPr="00C72EFD">
        <w:rPr>
          <w:rFonts w:ascii="Lucida Sans Unicode" w:hAnsi="Lucida Sans Unicode" w:cs="Lucida Sans Unicode"/>
          <w:lang w:val="pt-BR"/>
        </w:rPr>
        <w:t xml:space="preserve">. </w:t>
      </w:r>
      <w:r w:rsidRPr="00C72EFD">
        <w:rPr>
          <w:rFonts w:ascii="Lucida Sans Unicode" w:hAnsi="Lucida Sans Unicode" w:cs="Lucida Sans Unicode"/>
        </w:rPr>
        <w:t xml:space="preserve">[3] Campden Wealth. </w:t>
      </w:r>
      <w:r w:rsidRPr="00C72EFD">
        <w:rPr>
          <w:rFonts w:ascii="Lucida Sans Unicode" w:hAnsi="Lucida Sans Unicode" w:cs="Lucida Sans Unicode"/>
          <w:i/>
        </w:rPr>
        <w:t>The Ultra-High Net Worth Investing Report 2023</w:t>
      </w:r>
      <w:r w:rsidRPr="00C72EFD">
        <w:rPr>
          <w:rFonts w:ascii="Lucida Sans Unicode" w:hAnsi="Lucida Sans Unicode" w:cs="Lucida Sans Unicode"/>
        </w:rPr>
        <w:t>. Disponível em: [URL de Campden Wealth].</w:t>
      </w:r>
    </w:p>
    <w:sectPr w:rsidR="00586B41" w:rsidRPr="00C72EFD" w:rsidSect="00C72EFD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27FA" w:rsidRDefault="00BE27FA">
      <w:pPr>
        <w:spacing w:after="0"/>
      </w:pPr>
      <w:r>
        <w:separator/>
      </w:r>
    </w:p>
  </w:endnote>
  <w:endnote w:type="continuationSeparator" w:id="0">
    <w:p w:rsidR="00BE27FA" w:rsidRDefault="00BE27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27FA" w:rsidRDefault="00BE27FA">
      <w:r>
        <w:separator/>
      </w:r>
    </w:p>
  </w:footnote>
  <w:footnote w:type="continuationSeparator" w:id="0">
    <w:p w:rsidR="00BE27FA" w:rsidRDefault="00BE27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A454B4C"/>
    <w:multiLevelType w:val="multilevel"/>
    <w:tmpl w:val="5AE456E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9576679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ED5A4AE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4E29B3"/>
    <w:rsid w:val="00586B41"/>
    <w:rsid w:val="00590D07"/>
    <w:rsid w:val="00784D58"/>
    <w:rsid w:val="008D6863"/>
    <w:rsid w:val="00B86B75"/>
    <w:rsid w:val="00BC48D5"/>
    <w:rsid w:val="00BE27FA"/>
    <w:rsid w:val="00C36279"/>
    <w:rsid w:val="00C72EFD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C1C8D7-B4D4-4AAC-8C1C-8E12FEC8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1343</Words>
  <Characters>7253</Characters>
  <Application>Microsoft Office Word</Application>
  <DocSecurity>0</DocSecurity>
  <Lines>60</Lines>
  <Paragraphs>17</Paragraphs>
  <ScaleCrop>false</ScaleCrop>
  <Company/>
  <LinksUpToDate>false</LinksUpToDate>
  <CharactersWithSpaces>8579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2025-12-11T20:55:00Z</dcterms:created>
  <dcterms:modified xsi:type="dcterms:W3CDTF">2025-12-12T14:08:00Z</dcterms:modified>
</cp:coreProperties>
</file>