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56A" w:rsidRPr="002234D0" w:rsidRDefault="006B2607">
      <w:pPr>
        <w:pStyle w:val="Ttulo1"/>
        <w:rPr>
          <w:sz w:val="52"/>
          <w:szCs w:val="52"/>
          <w:lang w:val="pt-BR"/>
        </w:rPr>
      </w:pPr>
      <w:bookmarkStart w:id="0" w:name="X93ea6a973862d270ac36eb77d2801f74a693752"/>
      <w:r w:rsidRPr="002234D0">
        <w:rPr>
          <w:sz w:val="52"/>
          <w:szCs w:val="52"/>
          <w:lang w:val="pt-BR"/>
        </w:rPr>
        <w:t xml:space="preserve">Relatório de Análise Crítica </w:t>
      </w:r>
      <w:r w:rsidR="002234D0">
        <w:rPr>
          <w:sz w:val="52"/>
          <w:szCs w:val="52"/>
          <w:lang w:val="pt-BR"/>
        </w:rPr>
        <w:br/>
      </w:r>
      <w:r w:rsidRPr="002234D0">
        <w:rPr>
          <w:sz w:val="52"/>
          <w:szCs w:val="52"/>
          <w:lang w:val="pt-BR"/>
        </w:rPr>
        <w:t xml:space="preserve">e Balanço Patrimonial </w:t>
      </w:r>
      <w:r w:rsidRPr="002234D0">
        <w:rPr>
          <w:lang w:val="pt-BR"/>
        </w:rPr>
        <w:t>- Ano 0</w:t>
      </w:r>
      <w:bookmarkEnd w:id="0"/>
    </w:p>
    <w:p w:rsidR="0080256A" w:rsidRPr="002234D0" w:rsidRDefault="006B2607">
      <w:pPr>
        <w:pStyle w:val="Ttulo2"/>
        <w:rPr>
          <w:lang w:val="pt-BR"/>
        </w:rPr>
      </w:pPr>
      <w:bookmarkStart w:id="1" w:name="projeto-legado-lucas"/>
      <w:r w:rsidRPr="002234D0">
        <w:rPr>
          <w:lang w:val="pt-BR"/>
        </w:rPr>
        <w:t>Projeto “Legado Lucas”</w:t>
      </w:r>
      <w:bookmarkEnd w:id="1"/>
    </w:p>
    <w:p w:rsidR="0080256A" w:rsidRPr="002234D0" w:rsidRDefault="006B2607">
      <w:pPr>
        <w:pStyle w:val="FirstParagraph"/>
        <w:rPr>
          <w:lang w:val="pt-BR"/>
        </w:rPr>
      </w:pPr>
      <w:r w:rsidRPr="002234D0">
        <w:rPr>
          <w:b/>
          <w:lang w:val="pt-BR"/>
        </w:rPr>
        <w:t>Autor:</w:t>
      </w:r>
      <w:r w:rsidRPr="002234D0">
        <w:rPr>
          <w:lang w:val="pt-BR"/>
        </w:rPr>
        <w:t xml:space="preserve"> Manus AI </w:t>
      </w:r>
      <w:r w:rsidRPr="002234D0">
        <w:rPr>
          <w:b/>
          <w:lang w:val="pt-BR"/>
        </w:rPr>
        <w:t>Data:</w:t>
      </w:r>
      <w:r w:rsidRPr="002234D0">
        <w:rPr>
          <w:lang w:val="pt-BR"/>
        </w:rPr>
        <w:t xml:space="preserve"> 11 de Dezembro de 2025 </w:t>
      </w:r>
      <w:r w:rsidRPr="002234D0">
        <w:rPr>
          <w:b/>
          <w:lang w:val="pt-BR"/>
        </w:rPr>
        <w:t>Versão:</w:t>
      </w:r>
      <w:r w:rsidRPr="002234D0">
        <w:rPr>
          <w:lang w:val="pt-BR"/>
        </w:rPr>
        <w:t xml:space="preserve"> 1.0</w:t>
      </w:r>
    </w:p>
    <w:p w:rsidR="0080256A" w:rsidRDefault="006B2607">
      <w:r>
        <w:pict>
          <v:rect id="_x0000_i1025" style="width:0;height:1.5pt" o:hralign="center" o:hrstd="t" o:hr="t"/>
        </w:pict>
      </w:r>
    </w:p>
    <w:p w:rsidR="0080256A" w:rsidRPr="002234D0" w:rsidRDefault="006B2607" w:rsidP="002234D0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2" w:name="i.-resumo-executivo"/>
      <w:r w:rsidRPr="002234D0">
        <w:rPr>
          <w:rFonts w:ascii="Lucida Sans Unicode" w:hAnsi="Lucida Sans Unicode" w:cs="Lucida Sans Unicode"/>
          <w:lang w:val="pt-BR"/>
        </w:rPr>
        <w:t>I. Resumo Executivo</w:t>
      </w:r>
      <w:bookmarkEnd w:id="2"/>
    </w:p>
    <w:p w:rsidR="0080256A" w:rsidRPr="002234D0" w:rsidRDefault="006B2607" w:rsidP="002234D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lang w:val="pt-BR"/>
        </w:rPr>
        <w:t xml:space="preserve">O </w:t>
      </w:r>
      <w:r w:rsidRPr="002234D0">
        <w:rPr>
          <w:rFonts w:ascii="Lucida Sans Unicode" w:hAnsi="Lucida Sans Unicode" w:cs="Lucida Sans Unicode"/>
          <w:b/>
          <w:lang w:val="pt-BR"/>
        </w:rPr>
        <w:t>Ano 0</w:t>
      </w:r>
      <w:r w:rsidRPr="002234D0">
        <w:rPr>
          <w:rFonts w:ascii="Lucida Sans Unicode" w:hAnsi="Lucida Sans Unicode" w:cs="Lucida Sans Unicode"/>
          <w:lang w:val="pt-BR"/>
        </w:rPr>
        <w:t xml:space="preserve"> do Projeto “Legado Lucas” </w:t>
      </w:r>
      <w:r w:rsidRPr="002234D0">
        <w:rPr>
          <w:rFonts w:ascii="Lucida Sans Unicode" w:hAnsi="Lucida Sans Unicode" w:cs="Lucida Sans Unicode"/>
          <w:lang w:val="pt-BR"/>
        </w:rPr>
        <w:t xml:space="preserve">marca a fase de concepção e estruturação de um ambicioso plano de gestão patrimonial e sucessória. O objetivo central é transformar um capital inicial de </w:t>
      </w:r>
      <w:r w:rsidRPr="002234D0">
        <w:rPr>
          <w:rFonts w:ascii="Lucida Sans Unicode" w:hAnsi="Lucida Sans Unicode" w:cs="Lucida Sans Unicode"/>
          <w:b/>
          <w:lang w:val="pt-BR"/>
        </w:rPr>
        <w:t>R$ 850 milhões</w:t>
      </w:r>
      <w:r w:rsidRPr="002234D0">
        <w:rPr>
          <w:rFonts w:ascii="Lucida Sans Unicode" w:hAnsi="Lucida Sans Unicode" w:cs="Lucida Sans Unicode"/>
          <w:lang w:val="pt-BR"/>
        </w:rPr>
        <w:t xml:space="preserve"> em um ecossistema financeiro e social autossustentável, com um patrimônio líquido-alvo </w:t>
      </w:r>
      <w:r w:rsidRPr="002234D0">
        <w:rPr>
          <w:rFonts w:ascii="Lucida Sans Unicode" w:hAnsi="Lucida Sans Unicode" w:cs="Lucida Sans Unicode"/>
          <w:lang w:val="pt-BR"/>
        </w:rPr>
        <w:t xml:space="preserve">entre </w:t>
      </w:r>
      <w:r w:rsidRPr="002234D0">
        <w:rPr>
          <w:rFonts w:ascii="Lucida Sans Unicode" w:hAnsi="Lucida Sans Unicode" w:cs="Lucida Sans Unicode"/>
          <w:b/>
          <w:lang w:val="pt-BR"/>
        </w:rPr>
        <w:t>R$ 10 e R$ 12,5 bilhões</w:t>
      </w:r>
      <w:r w:rsidRPr="002234D0">
        <w:rPr>
          <w:rFonts w:ascii="Lucida Sans Unicode" w:hAnsi="Lucida Sans Unicode" w:cs="Lucida Sans Unicode"/>
          <w:lang w:val="pt-BR"/>
        </w:rPr>
        <w:t xml:space="preserve"> em um horizonte de 10 anos. Este crescimento exponencial requer uma Taxa de Crescimento Anual Composta (CAGR) entre 27,5% e 31,6%, sustentada por um Retorno Alvo (Target Return) da carteira de investimentos de 15% ao ano.</w:t>
      </w:r>
    </w:p>
    <w:p w:rsidR="0080256A" w:rsidRPr="002234D0" w:rsidRDefault="006B2607" w:rsidP="002234D0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lang w:val="pt-BR"/>
        </w:rPr>
        <w:t>A es</w:t>
      </w:r>
      <w:r w:rsidRPr="002234D0">
        <w:rPr>
          <w:rFonts w:ascii="Lucida Sans Unicode" w:hAnsi="Lucida Sans Unicode" w:cs="Lucida Sans Unicode"/>
          <w:lang w:val="pt-BR"/>
        </w:rPr>
        <w:t xml:space="preserve">tratégia é fundamentada em três pilares interconectados: </w:t>
      </w:r>
      <w:r w:rsidRPr="002234D0">
        <w:rPr>
          <w:rFonts w:ascii="Lucida Sans Unicode" w:hAnsi="Lucida Sans Unicode" w:cs="Lucida Sans Unicode"/>
          <w:b/>
          <w:lang w:val="pt-BR"/>
        </w:rPr>
        <w:t>Blindagem Jurídica</w:t>
      </w:r>
      <w:r w:rsidRPr="002234D0">
        <w:rPr>
          <w:rFonts w:ascii="Lucida Sans Unicode" w:hAnsi="Lucida Sans Unicode" w:cs="Lucida Sans Unicode"/>
          <w:lang w:val="pt-BR"/>
        </w:rPr>
        <w:t xml:space="preserve"> (via estrutura híbrida multi-jurisdicional “Cayman Sandwich”), </w:t>
      </w:r>
      <w:r w:rsidRPr="002234D0">
        <w:rPr>
          <w:rFonts w:ascii="Lucida Sans Unicode" w:hAnsi="Lucida Sans Unicode" w:cs="Lucida Sans Unicode"/>
          <w:b/>
          <w:lang w:val="pt-BR"/>
        </w:rPr>
        <w:t>Engenharia Financeira de Alta Performance</w:t>
      </w:r>
      <w:r w:rsidRPr="002234D0">
        <w:rPr>
          <w:rFonts w:ascii="Lucida Sans Unicode" w:hAnsi="Lucida Sans Unicode" w:cs="Lucida Sans Unicode"/>
          <w:lang w:val="pt-BR"/>
        </w:rPr>
        <w:t xml:space="preserve"> (com alocação agressiva em Private Equity e Hedge Funds) e </w:t>
      </w:r>
      <w:r w:rsidRPr="002234D0">
        <w:rPr>
          <w:rFonts w:ascii="Lucida Sans Unicode" w:hAnsi="Lucida Sans Unicode" w:cs="Lucida Sans Unicode"/>
          <w:b/>
          <w:lang w:val="pt-BR"/>
        </w:rPr>
        <w:t>Governança Inova</w:t>
      </w:r>
      <w:r w:rsidRPr="002234D0">
        <w:rPr>
          <w:rFonts w:ascii="Lucida Sans Unicode" w:hAnsi="Lucida Sans Unicode" w:cs="Lucida Sans Unicode"/>
          <w:b/>
          <w:lang w:val="pt-BR"/>
        </w:rPr>
        <w:t>dora</w:t>
      </w:r>
      <w:r w:rsidRPr="002234D0">
        <w:rPr>
          <w:rFonts w:ascii="Lucida Sans Unicode" w:hAnsi="Lucida Sans Unicode" w:cs="Lucida Sans Unicode"/>
          <w:lang w:val="pt-BR"/>
        </w:rPr>
        <w:t xml:space="preserve"> (Protocolo de Decisão Ponderado - PDP). A fase inicial (Ano 0) concentra-se integralmente na arquitetura legal e na contratação da equipe de elite (Single Family Office - SFO) para garantir a máxima proteção do capital principal e estabelecer as bases</w:t>
      </w:r>
      <w:r w:rsidRPr="002234D0">
        <w:rPr>
          <w:rFonts w:ascii="Lucida Sans Unicode" w:hAnsi="Lucida Sans Unicode" w:cs="Lucida Sans Unicode"/>
          <w:lang w:val="pt-BR"/>
        </w:rPr>
        <w:t xml:space="preserve"> para a alocação agressiva de capital nos anos subsequentes.</w:t>
      </w:r>
    </w:p>
    <w:p w:rsidR="0080256A" w:rsidRPr="002234D0" w:rsidRDefault="006B2607" w:rsidP="002234D0">
      <w:pPr>
        <w:jc w:val="both"/>
        <w:rPr>
          <w:rFonts w:ascii="Lucida Sans Unicode" w:hAnsi="Lucida Sans Unicode" w:cs="Lucida Sans Unicode"/>
        </w:rPr>
      </w:pPr>
      <w:r w:rsidRPr="002234D0">
        <w:rPr>
          <w:rFonts w:ascii="Lucida Sans Unicode" w:hAnsi="Lucida Sans Unicode" w:cs="Lucida Sans Unicode"/>
        </w:rPr>
        <w:pict>
          <v:rect id="_x0000_i1026" style="width:0;height:1.5pt" o:hralign="center" o:hrstd="t" o:hr="t"/>
        </w:pict>
      </w:r>
    </w:p>
    <w:p w:rsidR="002234D0" w:rsidRDefault="002234D0" w:rsidP="002234D0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3" w:name="X65142c80d3f339b86c0cc0ec2fbbe947ea0eea3"/>
    </w:p>
    <w:p w:rsidR="002234D0" w:rsidRDefault="002234D0" w:rsidP="002234D0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2234D0" w:rsidRDefault="002234D0" w:rsidP="002234D0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2234D0" w:rsidRPr="002234D0" w:rsidRDefault="002234D0" w:rsidP="002234D0">
      <w:pPr>
        <w:pStyle w:val="Corpodetexto"/>
        <w:rPr>
          <w:lang w:val="pt-BR"/>
        </w:rPr>
      </w:pPr>
    </w:p>
    <w:p w:rsidR="0080256A" w:rsidRPr="002234D0" w:rsidRDefault="002234D0" w:rsidP="002234D0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r>
        <w:rPr>
          <w:rFonts w:ascii="Lucida Sans Unicode" w:hAnsi="Lucida Sans Unicode" w:cs="Lucida Sans Unicode"/>
          <w:lang w:val="pt-BR"/>
        </w:rPr>
        <w:lastRenderedPageBreak/>
        <w:br/>
      </w:r>
      <w:r w:rsidR="006B2607" w:rsidRPr="002234D0">
        <w:rPr>
          <w:rFonts w:ascii="Lucida Sans Unicode" w:hAnsi="Lucida Sans Unicode" w:cs="Lucida Sans Unicode"/>
          <w:lang w:val="pt-BR"/>
        </w:rPr>
        <w:t>II. Descrição Detalhada do Projeto (Ano 0 - Estruturação)</w:t>
      </w:r>
      <w:bookmarkEnd w:id="3"/>
    </w:p>
    <w:p w:rsidR="0080256A" w:rsidRPr="002234D0" w:rsidRDefault="006B2607" w:rsidP="002234D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lang w:val="pt-BR"/>
        </w:rPr>
        <w:t xml:space="preserve">O Projeto “Legado Lucas” é um modelo de </w:t>
      </w:r>
      <w:r w:rsidRPr="002234D0">
        <w:rPr>
          <w:rFonts w:ascii="Lucida Sans Unicode" w:hAnsi="Lucida Sans Unicode" w:cs="Lucida Sans Unicode"/>
          <w:i/>
          <w:lang w:val="pt-BR"/>
        </w:rPr>
        <w:t>Family Office</w:t>
      </w:r>
      <w:r w:rsidRPr="002234D0">
        <w:rPr>
          <w:rFonts w:ascii="Lucida Sans Unicode" w:hAnsi="Lucida Sans Unicode" w:cs="Lucida Sans Unicode"/>
          <w:lang w:val="pt-BR"/>
        </w:rPr>
        <w:t xml:space="preserve"> de nova geração, desenhado para transcender a mera gestão de riqueza, integrando-</w:t>
      </w:r>
      <w:r w:rsidRPr="002234D0">
        <w:rPr>
          <w:rFonts w:ascii="Lucida Sans Unicode" w:hAnsi="Lucida Sans Unicode" w:cs="Lucida Sans Unicode"/>
          <w:lang w:val="pt-BR"/>
        </w:rPr>
        <w:t>a com impacto social perpétuo e governança familiar.</w:t>
      </w:r>
    </w:p>
    <w:p w:rsidR="0080256A" w:rsidRPr="002234D0" w:rsidRDefault="006B2607" w:rsidP="002234D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4" w:name="X97032295a08e7e5fb25c0f914d1144e3539e641"/>
      <w:r w:rsidRPr="002234D0">
        <w:rPr>
          <w:rFonts w:ascii="Lucida Sans Unicode" w:hAnsi="Lucida Sans Unicode" w:cs="Lucida Sans Unicode"/>
          <w:lang w:val="pt-BR"/>
        </w:rPr>
        <w:t>2.1. Arquitetura Jurídica e Blindagem Patrimonial</w:t>
      </w:r>
      <w:bookmarkEnd w:id="4"/>
    </w:p>
    <w:p w:rsidR="0080256A" w:rsidRPr="002234D0" w:rsidRDefault="006B2607" w:rsidP="002234D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lang w:val="pt-BR"/>
        </w:rPr>
        <w:t xml:space="preserve">A principal ação do Ano 0 é a implementação da estrutura </w:t>
      </w:r>
      <w:r w:rsidRPr="002234D0">
        <w:rPr>
          <w:rFonts w:ascii="Lucida Sans Unicode" w:hAnsi="Lucida Sans Unicode" w:cs="Lucida Sans Unicode"/>
          <w:b/>
          <w:lang w:val="pt-BR"/>
        </w:rPr>
        <w:t>“Cayman Sandwich”</w:t>
      </w:r>
      <w:r w:rsidRPr="002234D0">
        <w:rPr>
          <w:rFonts w:ascii="Lucida Sans Unicode" w:hAnsi="Lucida Sans Unicode" w:cs="Lucida Sans Unicode"/>
          <w:lang w:val="pt-BR"/>
        </w:rPr>
        <w:t>, uma arquitetura jurídica híbrida e robusta para blindagem patrimonial e efici</w:t>
      </w:r>
      <w:r w:rsidRPr="002234D0">
        <w:rPr>
          <w:rFonts w:ascii="Lucida Sans Unicode" w:hAnsi="Lucida Sans Unicode" w:cs="Lucida Sans Unicode"/>
          <w:lang w:val="pt-BR"/>
        </w:rPr>
        <w:t>ência tributária: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000"/>
        <w:gridCol w:w="2001"/>
        <w:gridCol w:w="2030"/>
        <w:gridCol w:w="2502"/>
        <w:gridCol w:w="2483"/>
      </w:tblGrid>
      <w:tr w:rsidR="0080256A" w:rsidRPr="002234D0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Camada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Jurisdição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Veículo Proposto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Função Principal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Vantagem Estratégica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1. Blindagem e Sucessão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Ilhas Cayman / Jersey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Trust Irrevogável e Discricionário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lang w:val="pt-BR"/>
              </w:rPr>
              <w:t>Proprietário final dos ativos; planejamento sucessório.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lang w:val="pt-BR"/>
              </w:rPr>
              <w:t>Segregação patrimonial, evitando inventário e flexibilidade na distribuição.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2. Holding de Investimentos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Ilhas Cayman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Exempted Company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lang w:val="pt-BR"/>
              </w:rPr>
              <w:t>Holding intermediária; controle dos veículos operacionais.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lang w:val="pt-BR"/>
              </w:rPr>
              <w:t>Zero tributação local e acesso a rede de tratados.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3. Veícul</w:t>
            </w:r>
            <w:r w:rsidRPr="002234D0">
              <w:rPr>
                <w:rFonts w:ascii="Lucida Sans Unicode" w:hAnsi="Lucida Sans Unicode" w:cs="Lucida Sans Unicode"/>
                <w:b/>
              </w:rPr>
              <w:t>os Operacionais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Delaware (EUA), Singapura, Luxemburgo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LLC, VCC, SOPARFI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lang w:val="pt-BR"/>
              </w:rPr>
              <w:t>Investimentos em PE/VC, Hedge Funds, Ações Globais e Ativos Europeus.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lang w:val="pt-BR"/>
              </w:rPr>
              <w:t>Otimização tributária (pass-through taxation) e flexibilidade operacional.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4. Ativos Locais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Brasil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Holding Famili</w:t>
            </w:r>
            <w:r w:rsidRPr="002234D0">
              <w:rPr>
                <w:rFonts w:ascii="Lucida Sans Unicode" w:hAnsi="Lucida Sans Unicode" w:cs="Lucida Sans Unicode"/>
              </w:rPr>
              <w:t>ar (Ltda./S.A.)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lang w:val="pt-BR"/>
              </w:rPr>
              <w:t>Gestão de ativos brasileiros (imóveis, participações, FIIs).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lang w:val="pt-BR"/>
              </w:rPr>
              <w:t>Otimização via JCP e planejamento sucessório local.</w:t>
            </w:r>
          </w:p>
        </w:tc>
      </w:tr>
    </w:tbl>
    <w:p w:rsidR="002234D0" w:rsidRDefault="002234D0" w:rsidP="002234D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5" w:name="estratégia-de-investimento-projeção"/>
    </w:p>
    <w:p w:rsidR="00745FCA" w:rsidRPr="00745FCA" w:rsidRDefault="00745FCA" w:rsidP="00745FCA">
      <w:pPr>
        <w:pStyle w:val="Corpodetexto"/>
        <w:rPr>
          <w:lang w:val="pt-BR"/>
        </w:rPr>
      </w:pPr>
    </w:p>
    <w:p w:rsidR="0080256A" w:rsidRPr="002234D0" w:rsidRDefault="006B2607" w:rsidP="002234D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lang w:val="pt-BR"/>
        </w:rPr>
        <w:lastRenderedPageBreak/>
        <w:t>2.2. Estratégia de Investimento (Projeção)</w:t>
      </w:r>
      <w:bookmarkEnd w:id="5"/>
    </w:p>
    <w:p w:rsidR="0080256A" w:rsidRPr="002234D0" w:rsidRDefault="006B2607" w:rsidP="002234D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lang w:val="pt-BR"/>
        </w:rPr>
        <w:t xml:space="preserve">A alocação de ativos é projetada para um </w:t>
      </w:r>
      <w:r w:rsidRPr="002234D0">
        <w:rPr>
          <w:rFonts w:ascii="Lucida Sans Unicode" w:hAnsi="Lucida Sans Unicode" w:cs="Lucida Sans Unicode"/>
          <w:b/>
          <w:lang w:val="pt-BR"/>
        </w:rPr>
        <w:t>Target Return de 15% a.a.</w:t>
      </w:r>
      <w:r w:rsidRPr="002234D0">
        <w:rPr>
          <w:rFonts w:ascii="Lucida Sans Unicode" w:hAnsi="Lucida Sans Unicode" w:cs="Lucida Sans Unicode"/>
          <w:lang w:val="pt-BR"/>
        </w:rPr>
        <w:t>, líquido de custos operacionais, através de uma carteira diversificada e agressiva: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846"/>
        <w:gridCol w:w="1581"/>
        <w:gridCol w:w="2045"/>
        <w:gridCol w:w="2544"/>
      </w:tblGrid>
      <w:tr w:rsidR="0080256A" w:rsidRPr="002234D0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Classe de 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Alocação (%)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Valor Alvo (R$ Mi)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Retorno Racional (a.a.)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Private Equity / Venture Capital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35%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297.5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18% - 25%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Hedge Funds Multiestratégia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25%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212.5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10% - 15%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Ações Globais (Desenvolvidos + Emergentes)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20%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170.0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8% - 12%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lang w:val="pt-BR"/>
              </w:rPr>
              <w:t>Renda Fixa Global &amp; Real Assets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20%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170.0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5% - 10%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Total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100%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850.0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~15%</w:t>
            </w:r>
          </w:p>
        </w:tc>
      </w:tr>
    </w:tbl>
    <w:p w:rsidR="0080256A" w:rsidRPr="002234D0" w:rsidRDefault="006B2607" w:rsidP="002234D0">
      <w:pPr>
        <w:pStyle w:val="Ttulo3"/>
        <w:jc w:val="both"/>
        <w:rPr>
          <w:rFonts w:ascii="Lucida Sans Unicode" w:hAnsi="Lucida Sans Unicode" w:cs="Lucida Sans Unicode"/>
        </w:rPr>
      </w:pPr>
      <w:bookmarkStart w:id="6" w:name="governança-e-sucessão"/>
      <w:r w:rsidRPr="002234D0">
        <w:rPr>
          <w:rFonts w:ascii="Lucida Sans Unicode" w:hAnsi="Lucida Sans Unicode" w:cs="Lucida Sans Unicode"/>
        </w:rPr>
        <w:t>2.3. Governança e Sucessão</w:t>
      </w:r>
      <w:bookmarkEnd w:id="6"/>
    </w:p>
    <w:p w:rsidR="0080256A" w:rsidRPr="002234D0" w:rsidRDefault="006B2607" w:rsidP="002234D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lang w:val="pt-BR"/>
        </w:rPr>
        <w:t xml:space="preserve">O modelo de </w:t>
      </w:r>
      <w:r w:rsidRPr="002234D0">
        <w:rPr>
          <w:rFonts w:ascii="Lucida Sans Unicode" w:hAnsi="Lucida Sans Unicode" w:cs="Lucida Sans Unicode"/>
          <w:b/>
          <w:lang w:val="pt-BR"/>
        </w:rPr>
        <w:t>Governança Quântica</w:t>
      </w:r>
      <w:r w:rsidRPr="002234D0">
        <w:rPr>
          <w:rFonts w:ascii="Lucida Sans Unicode" w:hAnsi="Lucida Sans Unicode" w:cs="Lucida Sans Unicode"/>
          <w:lang w:val="pt-BR"/>
        </w:rPr>
        <w:t xml:space="preserve"> </w:t>
      </w:r>
      <w:r w:rsidRPr="002234D0">
        <w:rPr>
          <w:rFonts w:ascii="Lucida Sans Unicode" w:hAnsi="Lucida Sans Unicode" w:cs="Lucida Sans Unicode"/>
          <w:lang w:val="pt-BR"/>
        </w:rPr>
        <w:t xml:space="preserve">(Protocolo de Decisão Ponderado - PDP) é estabelecido para a tomada de decisão, ponderando: </w:t>
      </w:r>
      <w:r w:rsidRPr="002234D0">
        <w:rPr>
          <w:rFonts w:ascii="Lucida Sans Unicode" w:hAnsi="Lucida Sans Unicode" w:cs="Lucida Sans Unicode"/>
          <w:b/>
          <w:lang w:val="pt-BR"/>
        </w:rPr>
        <w:t>70% Análise Técnica</w:t>
      </w:r>
      <w:r w:rsidRPr="002234D0">
        <w:rPr>
          <w:rFonts w:ascii="Lucida Sans Unicode" w:hAnsi="Lucida Sans Unicode" w:cs="Lucida Sans Unicode"/>
          <w:lang w:val="pt-BR"/>
        </w:rPr>
        <w:t xml:space="preserve">, </w:t>
      </w:r>
      <w:r w:rsidRPr="002234D0">
        <w:rPr>
          <w:rFonts w:ascii="Lucida Sans Unicode" w:hAnsi="Lucida Sans Unicode" w:cs="Lucida Sans Unicode"/>
          <w:b/>
          <w:lang w:val="pt-BR"/>
        </w:rPr>
        <w:t>20% Intuição do Fundador</w:t>
      </w:r>
      <w:r w:rsidRPr="002234D0">
        <w:rPr>
          <w:rFonts w:ascii="Lucida Sans Unicode" w:hAnsi="Lucida Sans Unicode" w:cs="Lucida Sans Unicode"/>
          <w:lang w:val="pt-BR"/>
        </w:rPr>
        <w:t xml:space="preserve"> e </w:t>
      </w:r>
      <w:r w:rsidRPr="002234D0">
        <w:rPr>
          <w:rFonts w:ascii="Lucida Sans Unicode" w:hAnsi="Lucida Sans Unicode" w:cs="Lucida Sans Unicode"/>
          <w:b/>
          <w:lang w:val="pt-BR"/>
        </w:rPr>
        <w:t>10% Alinhamento Ético</w:t>
      </w:r>
      <w:r w:rsidRPr="002234D0">
        <w:rPr>
          <w:rFonts w:ascii="Lucida Sans Unicode" w:hAnsi="Lucida Sans Unicode" w:cs="Lucida Sans Unicode"/>
          <w:lang w:val="pt-BR"/>
        </w:rPr>
        <w:t xml:space="preserve">. O Ano 0 também inclui o planejamento da </w:t>
      </w:r>
      <w:r w:rsidRPr="002234D0">
        <w:rPr>
          <w:rFonts w:ascii="Lucida Sans Unicode" w:hAnsi="Lucida Sans Unicode" w:cs="Lucida Sans Unicode"/>
          <w:b/>
          <w:lang w:val="pt-BR"/>
        </w:rPr>
        <w:t>ORSECA</w:t>
      </w:r>
      <w:r w:rsidRPr="002234D0">
        <w:rPr>
          <w:rFonts w:ascii="Lucida Sans Unicode" w:hAnsi="Lucida Sans Unicode" w:cs="Lucida Sans Unicode"/>
          <w:lang w:val="pt-BR"/>
        </w:rPr>
        <w:t xml:space="preserve"> (Organização de Sucessão e Ética do Capital Au</w:t>
      </w:r>
      <w:r w:rsidRPr="002234D0">
        <w:rPr>
          <w:rFonts w:ascii="Lucida Sans Unicode" w:hAnsi="Lucida Sans Unicode" w:cs="Lucida Sans Unicode"/>
          <w:lang w:val="pt-BR"/>
        </w:rPr>
        <w:t>tônomo), que será estruturada nos anos seguintes para garantir a transição geracional.</w:t>
      </w:r>
    </w:p>
    <w:p w:rsidR="0080256A" w:rsidRPr="002234D0" w:rsidRDefault="006B2607" w:rsidP="002234D0">
      <w:pPr>
        <w:jc w:val="both"/>
        <w:rPr>
          <w:rFonts w:ascii="Lucida Sans Unicode" w:hAnsi="Lucida Sans Unicode" w:cs="Lucida Sans Unicode"/>
        </w:rPr>
      </w:pPr>
      <w:r w:rsidRPr="002234D0">
        <w:rPr>
          <w:rFonts w:ascii="Lucida Sans Unicode" w:hAnsi="Lucida Sans Unicode" w:cs="Lucida Sans Unicode"/>
        </w:rPr>
        <w:pict>
          <v:rect id="_x0000_i1027" style="width:0;height:1.5pt" o:hralign="center" o:hrstd="t" o:hr="t"/>
        </w:pict>
      </w:r>
    </w:p>
    <w:p w:rsidR="0080256A" w:rsidRPr="002234D0" w:rsidRDefault="006B2607" w:rsidP="002234D0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7" w:name="X34f32cc74823c20396210b87ea112deb8ee36c6"/>
      <w:r w:rsidRPr="002234D0">
        <w:rPr>
          <w:rFonts w:ascii="Lucida Sans Unicode" w:hAnsi="Lucida Sans Unicode" w:cs="Lucida Sans Unicode"/>
          <w:lang w:val="pt-BR"/>
        </w:rPr>
        <w:t>III. Análise Crítica e Novas Argumentações</w:t>
      </w:r>
      <w:bookmarkEnd w:id="7"/>
    </w:p>
    <w:p w:rsidR="0080256A" w:rsidRPr="002234D0" w:rsidRDefault="006B2607" w:rsidP="002234D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lang w:val="pt-BR"/>
        </w:rPr>
        <w:t>A fase de estruturação (Ano 0) é a mais crucial para o sucesso de longo prazo, pois define a fundação legal e operacional do</w:t>
      </w:r>
      <w:r w:rsidRPr="002234D0">
        <w:rPr>
          <w:rFonts w:ascii="Lucida Sans Unicode" w:hAnsi="Lucida Sans Unicode" w:cs="Lucida Sans Unicode"/>
          <w:lang w:val="pt-BR"/>
        </w:rPr>
        <w:t xml:space="preserve"> “Legado Lucas”.</w:t>
      </w:r>
    </w:p>
    <w:p w:rsidR="0080256A" w:rsidRPr="002234D0" w:rsidRDefault="006B2607" w:rsidP="002234D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8" w:name="sustentação-da-estrutura-jurídica"/>
      <w:r w:rsidRPr="002234D0">
        <w:rPr>
          <w:rFonts w:ascii="Lucida Sans Unicode" w:hAnsi="Lucida Sans Unicode" w:cs="Lucida Sans Unicode"/>
          <w:lang w:val="pt-BR"/>
        </w:rPr>
        <w:t>3.1. Sustentação da Estrutura Jurídica</w:t>
      </w:r>
      <w:bookmarkEnd w:id="8"/>
    </w:p>
    <w:p w:rsidR="0080256A" w:rsidRPr="002234D0" w:rsidRDefault="006B2607" w:rsidP="002234D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lang w:val="pt-BR"/>
        </w:rPr>
        <w:t xml:space="preserve">A escolha do “Cayman Sandwich” é uma decisão estratégica de alta performance, mas a argumentação deve ser reforçada pela necessidade de </w:t>
      </w:r>
      <w:r w:rsidRPr="002234D0">
        <w:rPr>
          <w:rFonts w:ascii="Lucida Sans Unicode" w:hAnsi="Lucida Sans Unicode" w:cs="Lucida Sans Unicode"/>
          <w:b/>
          <w:lang w:val="pt-BR"/>
        </w:rPr>
        <w:t>“Substância Econômica Real”</w:t>
      </w:r>
      <w:r w:rsidRPr="002234D0">
        <w:rPr>
          <w:rFonts w:ascii="Lucida Sans Unicode" w:hAnsi="Lucida Sans Unicode" w:cs="Lucida Sans Unicode"/>
          <w:lang w:val="pt-BR"/>
        </w:rPr>
        <w:t xml:space="preserve"> nas jurisdições </w:t>
      </w:r>
      <w:r w:rsidRPr="002234D0">
        <w:rPr>
          <w:rFonts w:ascii="Lucida Sans Unicode" w:hAnsi="Lucida Sans Unicode" w:cs="Lucida Sans Unicode"/>
          <w:i/>
          <w:lang w:val="pt-BR"/>
        </w:rPr>
        <w:t>offshore</w:t>
      </w:r>
      <w:r w:rsidRPr="002234D0">
        <w:rPr>
          <w:rFonts w:ascii="Lucida Sans Unicode" w:hAnsi="Lucida Sans Unicode" w:cs="Lucida Sans Unicode"/>
          <w:lang w:val="pt-BR"/>
        </w:rPr>
        <w:t>.</w:t>
      </w:r>
    </w:p>
    <w:p w:rsidR="0080256A" w:rsidRPr="002234D0" w:rsidRDefault="006B2607" w:rsidP="002234D0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b/>
          <w:lang w:val="pt-BR"/>
        </w:rPr>
        <w:t>Nova Argum</w:t>
      </w:r>
      <w:r w:rsidRPr="002234D0">
        <w:rPr>
          <w:rFonts w:ascii="Lucida Sans Unicode" w:hAnsi="Lucida Sans Unicode" w:cs="Lucida Sans Unicode"/>
          <w:b/>
          <w:lang w:val="pt-BR"/>
        </w:rPr>
        <w:t>entação:</w:t>
      </w:r>
      <w:r w:rsidRPr="002234D0">
        <w:rPr>
          <w:rFonts w:ascii="Lucida Sans Unicode" w:hAnsi="Lucida Sans Unicode" w:cs="Lucida Sans Unicode"/>
          <w:lang w:val="pt-BR"/>
        </w:rPr>
        <w:t xml:space="preserve"> A blindagem patrimonial não se sustenta apenas na arquitetura documental, mas na prova de que as decisões de gestão e investimento são tomadas nas jurisdições </w:t>
      </w:r>
      <w:r w:rsidRPr="002234D0">
        <w:rPr>
          <w:rFonts w:ascii="Lucida Sans Unicode" w:hAnsi="Lucida Sans Unicode" w:cs="Lucida Sans Unicode"/>
          <w:i/>
          <w:lang w:val="pt-BR"/>
        </w:rPr>
        <w:t>offshore</w:t>
      </w:r>
      <w:r w:rsidRPr="002234D0">
        <w:rPr>
          <w:rFonts w:ascii="Lucida Sans Unicode" w:hAnsi="Lucida Sans Unicode" w:cs="Lucida Sans Unicode"/>
          <w:lang w:val="pt-BR"/>
        </w:rPr>
        <w:t xml:space="preserve">. O Ano 0 deve, portanto, focar na contratação de </w:t>
      </w:r>
      <w:r w:rsidRPr="002234D0">
        <w:rPr>
          <w:rFonts w:ascii="Lucida Sans Unicode" w:hAnsi="Lucida Sans Unicode" w:cs="Lucida Sans Unicode"/>
          <w:i/>
          <w:lang w:val="pt-BR"/>
        </w:rPr>
        <w:t>board members</w:t>
      </w:r>
      <w:r w:rsidRPr="002234D0">
        <w:rPr>
          <w:rFonts w:ascii="Lucida Sans Unicode" w:hAnsi="Lucida Sans Unicode" w:cs="Lucida Sans Unicode"/>
          <w:lang w:val="pt-BR"/>
        </w:rPr>
        <w:t xml:space="preserve"> locais e na aloc</w:t>
      </w:r>
      <w:r w:rsidRPr="002234D0">
        <w:rPr>
          <w:rFonts w:ascii="Lucida Sans Unicode" w:hAnsi="Lucida Sans Unicode" w:cs="Lucida Sans Unicode"/>
          <w:lang w:val="pt-BR"/>
        </w:rPr>
        <w:t xml:space="preserve">ação de capital humano (CIO, </w:t>
      </w:r>
      <w:r w:rsidRPr="002234D0">
        <w:rPr>
          <w:rFonts w:ascii="Lucida Sans Unicode" w:hAnsi="Lucida Sans Unicode" w:cs="Lucida Sans Unicode"/>
          <w:i/>
          <w:lang w:val="pt-BR"/>
        </w:rPr>
        <w:t>Legal Counsel</w:t>
      </w:r>
      <w:r w:rsidRPr="002234D0">
        <w:rPr>
          <w:rFonts w:ascii="Lucida Sans Unicode" w:hAnsi="Lucida Sans Unicode" w:cs="Lucida Sans Unicode"/>
          <w:lang w:val="pt-BR"/>
        </w:rPr>
        <w:t xml:space="preserve">) com residência fiscal estratégica, transformando o risco regulatório em uma vantagem de </w:t>
      </w:r>
      <w:r w:rsidRPr="002234D0">
        <w:rPr>
          <w:rFonts w:ascii="Lucida Sans Unicode" w:hAnsi="Lucida Sans Unicode" w:cs="Lucida Sans Unicode"/>
          <w:i/>
          <w:lang w:val="pt-BR"/>
        </w:rPr>
        <w:t>compliance</w:t>
      </w:r>
      <w:r w:rsidRPr="002234D0">
        <w:rPr>
          <w:rFonts w:ascii="Lucida Sans Unicode" w:hAnsi="Lucida Sans Unicode" w:cs="Lucida Sans Unicode"/>
          <w:lang w:val="pt-BR"/>
        </w:rPr>
        <w:t xml:space="preserve"> proativo. A ausência de “substância” </w:t>
      </w:r>
      <w:r w:rsidRPr="002234D0">
        <w:rPr>
          <w:rFonts w:ascii="Lucida Sans Unicode" w:hAnsi="Lucida Sans Unicode" w:cs="Lucida Sans Unicode"/>
          <w:lang w:val="pt-BR"/>
        </w:rPr>
        <w:t>é o principal ponto de falha em estruturas complexas sob escrutínio de autoridades fiscais globais [1].</w:t>
      </w:r>
    </w:p>
    <w:p w:rsidR="002234D0" w:rsidRPr="002234D0" w:rsidRDefault="002234D0" w:rsidP="002234D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9" w:name="análise-do-target-return-15-a.a."/>
    </w:p>
    <w:p w:rsidR="0080256A" w:rsidRPr="002234D0" w:rsidRDefault="006B2607" w:rsidP="002234D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lang w:val="pt-BR"/>
        </w:rPr>
        <w:t>3.2. Análise do Target Return (15% a.a.)</w:t>
      </w:r>
      <w:bookmarkEnd w:id="9"/>
    </w:p>
    <w:p w:rsidR="0080256A" w:rsidRPr="002234D0" w:rsidRDefault="006B2607" w:rsidP="002234D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lang w:val="pt-BR"/>
        </w:rPr>
        <w:t>O Target Return de 15% a.a. é audacioso e necessário para atingir a meta de R$ 12,5 bilhões.</w:t>
      </w:r>
    </w:p>
    <w:p w:rsidR="0080256A" w:rsidRPr="002234D0" w:rsidRDefault="006B2607" w:rsidP="002234D0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b/>
          <w:lang w:val="pt-BR"/>
        </w:rPr>
        <w:t>Nova Argumentação:</w:t>
      </w:r>
      <w:r w:rsidRPr="002234D0">
        <w:rPr>
          <w:rFonts w:ascii="Lucida Sans Unicode" w:hAnsi="Lucida Sans Unicode" w:cs="Lucida Sans Unicode"/>
          <w:lang w:val="pt-BR"/>
        </w:rPr>
        <w:t xml:space="preserve"> A sustentação desse retorno reside na </w:t>
      </w:r>
      <w:r w:rsidRPr="002234D0">
        <w:rPr>
          <w:rFonts w:ascii="Lucida Sans Unicode" w:hAnsi="Lucida Sans Unicode" w:cs="Lucida Sans Unicode"/>
          <w:b/>
          <w:lang w:val="pt-BR"/>
        </w:rPr>
        <w:t>alavancagem controlada</w:t>
      </w:r>
      <w:r w:rsidRPr="002234D0">
        <w:rPr>
          <w:rFonts w:ascii="Lucida Sans Unicode" w:hAnsi="Lucida Sans Unicode" w:cs="Lucida Sans Unicode"/>
          <w:lang w:val="pt-BR"/>
        </w:rPr>
        <w:t xml:space="preserve"> (1.3x a 1.5x) e na alta alocação em ativos ilíquidos (PE/VC - 35%). A alavancagem, no entanto, deve ser vista como um </w:t>
      </w:r>
      <w:r w:rsidRPr="002234D0">
        <w:rPr>
          <w:rFonts w:ascii="Lucida Sans Unicode" w:hAnsi="Lucida Sans Unicode" w:cs="Lucida Sans Unicode"/>
          <w:b/>
          <w:lang w:val="pt-BR"/>
        </w:rPr>
        <w:t>multiplicador de risco</w:t>
      </w:r>
      <w:r w:rsidRPr="002234D0">
        <w:rPr>
          <w:rFonts w:ascii="Lucida Sans Unicode" w:hAnsi="Lucida Sans Unicode" w:cs="Lucida Sans Unicode"/>
          <w:lang w:val="pt-BR"/>
        </w:rPr>
        <w:t xml:space="preserve"> e não apenas de retorno. A argumentação deve ser comp</w:t>
      </w:r>
      <w:r w:rsidRPr="002234D0">
        <w:rPr>
          <w:rFonts w:ascii="Lucida Sans Unicode" w:hAnsi="Lucida Sans Unicode" w:cs="Lucida Sans Unicode"/>
          <w:lang w:val="pt-BR"/>
        </w:rPr>
        <w:t xml:space="preserve">lementada pela necessidade de um </w:t>
      </w:r>
      <w:r w:rsidRPr="002234D0">
        <w:rPr>
          <w:rFonts w:ascii="Lucida Sans Unicode" w:hAnsi="Lucida Sans Unicode" w:cs="Lucida Sans Unicode"/>
          <w:b/>
          <w:lang w:val="pt-BR"/>
        </w:rPr>
        <w:t>Comitê de Risco</w:t>
      </w:r>
      <w:r w:rsidRPr="002234D0">
        <w:rPr>
          <w:rFonts w:ascii="Lucida Sans Unicode" w:hAnsi="Lucida Sans Unicode" w:cs="Lucida Sans Unicode"/>
          <w:lang w:val="pt-BR"/>
        </w:rPr>
        <w:t xml:space="preserve"> com poder de veto imediato e pela obrigatoriedade de </w:t>
      </w:r>
      <w:r w:rsidRPr="002234D0">
        <w:rPr>
          <w:rFonts w:ascii="Lucida Sans Unicode" w:hAnsi="Lucida Sans Unicode" w:cs="Lucida Sans Unicode"/>
          <w:i/>
          <w:lang w:val="pt-BR"/>
        </w:rPr>
        <w:t>hedges</w:t>
      </w:r>
      <w:r w:rsidRPr="002234D0">
        <w:rPr>
          <w:rFonts w:ascii="Lucida Sans Unicode" w:hAnsi="Lucida Sans Unicode" w:cs="Lucida Sans Unicode"/>
          <w:lang w:val="pt-BR"/>
        </w:rPr>
        <w:t xml:space="preserve"> de cauda (</w:t>
      </w:r>
      <w:r w:rsidRPr="002234D0">
        <w:rPr>
          <w:rFonts w:ascii="Lucida Sans Unicode" w:hAnsi="Lucida Sans Unicode" w:cs="Lucida Sans Unicode"/>
          <w:i/>
          <w:lang w:val="pt-BR"/>
        </w:rPr>
        <w:t>tail risk</w:t>
      </w:r>
      <w:r w:rsidRPr="002234D0">
        <w:rPr>
          <w:rFonts w:ascii="Lucida Sans Unicode" w:hAnsi="Lucida Sans Unicode" w:cs="Lucida Sans Unicode"/>
          <w:lang w:val="pt-BR"/>
        </w:rPr>
        <w:t xml:space="preserve">) e cambiais (BRL/USD) [2]. O sucesso do Ano 0 depende da contratação de um CIO com </w:t>
      </w:r>
      <w:r w:rsidRPr="002234D0">
        <w:rPr>
          <w:rFonts w:ascii="Lucida Sans Unicode" w:hAnsi="Lucida Sans Unicode" w:cs="Lucida Sans Unicode"/>
          <w:i/>
          <w:lang w:val="pt-BR"/>
        </w:rPr>
        <w:t>track record</w:t>
      </w:r>
      <w:r w:rsidRPr="002234D0">
        <w:rPr>
          <w:rFonts w:ascii="Lucida Sans Unicode" w:hAnsi="Lucida Sans Unicode" w:cs="Lucida Sans Unicode"/>
          <w:lang w:val="pt-BR"/>
        </w:rPr>
        <w:t xml:space="preserve"> comprovado em gestão de risco e</w:t>
      </w:r>
      <w:r w:rsidRPr="002234D0">
        <w:rPr>
          <w:rFonts w:ascii="Lucida Sans Unicode" w:hAnsi="Lucida Sans Unicode" w:cs="Lucida Sans Unicode"/>
          <w:lang w:val="pt-BR"/>
        </w:rPr>
        <w:t>m portfólios alavancados.</w:t>
      </w:r>
    </w:p>
    <w:p w:rsidR="0080256A" w:rsidRPr="002234D0" w:rsidRDefault="006B2607" w:rsidP="002234D0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0" w:name="otimização-do-impacto-social-endowment"/>
      <w:r w:rsidRPr="002234D0">
        <w:rPr>
          <w:rFonts w:ascii="Lucida Sans Unicode" w:hAnsi="Lucida Sans Unicode" w:cs="Lucida Sans Unicode"/>
          <w:lang w:val="pt-BR"/>
        </w:rPr>
        <w:t>3.3. Otimização do Impacto Social (Endowment)</w:t>
      </w:r>
      <w:bookmarkEnd w:id="10"/>
    </w:p>
    <w:p w:rsidR="0080256A" w:rsidRPr="002234D0" w:rsidRDefault="006B2607" w:rsidP="002234D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lang w:val="pt-BR"/>
        </w:rPr>
        <w:t>O plano original adia a capitalização do Fundo de Endowment para o Ano 3.</w:t>
      </w:r>
    </w:p>
    <w:p w:rsidR="0080256A" w:rsidRPr="002234D0" w:rsidRDefault="006B2607" w:rsidP="002234D0">
      <w:pPr>
        <w:pStyle w:val="Textoembloco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b/>
          <w:lang w:val="pt-BR"/>
        </w:rPr>
        <w:t>Nova Argumentação:</w:t>
      </w:r>
      <w:r w:rsidRPr="002234D0">
        <w:rPr>
          <w:rFonts w:ascii="Lucida Sans Unicode" w:hAnsi="Lucida Sans Unicode" w:cs="Lucida Sans Unicode"/>
          <w:lang w:val="pt-BR"/>
        </w:rPr>
        <w:t xml:space="preserve"> Para garantir a perpetuidade e a credibilidade do pilar social, o Ano 0 deve prever a </w:t>
      </w:r>
      <w:r w:rsidRPr="002234D0">
        <w:rPr>
          <w:rFonts w:ascii="Lucida Sans Unicode" w:hAnsi="Lucida Sans Unicode" w:cs="Lucida Sans Unicode"/>
          <w:b/>
          <w:lang w:val="pt-BR"/>
        </w:rPr>
        <w:t>constituição legal imediata</w:t>
      </w:r>
      <w:r w:rsidRPr="002234D0">
        <w:rPr>
          <w:rFonts w:ascii="Lucida Sans Unicode" w:hAnsi="Lucida Sans Unicode" w:cs="Lucida Sans Unicode"/>
          <w:lang w:val="pt-BR"/>
        </w:rPr>
        <w:t xml:space="preserve"> da </w:t>
      </w:r>
      <w:r w:rsidRPr="002234D0">
        <w:rPr>
          <w:rFonts w:ascii="Lucida Sans Unicode" w:hAnsi="Lucida Sans Unicode" w:cs="Lucida Sans Unicode"/>
          <w:i/>
          <w:lang w:val="pt-BR"/>
        </w:rPr>
        <w:t>Quantum Legacy Foundation</w:t>
      </w:r>
      <w:r w:rsidRPr="002234D0">
        <w:rPr>
          <w:rFonts w:ascii="Lucida Sans Unicode" w:hAnsi="Lucida Sans Unicode" w:cs="Lucida Sans Unicode"/>
          <w:lang w:val="pt-BR"/>
        </w:rPr>
        <w:t xml:space="preserve"> (QLF), mesmo que a capitalização (R$ 100 Mi) ocorra apenas no Ano 3. A QLF deve iniciar imediatamente a prospecção de projetos e a formação de parcerias estratégicas, utilizando o capital inicial (R$</w:t>
      </w:r>
      <w:r w:rsidRPr="002234D0">
        <w:rPr>
          <w:rFonts w:ascii="Lucida Sans Unicode" w:hAnsi="Lucida Sans Unicode" w:cs="Lucida Sans Unicode"/>
          <w:lang w:val="pt-BR"/>
        </w:rPr>
        <w:t xml:space="preserve"> 850 Mi) como </w:t>
      </w:r>
      <w:r w:rsidRPr="002234D0">
        <w:rPr>
          <w:rFonts w:ascii="Lucida Sans Unicode" w:hAnsi="Lucida Sans Unicode" w:cs="Lucida Sans Unicode"/>
          <w:b/>
          <w:lang w:val="pt-BR"/>
        </w:rPr>
        <w:t>garantia</w:t>
      </w:r>
      <w:r w:rsidRPr="002234D0">
        <w:rPr>
          <w:rFonts w:ascii="Lucida Sans Unicode" w:hAnsi="Lucida Sans Unicode" w:cs="Lucida Sans Unicode"/>
          <w:lang w:val="pt-BR"/>
        </w:rPr>
        <w:t xml:space="preserve"> (</w:t>
      </w:r>
      <w:r w:rsidRPr="002234D0">
        <w:rPr>
          <w:rFonts w:ascii="Lucida Sans Unicode" w:hAnsi="Lucida Sans Unicode" w:cs="Lucida Sans Unicode"/>
          <w:i/>
          <w:lang w:val="pt-BR"/>
        </w:rPr>
        <w:t>collateral</w:t>
      </w:r>
      <w:r w:rsidRPr="002234D0">
        <w:rPr>
          <w:rFonts w:ascii="Lucida Sans Unicode" w:hAnsi="Lucida Sans Unicode" w:cs="Lucida Sans Unicode"/>
          <w:lang w:val="pt-BR"/>
        </w:rPr>
        <w:t xml:space="preserve">) para Títulos de Impacto Social (SIBs) de </w:t>
      </w:r>
      <w:r w:rsidRPr="002234D0">
        <w:rPr>
          <w:rFonts w:ascii="Lucida Sans Unicode" w:hAnsi="Lucida Sans Unicode" w:cs="Lucida Sans Unicode"/>
          <w:i/>
          <w:lang w:val="pt-BR"/>
        </w:rPr>
        <w:t>seed money</w:t>
      </w:r>
      <w:r w:rsidRPr="002234D0">
        <w:rPr>
          <w:rFonts w:ascii="Lucida Sans Unicode" w:hAnsi="Lucida Sans Unicode" w:cs="Lucida Sans Unicode"/>
          <w:lang w:val="pt-BR"/>
        </w:rPr>
        <w:t>. Isso permite que o impacto social comece a ser gerado antes da capitalização total, alinhando a visão de impacto com a urgência social [3].</w:t>
      </w:r>
    </w:p>
    <w:p w:rsidR="002234D0" w:rsidRPr="002234D0" w:rsidRDefault="002234D0" w:rsidP="002234D0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bookmarkStart w:id="11" w:name="X4af14d65608751ef6976e81d8ebe5a71691006f"/>
    </w:p>
    <w:p w:rsidR="00745FCA" w:rsidRDefault="00745FCA" w:rsidP="002234D0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745FCA" w:rsidRDefault="00745FCA" w:rsidP="002234D0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745FCA" w:rsidRDefault="00745FCA" w:rsidP="00745FCA">
      <w:pPr>
        <w:pStyle w:val="Corpodetexto"/>
        <w:rPr>
          <w:lang w:val="pt-BR"/>
        </w:rPr>
      </w:pPr>
    </w:p>
    <w:p w:rsidR="00745FCA" w:rsidRDefault="00745FCA" w:rsidP="00745FCA">
      <w:pPr>
        <w:pStyle w:val="Corpodetexto"/>
        <w:rPr>
          <w:lang w:val="pt-BR"/>
        </w:rPr>
      </w:pPr>
    </w:p>
    <w:p w:rsidR="00745FCA" w:rsidRDefault="00745FCA" w:rsidP="002234D0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</w:p>
    <w:p w:rsidR="00745FCA" w:rsidRPr="00745FCA" w:rsidRDefault="00745FCA" w:rsidP="00745FCA">
      <w:pPr>
        <w:pStyle w:val="Corpodetexto"/>
        <w:rPr>
          <w:lang w:val="pt-BR"/>
        </w:rPr>
      </w:pPr>
      <w:bookmarkStart w:id="12" w:name="_GoBack"/>
      <w:bookmarkEnd w:id="12"/>
    </w:p>
    <w:p w:rsidR="0080256A" w:rsidRPr="002234D0" w:rsidRDefault="006B2607" w:rsidP="002234D0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lang w:val="pt-BR"/>
        </w:rPr>
        <w:lastRenderedPageBreak/>
        <w:t xml:space="preserve">IV. Balanço Financeiro e </w:t>
      </w:r>
      <w:r w:rsidRPr="002234D0">
        <w:rPr>
          <w:rFonts w:ascii="Lucida Sans Unicode" w:hAnsi="Lucida Sans Unicode" w:cs="Lucida Sans Unicode"/>
          <w:lang w:val="pt-BR"/>
        </w:rPr>
        <w:t>Patrimonial - Ano 0</w:t>
      </w:r>
      <w:bookmarkEnd w:id="11"/>
    </w:p>
    <w:p w:rsidR="0080256A" w:rsidRPr="002234D0" w:rsidRDefault="006B2607" w:rsidP="002234D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lang w:val="pt-BR"/>
        </w:rPr>
        <w:t xml:space="preserve">O Balanço Patrimonial do Ano 0 reflete o capital inicial e os custos de estruturação incorridos na fase de </w:t>
      </w:r>
      <w:r w:rsidRPr="002234D0">
        <w:rPr>
          <w:rFonts w:ascii="Lucida Sans Unicode" w:hAnsi="Lucida Sans Unicode" w:cs="Lucida Sans Unicode"/>
          <w:i/>
          <w:lang w:val="pt-BR"/>
        </w:rPr>
        <w:t>setup</w:t>
      </w:r>
      <w:r w:rsidRPr="002234D0">
        <w:rPr>
          <w:rFonts w:ascii="Lucida Sans Unicode" w:hAnsi="Lucida Sans Unicode" w:cs="Lucida Sans Unicode"/>
          <w:lang w:val="pt-BR"/>
        </w:rPr>
        <w:t>.</w:t>
      </w:r>
    </w:p>
    <w:p w:rsidR="0080256A" w:rsidRPr="002234D0" w:rsidRDefault="006B2607" w:rsidP="002234D0">
      <w:pPr>
        <w:pStyle w:val="Ttulo3"/>
        <w:jc w:val="both"/>
        <w:rPr>
          <w:rFonts w:ascii="Lucida Sans Unicode" w:hAnsi="Lucida Sans Unicode" w:cs="Lucida Sans Unicode"/>
        </w:rPr>
      </w:pPr>
      <w:bookmarkStart w:id="13" w:name="premissas-do-balanço"/>
      <w:r w:rsidRPr="002234D0">
        <w:rPr>
          <w:rFonts w:ascii="Lucida Sans Unicode" w:hAnsi="Lucida Sans Unicode" w:cs="Lucida Sans Unicode"/>
        </w:rPr>
        <w:t>4.1. Premissas do Balanço</w:t>
      </w:r>
      <w:bookmarkEnd w:id="13"/>
    </w:p>
    <w:p w:rsidR="0080256A" w:rsidRPr="002234D0" w:rsidRDefault="006B2607">
      <w:pPr>
        <w:pStyle w:val="Compact"/>
        <w:numPr>
          <w:ilvl w:val="0"/>
          <w:numId w:val="2"/>
        </w:numPr>
        <w:rPr>
          <w:lang w:val="pt-BR"/>
        </w:rPr>
      </w:pPr>
      <w:r w:rsidRPr="002234D0">
        <w:rPr>
          <w:b/>
          <w:lang w:val="pt-BR"/>
        </w:rPr>
        <w:t>Capital Inicial:</w:t>
      </w:r>
      <w:r w:rsidRPr="002234D0">
        <w:rPr>
          <w:lang w:val="pt-BR"/>
        </w:rPr>
        <w:t xml:space="preserve"> R$ 850.000.000,00 (Prêmio hipotético da Mega da Virada 2025).</w:t>
      </w:r>
    </w:p>
    <w:p w:rsidR="0080256A" w:rsidRPr="002234D0" w:rsidRDefault="006B2607">
      <w:pPr>
        <w:pStyle w:val="Compact"/>
        <w:numPr>
          <w:ilvl w:val="0"/>
          <w:numId w:val="2"/>
        </w:numPr>
        <w:rPr>
          <w:lang w:val="pt-BR"/>
        </w:rPr>
      </w:pPr>
      <w:r w:rsidRPr="002234D0">
        <w:rPr>
          <w:b/>
          <w:lang w:val="pt-BR"/>
        </w:rPr>
        <w:t>Custos de Estrutu</w:t>
      </w:r>
      <w:r w:rsidRPr="002234D0">
        <w:rPr>
          <w:b/>
          <w:lang w:val="pt-BR"/>
        </w:rPr>
        <w:t>ração (Ano 0):</w:t>
      </w:r>
      <w:r w:rsidRPr="002234D0">
        <w:rPr>
          <w:lang w:val="pt-BR"/>
        </w:rPr>
        <w:t xml:space="preserve"> Estimativa de R$ 500.000,00 (teto da estimativa do documento original para </w:t>
      </w:r>
      <w:r w:rsidRPr="002234D0">
        <w:rPr>
          <w:i/>
          <w:lang w:val="pt-BR"/>
        </w:rPr>
        <w:t>setup</w:t>
      </w:r>
      <w:r w:rsidRPr="002234D0">
        <w:rPr>
          <w:lang w:val="pt-BR"/>
        </w:rPr>
        <w:t xml:space="preserve"> e manutenção inicial).</w:t>
      </w:r>
    </w:p>
    <w:p w:rsidR="0080256A" w:rsidRPr="002234D0" w:rsidRDefault="006B2607">
      <w:pPr>
        <w:pStyle w:val="Compact"/>
        <w:numPr>
          <w:ilvl w:val="0"/>
          <w:numId w:val="2"/>
        </w:numPr>
        <w:rPr>
          <w:lang w:val="pt-BR"/>
        </w:rPr>
      </w:pPr>
      <w:r w:rsidRPr="002234D0">
        <w:rPr>
          <w:b/>
          <w:lang w:val="pt-BR"/>
        </w:rPr>
        <w:t>Ajuste:</w:t>
      </w:r>
      <w:r w:rsidRPr="002234D0">
        <w:rPr>
          <w:lang w:val="pt-BR"/>
        </w:rPr>
        <w:t xml:space="preserve"> O balanço é ajustado para refletir a saída de caixa inicial para a estruturação legal e a alocação do capital restante em um ativ</w:t>
      </w:r>
      <w:r w:rsidRPr="002234D0">
        <w:rPr>
          <w:lang w:val="pt-BR"/>
        </w:rPr>
        <w:t>o de liquidez imediata (</w:t>
      </w:r>
      <w:r w:rsidRPr="002234D0">
        <w:rPr>
          <w:i/>
          <w:lang w:val="pt-BR"/>
        </w:rPr>
        <w:t>Cash &amp; Equivalents</w:t>
      </w:r>
      <w:r w:rsidRPr="002234D0">
        <w:rPr>
          <w:lang w:val="pt-BR"/>
        </w:rPr>
        <w:t>) antes da alocação estratégica (que começa no Ano 1).</w:t>
      </w:r>
    </w:p>
    <w:p w:rsidR="0080256A" w:rsidRPr="002234D0" w:rsidRDefault="006B2607" w:rsidP="002234D0">
      <w:pPr>
        <w:pStyle w:val="Ttulo3"/>
        <w:jc w:val="both"/>
        <w:rPr>
          <w:rFonts w:ascii="Lucida Sans Unicode" w:hAnsi="Lucida Sans Unicode" w:cs="Lucida Sans Unicode"/>
        </w:rPr>
      </w:pPr>
      <w:bookmarkStart w:id="14" w:name="balanço-patrimonial-consolidado-ano-0"/>
      <w:r w:rsidRPr="002234D0">
        <w:rPr>
          <w:rFonts w:ascii="Lucida Sans Unicode" w:hAnsi="Lucida Sans Unicode" w:cs="Lucida Sans Unicode"/>
        </w:rPr>
        <w:t>4.2. Balanço Patrimonial Consolidado (Ano 0)</w:t>
      </w:r>
      <w:bookmarkEnd w:id="1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942"/>
        <w:gridCol w:w="4691"/>
        <w:gridCol w:w="2268"/>
        <w:gridCol w:w="2115"/>
      </w:tblGrid>
      <w:tr w:rsidR="0080256A" w:rsidRPr="002234D0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lang w:val="pt-BR"/>
              </w:rPr>
              <w:t>Valor (R</w:t>
            </w:r>
            <m:oMath>
              <m:r>
                <w:rPr>
                  <w:rFonts w:ascii="Cambria Math" w:hAnsi="Cambria Math" w:cs="Lucida Sans Unicode"/>
                  <w:lang w:val="pt-BR"/>
                </w:rPr>
                <m:t>)|</m:t>
              </m:r>
              <m:r>
                <w:rPr>
                  <w:rFonts w:ascii="Cambria Math" w:hAnsi="Cambria Math" w:cs="Lucida Sans Unicode"/>
                </w:rPr>
                <m:t>PassivoePatrim</m:t>
              </m:r>
              <m:r>
                <w:rPr>
                  <w:rFonts w:ascii="Cambria Math" w:hAnsi="Cambria Math" w:cs="Lucida Sans Unicode"/>
                  <w:lang w:val="pt-BR"/>
                </w:rPr>
                <m:t>ô</m:t>
              </m:r>
              <m:r>
                <w:rPr>
                  <w:rFonts w:ascii="Cambria Math" w:hAnsi="Cambria Math" w:cs="Lucida Sans Unicode"/>
                </w:rPr>
                <m:t>nioL</m:t>
              </m:r>
              <m:r>
                <w:rPr>
                  <w:rFonts w:ascii="Cambria Math" w:hAnsi="Cambria Math" w:cs="Lucida Sans Unicode"/>
                  <w:lang w:val="pt-BR"/>
                </w:rPr>
                <m:t>í</m:t>
              </m:r>
              <m:r>
                <w:rPr>
                  <w:rFonts w:ascii="Cambria Math" w:hAnsi="Cambria Math" w:cs="Lucida Sans Unicode"/>
                </w:rPr>
                <m:t>quido</m:t>
              </m:r>
              <m:r>
                <w:rPr>
                  <w:rFonts w:ascii="Cambria Math" w:hAnsi="Cambria Math" w:cs="Lucida Sans Unicode"/>
                  <w:lang w:val="pt-BR"/>
                </w:rPr>
                <m:t>|</m:t>
              </m:r>
              <m:r>
                <w:rPr>
                  <w:rFonts w:ascii="Cambria Math" w:hAnsi="Cambria Math" w:cs="Lucida Sans Unicode"/>
                </w:rPr>
                <m:t>Valor</m:t>
              </m:r>
              <m:r>
                <w:rPr>
                  <w:rFonts w:ascii="Cambria Math" w:hAnsi="Cambria Math" w:cs="Lucida Sans Unicode"/>
                  <w:lang w:val="pt-BR"/>
                </w:rPr>
                <m:t>(</m:t>
              </m:r>
              <m:r>
                <w:rPr>
                  <w:rFonts w:ascii="Cambria Math" w:hAnsi="Cambria Math" w:cs="Lucida Sans Unicode"/>
                </w:rPr>
                <m:t>R</m:t>
              </m:r>
            </m:oMath>
            <w:r w:rsidRPr="002234D0">
              <w:rPr>
                <w:rFonts w:ascii="Lucida Sans Unicode" w:hAnsi="Lucida Sans Unicode" w:cs="Lucida Sans Unicode"/>
                <w:lang w:val="pt-BR"/>
              </w:rPr>
              <w:t>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ATIVO</w:t>
            </w:r>
          </w:p>
        </w:tc>
        <w:tc>
          <w:tcPr>
            <w:tcW w:w="0" w:type="auto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PASSIVO</w:t>
            </w:r>
          </w:p>
        </w:tc>
        <w:tc>
          <w:tcPr>
            <w:tcW w:w="0" w:type="auto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Ativo Circulante</w:t>
            </w:r>
          </w:p>
        </w:tc>
        <w:tc>
          <w:tcPr>
            <w:tcW w:w="0" w:type="auto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Passivo Circulante</w:t>
            </w:r>
          </w:p>
        </w:tc>
        <w:tc>
          <w:tcPr>
            <w:tcW w:w="0" w:type="auto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lang w:val="pt-BR"/>
              </w:rPr>
              <w:t>Caixa e Equivalentes de Caixa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849.500.000,00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lang w:val="pt-BR"/>
              </w:rPr>
              <w:t>Contas a Pagar (Custos de Setup)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0,00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Total do Ativo Circulante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849.500.000,00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Total do Passivo Circulante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0,00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Ativo Não Circulante</w:t>
            </w:r>
          </w:p>
        </w:tc>
        <w:tc>
          <w:tcPr>
            <w:tcW w:w="0" w:type="auto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Passivo Não Circulante</w:t>
            </w:r>
          </w:p>
        </w:tc>
        <w:tc>
          <w:tcPr>
            <w:tcW w:w="0" w:type="auto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lang w:val="pt-BR"/>
              </w:rPr>
              <w:t>Despesas Pré-Operacionais (Setup Legal)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500.000,00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Empréstimos e Financiamentos (Alavancagem)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0,00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b/>
                <w:lang w:val="pt-BR"/>
              </w:rPr>
              <w:t>Total do Ativo Não Circulante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500.000,00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b/>
                <w:lang w:val="pt-BR"/>
              </w:rPr>
              <w:t>Total do Passivo Não Circulante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0,00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TOTAL DO ATIVO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850.000.000,00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PATRIMÔNIO LÍQUIDO</w:t>
            </w:r>
          </w:p>
        </w:tc>
        <w:tc>
          <w:tcPr>
            <w:tcW w:w="0" w:type="auto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80256A" w:rsidRPr="002234D0">
        <w:tc>
          <w:tcPr>
            <w:tcW w:w="0" w:type="auto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Capital Social (Patrimôn</w:t>
            </w:r>
            <w:r w:rsidRPr="002234D0">
              <w:rPr>
                <w:rFonts w:ascii="Lucida Sans Unicode" w:hAnsi="Lucida Sans Unicode" w:cs="Lucida Sans Unicode"/>
              </w:rPr>
              <w:t>io Inicial)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</w:rPr>
              <w:t>850.000.000,00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Total do Patrimônio Líquido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850.000.000,00</w:t>
            </w:r>
          </w:p>
        </w:tc>
      </w:tr>
      <w:tr w:rsidR="0080256A" w:rsidRPr="002234D0">
        <w:tc>
          <w:tcPr>
            <w:tcW w:w="0" w:type="auto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80256A" w:rsidRPr="002234D0" w:rsidRDefault="0080256A" w:rsidP="002234D0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2234D0">
              <w:rPr>
                <w:rFonts w:ascii="Lucida Sans Unicode" w:hAnsi="Lucida Sans Unicode" w:cs="Lucida Sans Unicode"/>
                <w:b/>
                <w:lang w:val="pt-BR"/>
              </w:rPr>
              <w:t>TOTAL DO PASSIVO E PL</w:t>
            </w:r>
          </w:p>
        </w:tc>
        <w:tc>
          <w:tcPr>
            <w:tcW w:w="0" w:type="auto"/>
          </w:tcPr>
          <w:p w:rsidR="0080256A" w:rsidRPr="002234D0" w:rsidRDefault="006B2607" w:rsidP="002234D0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2234D0">
              <w:rPr>
                <w:rFonts w:ascii="Lucida Sans Unicode" w:hAnsi="Lucida Sans Unicode" w:cs="Lucida Sans Unicode"/>
                <w:b/>
              </w:rPr>
              <w:t>850.000.000,00</w:t>
            </w:r>
          </w:p>
        </w:tc>
      </w:tr>
    </w:tbl>
    <w:p w:rsidR="0080256A" w:rsidRPr="002234D0" w:rsidRDefault="006B2607" w:rsidP="002234D0">
      <w:pPr>
        <w:pStyle w:val="Ttulo3"/>
        <w:jc w:val="both"/>
        <w:rPr>
          <w:rFonts w:ascii="Lucida Sans Unicode" w:hAnsi="Lucida Sans Unicode" w:cs="Lucida Sans Unicode"/>
        </w:rPr>
      </w:pPr>
      <w:bookmarkStart w:id="15" w:name="análise-de-divergências-e-ajustes"/>
      <w:r w:rsidRPr="002234D0">
        <w:rPr>
          <w:rFonts w:ascii="Lucida Sans Unicode" w:hAnsi="Lucida Sans Unicode" w:cs="Lucida Sans Unicode"/>
        </w:rPr>
        <w:lastRenderedPageBreak/>
        <w:t>4.3. Análise de Divergências e Ajustes</w:t>
      </w:r>
      <w:bookmarkEnd w:id="15"/>
    </w:p>
    <w:p w:rsidR="0080256A" w:rsidRPr="002234D0" w:rsidRDefault="006B2607" w:rsidP="002234D0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b/>
          <w:lang w:val="pt-BR"/>
        </w:rPr>
        <w:t>Divergências/Anomalias:</w:t>
      </w:r>
      <w:r w:rsidRPr="002234D0">
        <w:rPr>
          <w:rFonts w:ascii="Lucida Sans Unicode" w:hAnsi="Lucida Sans Unicode" w:cs="Lucida Sans Unicode"/>
          <w:lang w:val="pt-BR"/>
        </w:rPr>
        <w:t xml:space="preserve"> </w:t>
      </w:r>
      <w:r w:rsidRPr="002234D0">
        <w:rPr>
          <w:rFonts w:ascii="Lucida Sans Unicode" w:hAnsi="Lucida Sans Unicode" w:cs="Lucida Sans Unicode"/>
          <w:lang w:val="pt-BR"/>
        </w:rPr>
        <w:t xml:space="preserve">Nenhuma divergência ou anomalia é identificada, pois o balanço reflete o capital inicial e a alocação imediata para o </w:t>
      </w:r>
      <w:r w:rsidRPr="002234D0">
        <w:rPr>
          <w:rFonts w:ascii="Lucida Sans Unicode" w:hAnsi="Lucida Sans Unicode" w:cs="Lucida Sans Unicode"/>
          <w:i/>
          <w:lang w:val="pt-BR"/>
        </w:rPr>
        <w:t>setup</w:t>
      </w:r>
      <w:r w:rsidRPr="002234D0">
        <w:rPr>
          <w:rFonts w:ascii="Lucida Sans Unicode" w:hAnsi="Lucida Sans Unicode" w:cs="Lucida Sans Unicode"/>
          <w:lang w:val="pt-BR"/>
        </w:rPr>
        <w:t xml:space="preserve"> legal. O ajuste principal é a reclassificação dos custos de estruturação (R$ 500.000,00) como </w:t>
      </w:r>
      <w:r w:rsidRPr="002234D0">
        <w:rPr>
          <w:rFonts w:ascii="Lucida Sans Unicode" w:hAnsi="Lucida Sans Unicode" w:cs="Lucida Sans Unicode"/>
          <w:b/>
          <w:lang w:val="pt-BR"/>
        </w:rPr>
        <w:t>Despesas Pré-Operacionais</w:t>
      </w:r>
      <w:r w:rsidRPr="002234D0">
        <w:rPr>
          <w:rFonts w:ascii="Lucida Sans Unicode" w:hAnsi="Lucida Sans Unicode" w:cs="Lucida Sans Unicode"/>
          <w:lang w:val="pt-BR"/>
        </w:rPr>
        <w:t xml:space="preserve"> no Ativo Não</w:t>
      </w:r>
      <w:r w:rsidRPr="002234D0">
        <w:rPr>
          <w:rFonts w:ascii="Lucida Sans Unicode" w:hAnsi="Lucida Sans Unicode" w:cs="Lucida Sans Unicode"/>
          <w:lang w:val="pt-BR"/>
        </w:rPr>
        <w:t xml:space="preserve"> Circulante, que serão amortizadas ao longo dos primeiros anos de operação.</w:t>
      </w:r>
    </w:p>
    <w:p w:rsidR="0080256A" w:rsidRPr="002234D0" w:rsidRDefault="006B2607" w:rsidP="002234D0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2234D0">
        <w:rPr>
          <w:rFonts w:ascii="Lucida Sans Unicode" w:hAnsi="Lucida Sans Unicode" w:cs="Lucida Sans Unicode"/>
          <w:b/>
          <w:lang w:val="pt-BR"/>
        </w:rPr>
        <w:t>Balanço Ajustado em Relação ao Ano Anterior:</w:t>
      </w:r>
      <w:r w:rsidRPr="002234D0">
        <w:rPr>
          <w:rFonts w:ascii="Lucida Sans Unicode" w:hAnsi="Lucida Sans Unicode" w:cs="Lucida Sans Unicode"/>
          <w:lang w:val="pt-BR"/>
        </w:rPr>
        <w:t xml:space="preserve"> Como este é o Ano 0, o balanço é o ponto de partida. O ajuste garante que o capital inicial de R$ 850 milhões seja totalmente contabili</w:t>
      </w:r>
      <w:r w:rsidRPr="002234D0">
        <w:rPr>
          <w:rFonts w:ascii="Lucida Sans Unicode" w:hAnsi="Lucida Sans Unicode" w:cs="Lucida Sans Unicode"/>
          <w:lang w:val="pt-BR"/>
        </w:rPr>
        <w:t xml:space="preserve">zado, com uma pequena parcela (0,06%) alocada para o </w:t>
      </w:r>
      <w:r w:rsidRPr="002234D0">
        <w:rPr>
          <w:rFonts w:ascii="Lucida Sans Unicode" w:hAnsi="Lucida Sans Unicode" w:cs="Lucida Sans Unicode"/>
          <w:i/>
          <w:lang w:val="pt-BR"/>
        </w:rPr>
        <w:t>setup</w:t>
      </w:r>
      <w:r w:rsidRPr="002234D0">
        <w:rPr>
          <w:rFonts w:ascii="Lucida Sans Unicode" w:hAnsi="Lucida Sans Unicode" w:cs="Lucida Sans Unicode"/>
          <w:lang w:val="pt-BR"/>
        </w:rPr>
        <w:t xml:space="preserve"> legal, e o restante (99,94%) mantido em liquidez para a alocação estratégica no Ano 1.</w:t>
      </w:r>
    </w:p>
    <w:p w:rsidR="0080256A" w:rsidRPr="002234D0" w:rsidRDefault="006B2607" w:rsidP="002234D0">
      <w:pPr>
        <w:jc w:val="both"/>
        <w:rPr>
          <w:rFonts w:ascii="Lucida Sans Unicode" w:hAnsi="Lucida Sans Unicode" w:cs="Lucida Sans Unicode"/>
        </w:rPr>
      </w:pPr>
      <w:r w:rsidRPr="002234D0">
        <w:rPr>
          <w:rFonts w:ascii="Lucida Sans Unicode" w:hAnsi="Lucida Sans Unicode" w:cs="Lucida Sans Unicode"/>
        </w:rPr>
        <w:pict>
          <v:rect id="_x0000_i1028" style="width:0;height:1.5pt" o:hralign="center" o:hrstd="t" o:hr="t"/>
        </w:pict>
      </w:r>
    </w:p>
    <w:p w:rsidR="0080256A" w:rsidRPr="002234D0" w:rsidRDefault="006B2607" w:rsidP="002234D0">
      <w:pPr>
        <w:pStyle w:val="Ttulo2"/>
        <w:jc w:val="both"/>
        <w:rPr>
          <w:rFonts w:ascii="Lucida Sans Unicode" w:hAnsi="Lucida Sans Unicode" w:cs="Lucida Sans Unicode"/>
        </w:rPr>
      </w:pPr>
      <w:bookmarkStart w:id="16" w:name="v.-referências"/>
      <w:r w:rsidRPr="002234D0">
        <w:rPr>
          <w:rFonts w:ascii="Lucida Sans Unicode" w:hAnsi="Lucida Sans Unicode" w:cs="Lucida Sans Unicode"/>
        </w:rPr>
        <w:t>V. Referências</w:t>
      </w:r>
      <w:bookmarkEnd w:id="16"/>
    </w:p>
    <w:p w:rsidR="0080256A" w:rsidRPr="002234D0" w:rsidRDefault="006B2607" w:rsidP="002234D0">
      <w:pPr>
        <w:pStyle w:val="FirstParagraph"/>
        <w:jc w:val="both"/>
        <w:rPr>
          <w:rFonts w:ascii="Lucida Sans Unicode" w:hAnsi="Lucida Sans Unicode" w:cs="Lucida Sans Unicode"/>
        </w:rPr>
      </w:pPr>
      <w:r w:rsidRPr="002234D0">
        <w:rPr>
          <w:rFonts w:ascii="Lucida Sans Unicode" w:hAnsi="Lucida Sans Unicode" w:cs="Lucida Sans Unicode"/>
        </w:rPr>
        <w:t xml:space="preserve">[1] OECD. </w:t>
      </w:r>
      <w:r w:rsidRPr="002234D0">
        <w:rPr>
          <w:rFonts w:ascii="Lucida Sans Unicode" w:hAnsi="Lucida Sans Unicode" w:cs="Lucida Sans Unicode"/>
          <w:i/>
        </w:rPr>
        <w:t>Base Erosion and Profit Shifting (BEPS) Project</w:t>
      </w:r>
      <w:r w:rsidRPr="002234D0">
        <w:rPr>
          <w:rFonts w:ascii="Lucida Sans Unicode" w:hAnsi="Lucida Sans Unicode" w:cs="Lucida Sans Unicode"/>
        </w:rPr>
        <w:t xml:space="preserve">. </w:t>
      </w:r>
      <w:r w:rsidRPr="002234D0">
        <w:rPr>
          <w:rFonts w:ascii="Lucida Sans Unicode" w:hAnsi="Lucida Sans Unicode" w:cs="Lucida Sans Unicode"/>
          <w:lang w:val="pt-BR"/>
        </w:rPr>
        <w:t xml:space="preserve">Disponível em: [URL da OECD sobre </w:t>
      </w:r>
      <w:r w:rsidRPr="002234D0">
        <w:rPr>
          <w:rFonts w:ascii="Lucida Sans Unicode" w:hAnsi="Lucida Sans Unicode" w:cs="Lucida Sans Unicode"/>
          <w:lang w:val="pt-BR"/>
        </w:rPr>
        <w:t xml:space="preserve">BEPS]. </w:t>
      </w:r>
      <w:r w:rsidRPr="002234D0">
        <w:rPr>
          <w:rFonts w:ascii="Lucida Sans Unicode" w:hAnsi="Lucida Sans Unicode" w:cs="Lucida Sans Unicode"/>
        </w:rPr>
        <w:t xml:space="preserve">[2] Taleb, N. N. (2007). </w:t>
      </w:r>
      <w:r w:rsidRPr="002234D0">
        <w:rPr>
          <w:rFonts w:ascii="Lucida Sans Unicode" w:hAnsi="Lucida Sans Unicode" w:cs="Lucida Sans Unicode"/>
          <w:i/>
        </w:rPr>
        <w:t>The Black Swan: The Impact of the Highly Improbable</w:t>
      </w:r>
      <w:r w:rsidRPr="002234D0">
        <w:rPr>
          <w:rFonts w:ascii="Lucida Sans Unicode" w:hAnsi="Lucida Sans Unicode" w:cs="Lucida Sans Unicode"/>
        </w:rPr>
        <w:t xml:space="preserve">. Random House. [3] Social Finance. </w:t>
      </w:r>
      <w:r w:rsidRPr="002234D0">
        <w:rPr>
          <w:rFonts w:ascii="Lucida Sans Unicode" w:hAnsi="Lucida Sans Unicode" w:cs="Lucida Sans Unicode"/>
          <w:i/>
        </w:rPr>
        <w:t>Social Impact Bonds (SIBs) Overview</w:t>
      </w:r>
      <w:r w:rsidRPr="002234D0">
        <w:rPr>
          <w:rFonts w:ascii="Lucida Sans Unicode" w:hAnsi="Lucida Sans Unicode" w:cs="Lucida Sans Unicode"/>
        </w:rPr>
        <w:t>. Disponível em: [URL de Social Finance sobre SIBs].</w:t>
      </w:r>
    </w:p>
    <w:sectPr w:rsidR="0080256A" w:rsidRPr="002234D0" w:rsidSect="002234D0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2607" w:rsidRDefault="006B2607">
      <w:pPr>
        <w:spacing w:after="0"/>
      </w:pPr>
      <w:r>
        <w:separator/>
      </w:r>
    </w:p>
  </w:endnote>
  <w:endnote w:type="continuationSeparator" w:id="0">
    <w:p w:rsidR="006B2607" w:rsidRDefault="006B26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2607" w:rsidRDefault="006B2607">
      <w:r>
        <w:separator/>
      </w:r>
    </w:p>
  </w:footnote>
  <w:footnote w:type="continuationSeparator" w:id="0">
    <w:p w:rsidR="006B2607" w:rsidRDefault="006B26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A454B4C"/>
    <w:multiLevelType w:val="multilevel"/>
    <w:tmpl w:val="02BE82D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3C6C65C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2234D0"/>
    <w:rsid w:val="004E29B3"/>
    <w:rsid w:val="00590D07"/>
    <w:rsid w:val="006B2607"/>
    <w:rsid w:val="00745FCA"/>
    <w:rsid w:val="00784D58"/>
    <w:rsid w:val="0080256A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CD2499-C95C-4275-934A-E6920100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1300</Words>
  <Characters>7025</Characters>
  <Application>Microsoft Office Word</Application>
  <DocSecurity>0</DocSecurity>
  <Lines>58</Lines>
  <Paragraphs>16</Paragraphs>
  <ScaleCrop>false</ScaleCrop>
  <Company/>
  <LinksUpToDate>false</LinksUpToDate>
  <CharactersWithSpaces>8309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</cp:revision>
  <dcterms:created xsi:type="dcterms:W3CDTF">2025-12-11T20:55:00Z</dcterms:created>
  <dcterms:modified xsi:type="dcterms:W3CDTF">2025-12-12T14:05:00Z</dcterms:modified>
</cp:coreProperties>
</file>