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22C" w:rsidRPr="00D6185A" w:rsidRDefault="00DD56E0" w:rsidP="00D6185A">
      <w:pPr>
        <w:pStyle w:val="Ttulo1"/>
        <w:jc w:val="both"/>
        <w:rPr>
          <w:rFonts w:ascii="Lucida Sans Unicode" w:hAnsi="Lucida Sans Unicode" w:cs="Lucida Sans Unicode"/>
          <w:lang w:val="pt-BR"/>
        </w:rPr>
      </w:pPr>
      <w:bookmarkStart w:id="0" w:name="X98ff749a15e6c383bd5b4215f3723dfdd558901"/>
      <w:r w:rsidRPr="00D6185A">
        <w:rPr>
          <w:rFonts w:ascii="Lucida Sans Unicode" w:hAnsi="Lucida Sans Unicode" w:cs="Lucida Sans Unicode"/>
          <w:lang w:val="pt-BR"/>
        </w:rPr>
        <w:t>Relatório de Análise Crítica e Balanço Patrimonial - Ano 2</w:t>
      </w:r>
      <w:bookmarkEnd w:id="0"/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" w:name="projeto-legado-lucas-jan---dez-2028"/>
      <w:r w:rsidRPr="00D6185A">
        <w:rPr>
          <w:rFonts w:ascii="Lucida Sans Unicode" w:hAnsi="Lucida Sans Unicode" w:cs="Lucida Sans Unicode"/>
          <w:lang w:val="pt-BR"/>
        </w:rPr>
        <w:t>Projeto “Legado Lucas” (Jan - Dez 2028)</w:t>
      </w:r>
      <w:bookmarkEnd w:id="1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Autor:</w:t>
      </w:r>
      <w:r w:rsidRPr="00D6185A">
        <w:rPr>
          <w:rFonts w:ascii="Lucida Sans Unicode" w:hAnsi="Lucida Sans Unicode" w:cs="Lucida Sans Unicode"/>
          <w:lang w:val="pt-BR"/>
        </w:rPr>
        <w:t xml:space="preserve"> Manus AI </w:t>
      </w:r>
      <w:r w:rsidRPr="00D6185A">
        <w:rPr>
          <w:rFonts w:ascii="Lucida Sans Unicode" w:hAnsi="Lucida Sans Unicode" w:cs="Lucida Sans Unicode"/>
          <w:b/>
          <w:lang w:val="pt-BR"/>
        </w:rPr>
        <w:t>Data:</w:t>
      </w:r>
      <w:r w:rsidRPr="00D6185A">
        <w:rPr>
          <w:rFonts w:ascii="Lucida Sans Unicode" w:hAnsi="Lucida Sans Unicode" w:cs="Lucida Sans Unicode"/>
          <w:lang w:val="pt-BR"/>
        </w:rPr>
        <w:t xml:space="preserve"> 11 de Dezembro de 2025 </w:t>
      </w:r>
      <w:r w:rsidRPr="00D6185A">
        <w:rPr>
          <w:rFonts w:ascii="Lucida Sans Unicode" w:hAnsi="Lucida Sans Unicode" w:cs="Lucida Sans Unicode"/>
          <w:b/>
          <w:lang w:val="pt-BR"/>
        </w:rPr>
        <w:t>Versão:</w:t>
      </w:r>
      <w:r w:rsidRPr="00D6185A">
        <w:rPr>
          <w:rFonts w:ascii="Lucida Sans Unicode" w:hAnsi="Lucida Sans Unicode" w:cs="Lucida Sans Unicode"/>
          <w:lang w:val="pt-BR"/>
        </w:rPr>
        <w:t xml:space="preserve"> 1.0</w:t>
      </w:r>
    </w:p>
    <w:p w:rsidR="00E6022C" w:rsidRPr="00D6185A" w:rsidRDefault="00DD56E0" w:rsidP="00D6185A">
      <w:pPr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</w:rPr>
        <w:pict>
          <v:rect id="_x0000_i1025" style="width:0;height:1.5pt" o:hralign="center" o:hrstd="t" o:hr="t"/>
        </w:pict>
      </w:r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2" w:name="i.-resumo-executivo"/>
      <w:r w:rsidRPr="00D6185A">
        <w:rPr>
          <w:rFonts w:ascii="Lucida Sans Unicode" w:hAnsi="Lucida Sans Unicode" w:cs="Lucida Sans Unicode"/>
          <w:lang w:val="pt-BR"/>
        </w:rPr>
        <w:t>I. Resumo Executivo</w:t>
      </w:r>
      <w:bookmarkEnd w:id="2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 xml:space="preserve">O </w:t>
      </w:r>
      <w:r w:rsidRPr="00D6185A">
        <w:rPr>
          <w:rFonts w:ascii="Lucida Sans Unicode" w:hAnsi="Lucida Sans Unicode" w:cs="Lucida Sans Unicode"/>
          <w:b/>
          <w:lang w:val="pt-BR"/>
        </w:rPr>
        <w:t>Ano 2</w:t>
      </w:r>
      <w:r w:rsidRPr="00D6185A">
        <w:rPr>
          <w:rFonts w:ascii="Lucida Sans Unicode" w:hAnsi="Lucida Sans Unicode" w:cs="Lucida Sans Unicode"/>
          <w:lang w:val="pt-BR"/>
        </w:rPr>
        <w:t xml:space="preserve"> do Projeto “Legado Lucas” (Janeiro a Dezembro de 2028) foi o ano da </w:t>
      </w:r>
      <w:r w:rsidRPr="00D6185A">
        <w:rPr>
          <w:rFonts w:ascii="Lucida Sans Unicode" w:hAnsi="Lucida Sans Unicode" w:cs="Lucida Sans Unicode"/>
          <w:b/>
          <w:lang w:val="pt-BR"/>
        </w:rPr>
        <w:t>materialização do pilar social</w:t>
      </w:r>
      <w:r w:rsidRPr="00D6185A">
        <w:rPr>
          <w:rFonts w:ascii="Lucida Sans Unicode" w:hAnsi="Lucida Sans Unicode" w:cs="Lucida Sans Unicode"/>
          <w:lang w:val="pt-BR"/>
        </w:rPr>
        <w:t xml:space="preserve"> e da diversificação em ativos reais. O marco principal foi a criação e capitalização do </w:t>
      </w:r>
      <w:r w:rsidRPr="00D6185A">
        <w:rPr>
          <w:rFonts w:ascii="Lucida Sans Unicode" w:hAnsi="Lucida Sans Unicode" w:cs="Lucida Sans Unicode"/>
          <w:b/>
          <w:lang w:val="pt-BR"/>
        </w:rPr>
        <w:t>Fundo Imobiliário Quântico (FIQ)</w:t>
      </w:r>
      <w:r w:rsidRPr="00D6185A">
        <w:rPr>
          <w:rFonts w:ascii="Lucida Sans Unicode" w:hAnsi="Lucida Sans Unicode" w:cs="Lucida Sans Unicode"/>
          <w:lang w:val="pt-BR"/>
        </w:rPr>
        <w:t>, o terceiro fundo do ecossistema.</w:t>
      </w:r>
      <w:r w:rsidR="00D6185A">
        <w:rPr>
          <w:rFonts w:ascii="Lucida Sans Unicode" w:hAnsi="Lucida Sans Unicode" w:cs="Lucida Sans Unicode"/>
          <w:lang w:val="pt-BR"/>
        </w:rPr>
        <w:t xml:space="preserve"> </w:t>
      </w:r>
      <w:r w:rsidRPr="00D6185A">
        <w:rPr>
          <w:rFonts w:ascii="Lucida Sans Unicode" w:hAnsi="Lucida Sans Unicode" w:cs="Lucida Sans Unicode"/>
          <w:lang w:val="pt-BR"/>
        </w:rPr>
        <w:t xml:space="preserve">A estratégia central do Ano 2 foi dedicar </w:t>
      </w:r>
      <w:r w:rsidRPr="00D6185A">
        <w:rPr>
          <w:rFonts w:ascii="Lucida Sans Unicode" w:hAnsi="Lucida Sans Unicode" w:cs="Lucida Sans Unicode"/>
          <w:b/>
          <w:lang w:val="pt-BR"/>
        </w:rPr>
        <w:t>100% dos lucros mensais</w:t>
      </w:r>
      <w:r w:rsidRPr="00D6185A">
        <w:rPr>
          <w:rFonts w:ascii="Lucida Sans Unicode" w:hAnsi="Lucida Sans Unicode" w:cs="Lucida Sans Unicode"/>
          <w:lang w:val="pt-BR"/>
        </w:rPr>
        <w:t xml:space="preserve"> gera</w:t>
      </w:r>
      <w:r w:rsidRPr="00D6185A">
        <w:rPr>
          <w:rFonts w:ascii="Lucida Sans Unicode" w:hAnsi="Lucida Sans Unicode" w:cs="Lucida Sans Unicode"/>
          <w:lang w:val="pt-BR"/>
        </w:rPr>
        <w:t xml:space="preserve">dos pelo Fundo Principal (FP) e pelo Fundo Secundário (FS) para capitalizar o FIQ. Este capital foi utilizado para adquirir um portfólio de </w:t>
      </w:r>
      <w:r w:rsidRPr="00D6185A">
        <w:rPr>
          <w:rFonts w:ascii="Lucida Sans Unicode" w:hAnsi="Lucida Sans Unicode" w:cs="Lucida Sans Unicode"/>
          <w:b/>
          <w:lang w:val="pt-BR"/>
        </w:rPr>
        <w:t>542 imóveis residenciais</w:t>
      </w:r>
      <w:r w:rsidRPr="00D6185A">
        <w:rPr>
          <w:rFonts w:ascii="Lucida Sans Unicode" w:hAnsi="Lucida Sans Unicode" w:cs="Lucida Sans Unicode"/>
          <w:lang w:val="pt-BR"/>
        </w:rPr>
        <w:t xml:space="preserve"> de baixo valor (teto de R$ 200.000/unidade) em um período de seis meses, alinhado ao projet</w:t>
      </w:r>
      <w:r w:rsidRPr="00D6185A">
        <w:rPr>
          <w:rFonts w:ascii="Lucida Sans Unicode" w:hAnsi="Lucida Sans Unicode" w:cs="Lucida Sans Unicode"/>
          <w:lang w:val="pt-BR"/>
        </w:rPr>
        <w:t>o “Aluguel Símbólico” de moradia acessível.</w:t>
      </w:r>
    </w:p>
    <w:p w:rsidR="00E6022C" w:rsidRPr="00D6185A" w:rsidRDefault="00DD56E0" w:rsidP="00D6185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 xml:space="preserve">O Patrimônio Total Consolidado ao final do Ano 2 atingiu </w:t>
      </w:r>
      <w:r w:rsidRPr="00D6185A">
        <w:rPr>
          <w:rFonts w:ascii="Lucida Sans Unicode" w:hAnsi="Lucida Sans Unicode" w:cs="Lucida Sans Unicode"/>
          <w:b/>
          <w:lang w:val="pt-BR"/>
        </w:rPr>
        <w:t>R$ 1.228.840.540,93</w:t>
      </w:r>
      <w:r w:rsidRPr="00D6185A">
        <w:rPr>
          <w:rFonts w:ascii="Lucida Sans Unicode" w:hAnsi="Lucida Sans Unicode" w:cs="Lucida Sans Unicode"/>
          <w:lang w:val="pt-BR"/>
        </w:rPr>
        <w:t xml:space="preserve">, consolidando o “Triângulo da Estabilidade” do Legado: 1. </w:t>
      </w:r>
      <w:r w:rsidRPr="00D6185A">
        <w:rPr>
          <w:rFonts w:ascii="Lucida Sans Unicode" w:hAnsi="Lucida Sans Unicode" w:cs="Lucida Sans Unicode"/>
          <w:b/>
          <w:lang w:val="pt-BR"/>
        </w:rPr>
        <w:t>FP (R$ 850 Mi):</w:t>
      </w:r>
      <w:r w:rsidRPr="00D6185A">
        <w:rPr>
          <w:rFonts w:ascii="Lucida Sans Unicode" w:hAnsi="Lucida Sans Unicode" w:cs="Lucida Sans Unicode"/>
          <w:lang w:val="pt-BR"/>
        </w:rPr>
        <w:t xml:space="preserve"> Âncora de segurança e liquidez. 2. </w:t>
      </w:r>
      <w:r w:rsidRPr="00D6185A">
        <w:rPr>
          <w:rFonts w:ascii="Lucida Sans Unicode" w:hAnsi="Lucida Sans Unicode" w:cs="Lucida Sans Unicode"/>
          <w:b/>
          <w:lang w:val="pt-BR"/>
        </w:rPr>
        <w:t>FS (R$ 249,69 Mi):</w:t>
      </w:r>
      <w:r w:rsidRPr="00D6185A">
        <w:rPr>
          <w:rFonts w:ascii="Lucida Sans Unicode" w:hAnsi="Lucida Sans Unicode" w:cs="Lucida Sans Unicode"/>
          <w:lang w:val="pt-BR"/>
        </w:rPr>
        <w:t xml:space="preserve"> Motor d</w:t>
      </w:r>
      <w:r w:rsidRPr="00D6185A">
        <w:rPr>
          <w:rFonts w:ascii="Lucida Sans Unicode" w:hAnsi="Lucida Sans Unicode" w:cs="Lucida Sans Unicode"/>
          <w:lang w:val="pt-BR"/>
        </w:rPr>
        <w:t xml:space="preserve">e crescimento e alavancagem. 3. </w:t>
      </w:r>
      <w:r w:rsidRPr="00D6185A">
        <w:rPr>
          <w:rFonts w:ascii="Lucida Sans Unicode" w:hAnsi="Lucida Sans Unicode" w:cs="Lucida Sans Unicode"/>
          <w:b/>
          <w:lang w:val="pt-BR"/>
        </w:rPr>
        <w:t>FIQ (R$ 108,5 Mi em ativos + R$ 20,65 Mi em caixa):</w:t>
      </w:r>
      <w:r w:rsidRPr="00D6185A">
        <w:rPr>
          <w:rFonts w:ascii="Lucida Sans Unicode" w:hAnsi="Lucida Sans Unicode" w:cs="Lucida Sans Unicode"/>
          <w:lang w:val="pt-BR"/>
        </w:rPr>
        <w:t xml:space="preserve"> Raiz tangível e propósito social.</w:t>
      </w:r>
      <w:r w:rsidR="00D6185A">
        <w:rPr>
          <w:rFonts w:ascii="Lucida Sans Unicode" w:hAnsi="Lucida Sans Unicode" w:cs="Lucida Sans Unicode"/>
          <w:lang w:val="pt-BR"/>
        </w:rPr>
        <w:t xml:space="preserve"> </w:t>
      </w:r>
      <w:r w:rsidRPr="00D6185A">
        <w:rPr>
          <w:rFonts w:ascii="Lucida Sans Unicode" w:hAnsi="Lucida Sans Unicode" w:cs="Lucida Sans Unicode"/>
          <w:lang w:val="pt-BR"/>
        </w:rPr>
        <w:t xml:space="preserve">Apesar do sucesso na execução do FIQ, a estratégia de alocação de 100% dos lucros para o novo fundo impôs um </w:t>
      </w:r>
      <w:r w:rsidRPr="00D6185A">
        <w:rPr>
          <w:rFonts w:ascii="Lucida Sans Unicode" w:hAnsi="Lucida Sans Unicode" w:cs="Lucida Sans Unicode"/>
          <w:b/>
          <w:lang w:val="pt-BR"/>
        </w:rPr>
        <w:t>freio temporário</w:t>
      </w:r>
      <w:r w:rsidRPr="00D6185A">
        <w:rPr>
          <w:rFonts w:ascii="Lucida Sans Unicode" w:hAnsi="Lucida Sans Unicode" w:cs="Lucida Sans Unicode"/>
          <w:lang w:val="pt-BR"/>
        </w:rPr>
        <w:t xml:space="preserve"> no crescimen</w:t>
      </w:r>
      <w:r w:rsidRPr="00D6185A">
        <w:rPr>
          <w:rFonts w:ascii="Lucida Sans Unicode" w:hAnsi="Lucida Sans Unicode" w:cs="Lucida Sans Unicode"/>
          <w:lang w:val="pt-BR"/>
        </w:rPr>
        <w:t>to exponencial do FS, o motor de alta performance do Legado.</w:t>
      </w:r>
    </w:p>
    <w:p w:rsidR="00E6022C" w:rsidRPr="00D6185A" w:rsidRDefault="00DD56E0" w:rsidP="00D6185A">
      <w:pPr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</w:rPr>
        <w:pict>
          <v:rect id="_x0000_i1026" style="width:0;height:1.5pt" o:hralign="center" o:hrstd="t" o:hr="t"/>
        </w:pict>
      </w:r>
    </w:p>
    <w:p w:rsidR="00D6185A" w:rsidRDefault="00D6185A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3" w:name="X62a39e5161ff1fc41ede5b9cd71be833ac3f0fa"/>
    </w:p>
    <w:p w:rsidR="00D6185A" w:rsidRDefault="00D6185A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Ttulo2"/>
        <w:jc w:val="both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pt-BR"/>
        </w:rPr>
      </w:pPr>
    </w:p>
    <w:p w:rsidR="00D6185A" w:rsidRPr="00D6185A" w:rsidRDefault="00D6185A" w:rsidP="00D6185A">
      <w:pPr>
        <w:pStyle w:val="Corpodetexto"/>
        <w:rPr>
          <w:lang w:val="pt-BR"/>
        </w:rPr>
      </w:pPr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lastRenderedPageBreak/>
        <w:t>II. Descrição Detalhada do Projeto (Ano 2 - Materialização do Legado)</w:t>
      </w:r>
      <w:bookmarkEnd w:id="3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Ano 2 focou na criação de um ativo real e tangível, com forte alinhamento ao propósito social do projeto.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4" w:name="o-fundo-imobiliário-quântico-fiq"/>
      <w:r w:rsidRPr="00D6185A">
        <w:rPr>
          <w:rFonts w:ascii="Lucida Sans Unicode" w:hAnsi="Lucida Sans Unicode" w:cs="Lucida Sans Unicode"/>
          <w:lang w:val="pt-BR"/>
        </w:rPr>
        <w:t>2.1. O Fundo Im</w:t>
      </w:r>
      <w:r w:rsidRPr="00D6185A">
        <w:rPr>
          <w:rFonts w:ascii="Lucida Sans Unicode" w:hAnsi="Lucida Sans Unicode" w:cs="Lucida Sans Unicode"/>
          <w:lang w:val="pt-BR"/>
        </w:rPr>
        <w:t>obiliário Quântico (FIQ)</w:t>
      </w:r>
      <w:bookmarkEnd w:id="4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FIQ foi estruturado como uma Sociedade de Propósito Específico (SPE) para gerir a aquisição e a locação dos imóveis.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827"/>
        <w:gridCol w:w="4475"/>
      </w:tblGrid>
      <w:tr w:rsidR="00E6022C" w:rsidRPr="00D618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Indicador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Detalhe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Fonte de Capitalização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lang w:val="pt-BR"/>
              </w:rPr>
              <w:t>100% dos lucros mensais do FP e FS.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Aporte Total (12 meses)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R$ 130.870.050,52.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Fase de Acumulação (6 meses)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R$ 65.435.025,24 (Mês 25 a 30).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Fase de Aquisição (6 meses)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R$ 65.435.025,28 (Mês 31 a 36).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Custo de Aquisição (Imóveis)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R$ 108.500.000,00.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Número de Imóveis Adquiridos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542 unidades (Média de 90/mês).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Te</w:t>
            </w:r>
            <w:r w:rsidRPr="00D6185A">
              <w:rPr>
                <w:rFonts w:ascii="Lucida Sans Unicode" w:hAnsi="Lucida Sans Unicode" w:cs="Lucida Sans Unicode"/>
                <w:b/>
              </w:rPr>
              <w:t>to por Imóvel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R$ 200.000,00.</w:t>
            </w:r>
          </w:p>
        </w:tc>
      </w:tr>
    </w:tbl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</w:rPr>
      </w:pPr>
      <w:bookmarkStart w:id="5" w:name="estrutura-patrimonial-consolidada"/>
      <w:r w:rsidRPr="00D6185A">
        <w:rPr>
          <w:rFonts w:ascii="Lucida Sans Unicode" w:hAnsi="Lucida Sans Unicode" w:cs="Lucida Sans Unicode"/>
        </w:rPr>
        <w:t>2.2. Estrutura Patrimonial Consolidada</w:t>
      </w:r>
      <w:bookmarkEnd w:id="5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balanço do Ano 2 reflete a integração do FIQ, que é contabilizado pelo custo de aquisição.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3432"/>
        <w:gridCol w:w="2801"/>
        <w:gridCol w:w="2343"/>
        <w:gridCol w:w="2440"/>
      </w:tblGrid>
      <w:tr w:rsidR="00E6022C" w:rsidRPr="00D618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Fundo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Natureza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Valor (R$)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% do Patrimônio Total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Fundo Principal (FP)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Financeiro / Conservador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850.000.000,00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69,17%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Fundo Secundário (FS)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Financeiro / Agressivo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20,32%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Fundo Imobiliário Quântico (FIQ)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Físico / Social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130.870.050,52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10,51%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Total Consolidado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1.230.560.050,52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100,00%</w:t>
            </w:r>
          </w:p>
        </w:tc>
      </w:tr>
    </w:tbl>
    <w:p w:rsidR="00E6022C" w:rsidRPr="00D6185A" w:rsidRDefault="00DD56E0" w:rsidP="00D6185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i/>
          <w:lang w:val="pt-BR"/>
        </w:rPr>
        <w:t>Nota: O valor total foi ajustado para R$ 1.230.560.050,52, refletindo o aporte total do FIQ (R$ 130.870.050,52), mantendo a consistência dos dados de FP e FS, e corrigindo a pequena discrepância do documento original.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6" w:name="governança-e-risco"/>
      <w:r w:rsidRPr="00D6185A">
        <w:rPr>
          <w:rFonts w:ascii="Lucida Sans Unicode" w:hAnsi="Lucida Sans Unicode" w:cs="Lucida Sans Unicode"/>
          <w:lang w:val="pt-BR"/>
        </w:rPr>
        <w:lastRenderedPageBreak/>
        <w:t>2.3. Governança e Risco</w:t>
      </w:r>
      <w:bookmarkEnd w:id="6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A criação do F</w:t>
      </w:r>
      <w:r w:rsidRPr="00D6185A">
        <w:rPr>
          <w:rFonts w:ascii="Lucida Sans Unicode" w:hAnsi="Lucida Sans Unicode" w:cs="Lucida Sans Unicode"/>
          <w:lang w:val="pt-BR"/>
        </w:rPr>
        <w:t xml:space="preserve">IQ exigiu a implementação de novos protocolos de governança: * </w:t>
      </w:r>
      <w:r w:rsidRPr="00D6185A">
        <w:rPr>
          <w:rFonts w:ascii="Lucida Sans Unicode" w:hAnsi="Lucida Sans Unicode" w:cs="Lucida Sans Unicode"/>
          <w:b/>
          <w:lang w:val="pt-BR"/>
        </w:rPr>
        <w:t>Comitê de Aquisições Imobiliárias:</w:t>
      </w:r>
      <w:r w:rsidRPr="00D6185A">
        <w:rPr>
          <w:rFonts w:ascii="Lucida Sans Unicode" w:hAnsi="Lucida Sans Unicode" w:cs="Lucida Sans Unicode"/>
          <w:lang w:val="pt-BR"/>
        </w:rPr>
        <w:t xml:space="preserve"> Responsável pela due diligence e aprovação das aquisições em lote. * </w:t>
      </w:r>
      <w:r w:rsidRPr="00D6185A">
        <w:rPr>
          <w:rFonts w:ascii="Lucida Sans Unicode" w:hAnsi="Lucida Sans Unicode" w:cs="Lucida Sans Unicode"/>
          <w:b/>
          <w:lang w:val="pt-BR"/>
        </w:rPr>
        <w:t>Gestão Operacional:</w:t>
      </w:r>
      <w:r w:rsidRPr="00D6185A">
        <w:rPr>
          <w:rFonts w:ascii="Lucida Sans Unicode" w:hAnsi="Lucida Sans Unicode" w:cs="Lucida Sans Unicode"/>
          <w:lang w:val="pt-BR"/>
        </w:rPr>
        <w:t xml:space="preserve"> Contratação de uma administradora especializada para gerir o portfóli</w:t>
      </w:r>
      <w:r w:rsidRPr="00D6185A">
        <w:rPr>
          <w:rFonts w:ascii="Lucida Sans Unicode" w:hAnsi="Lucida Sans Unicode" w:cs="Lucida Sans Unicode"/>
          <w:lang w:val="pt-BR"/>
        </w:rPr>
        <w:t>o de 542 imóveis, mitigando o risco operacional e de vacância.</w:t>
      </w:r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7" w:name="X34f32cc74823c20396210b87ea112deb8ee36c6"/>
      <w:r w:rsidRPr="00D6185A">
        <w:rPr>
          <w:rFonts w:ascii="Lucida Sans Unicode" w:hAnsi="Lucida Sans Unicode" w:cs="Lucida Sans Unicode"/>
          <w:lang w:val="pt-BR"/>
        </w:rPr>
        <w:t>III. Análise Crítica e Novas Argumentações</w:t>
      </w:r>
      <w:bookmarkEnd w:id="7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Ano 2 foi um sucesso em termos de execução do pilar social, mas a estratégia de capitalização do FIQ merece uma análise crítica aprofundada.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8" w:name="X7ef4cd22f5b65364015ff78d64df56c5738b5ed"/>
      <w:r w:rsidRPr="00D6185A">
        <w:rPr>
          <w:rFonts w:ascii="Lucida Sans Unicode" w:hAnsi="Lucida Sans Unicode" w:cs="Lucida Sans Unicode"/>
          <w:lang w:val="pt-BR"/>
        </w:rPr>
        <w:t xml:space="preserve">3.1. </w:t>
      </w:r>
      <w:r w:rsidRPr="00D6185A">
        <w:rPr>
          <w:rFonts w:ascii="Lucida Sans Unicode" w:hAnsi="Lucida Sans Unicode" w:cs="Lucida Sans Unicode"/>
          <w:lang w:val="pt-BR"/>
        </w:rPr>
        <w:t>O Dilema da Alocação de Lucros: Crescimento vs. Propósito</w:t>
      </w:r>
      <w:bookmarkEnd w:id="8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 xml:space="preserve">A decisão de destinar </w:t>
      </w:r>
      <w:r w:rsidRPr="00D6185A">
        <w:rPr>
          <w:rFonts w:ascii="Lucida Sans Unicode" w:hAnsi="Lucida Sans Unicode" w:cs="Lucida Sans Unicode"/>
          <w:b/>
          <w:lang w:val="pt-BR"/>
        </w:rPr>
        <w:t>100% dos lucros</w:t>
      </w:r>
      <w:r w:rsidRPr="00D6185A">
        <w:rPr>
          <w:rFonts w:ascii="Lucida Sans Unicode" w:hAnsi="Lucida Sans Unicode" w:cs="Lucida Sans Unicode"/>
          <w:lang w:val="pt-BR"/>
        </w:rPr>
        <w:t xml:space="preserve"> do FP e FS para o FIQ, embora justificada pelo propósito social, impôs um custo de oportunidade significativo ao Legado.</w:t>
      </w:r>
    </w:p>
    <w:p w:rsidR="00E6022C" w:rsidRPr="00D6185A" w:rsidRDefault="00DD56E0" w:rsidP="00D6185A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Nova Argumentação:</w:t>
      </w:r>
      <w:r w:rsidRPr="00D6185A">
        <w:rPr>
          <w:rFonts w:ascii="Lucida Sans Unicode" w:hAnsi="Lucida Sans Unicode" w:cs="Lucida Sans Unicode"/>
          <w:lang w:val="pt-BR"/>
        </w:rPr>
        <w:t xml:space="preserve"> A interrupção do rei</w:t>
      </w:r>
      <w:r w:rsidRPr="00D6185A">
        <w:rPr>
          <w:rFonts w:ascii="Lucida Sans Unicode" w:hAnsi="Lucida Sans Unicode" w:cs="Lucida Sans Unicode"/>
          <w:lang w:val="pt-BR"/>
        </w:rPr>
        <w:t xml:space="preserve">nvestimento no Fundo Secundário (FS) – o motor de alta performance com Target Return de 20% a.a. – representa um </w:t>
      </w:r>
      <w:r w:rsidRPr="00D6185A">
        <w:rPr>
          <w:rFonts w:ascii="Lucida Sans Unicode" w:hAnsi="Lucida Sans Unicode" w:cs="Lucida Sans Unicode"/>
          <w:b/>
          <w:lang w:val="pt-BR"/>
        </w:rPr>
        <w:t>sacrifício temporário do crescimento exponencial</w:t>
      </w:r>
      <w:r w:rsidRPr="00D6185A">
        <w:rPr>
          <w:rFonts w:ascii="Lucida Sans Unicode" w:hAnsi="Lucida Sans Unicode" w:cs="Lucida Sans Unicode"/>
          <w:lang w:val="pt-BR"/>
        </w:rPr>
        <w:t xml:space="preserve"> em prol da materialização imediata do impacto social. Para o Ano 3, é crucial adotar uma </w:t>
      </w:r>
      <w:r w:rsidRPr="00D6185A">
        <w:rPr>
          <w:rFonts w:ascii="Lucida Sans Unicode" w:hAnsi="Lucida Sans Unicode" w:cs="Lucida Sans Unicode"/>
          <w:b/>
          <w:lang w:val="pt-BR"/>
        </w:rPr>
        <w:t>Polít</w:t>
      </w:r>
      <w:r w:rsidRPr="00D6185A">
        <w:rPr>
          <w:rFonts w:ascii="Lucida Sans Unicode" w:hAnsi="Lucida Sans Unicode" w:cs="Lucida Sans Unicode"/>
          <w:b/>
          <w:lang w:val="pt-BR"/>
        </w:rPr>
        <w:t>ica de Alocação de Lucros Híbrida</w:t>
      </w:r>
      <w:r w:rsidRPr="00D6185A">
        <w:rPr>
          <w:rFonts w:ascii="Lucida Sans Unicode" w:hAnsi="Lucida Sans Unicode" w:cs="Lucida Sans Unicode"/>
          <w:lang w:val="pt-BR"/>
        </w:rPr>
        <w:t xml:space="preserve">. Sugere-se uma divisão de </w:t>
      </w:r>
      <w:r w:rsidRPr="00D6185A">
        <w:rPr>
          <w:rFonts w:ascii="Lucida Sans Unicode" w:hAnsi="Lucida Sans Unicode" w:cs="Lucida Sans Unicode"/>
          <w:b/>
          <w:lang w:val="pt-BR"/>
        </w:rPr>
        <w:t>70% para o FIQ</w:t>
      </w:r>
      <w:r w:rsidRPr="00D6185A">
        <w:rPr>
          <w:rFonts w:ascii="Lucida Sans Unicode" w:hAnsi="Lucida Sans Unicode" w:cs="Lucida Sans Unicode"/>
          <w:lang w:val="pt-BR"/>
        </w:rPr>
        <w:t xml:space="preserve"> (para manutenção e novas aquisições) e </w:t>
      </w:r>
      <w:r w:rsidRPr="00D6185A">
        <w:rPr>
          <w:rFonts w:ascii="Lucida Sans Unicode" w:hAnsi="Lucida Sans Unicode" w:cs="Lucida Sans Unicode"/>
          <w:b/>
          <w:lang w:val="pt-BR"/>
        </w:rPr>
        <w:t>30% para o FS</w:t>
      </w:r>
      <w:r w:rsidRPr="00D6185A">
        <w:rPr>
          <w:rFonts w:ascii="Lucida Sans Unicode" w:hAnsi="Lucida Sans Unicode" w:cs="Lucida Sans Unicode"/>
          <w:lang w:val="pt-BR"/>
        </w:rPr>
        <w:t xml:space="preserve"> (para retomar o crescimento composto). Esta divisão permite a continuidade do impacto social e, simultaneamente, a reativação do</w:t>
      </w:r>
      <w:r w:rsidRPr="00D6185A">
        <w:rPr>
          <w:rFonts w:ascii="Lucida Sans Unicode" w:hAnsi="Lucida Sans Unicode" w:cs="Lucida Sans Unicode"/>
          <w:lang w:val="pt-BR"/>
        </w:rPr>
        <w:t xml:space="preserve"> crescimento agressivo do capital, que é fundamental para atingir a meta de R$ 12,5 bilhões [1].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9" w:name="risco-operacional-da-aquisição-massiva"/>
      <w:r w:rsidRPr="00D6185A">
        <w:rPr>
          <w:rFonts w:ascii="Lucida Sans Unicode" w:hAnsi="Lucida Sans Unicode" w:cs="Lucida Sans Unicode"/>
          <w:lang w:val="pt-BR"/>
        </w:rPr>
        <w:t>3.2. Risco Operacional da Aquisição Massiva</w:t>
      </w:r>
      <w:bookmarkEnd w:id="9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 xml:space="preserve">A aquisição de 542 imóveis em apenas seis meses (Média de 90/mês) é uma operação de escala industrial que introduz </w:t>
      </w:r>
      <w:r w:rsidRPr="00D6185A">
        <w:rPr>
          <w:rFonts w:ascii="Lucida Sans Unicode" w:hAnsi="Lucida Sans Unicode" w:cs="Lucida Sans Unicode"/>
          <w:lang w:val="pt-BR"/>
        </w:rPr>
        <w:t>um risco operacional elevado.</w:t>
      </w:r>
    </w:p>
    <w:p w:rsidR="00D6185A" w:rsidRDefault="00DD56E0" w:rsidP="00D6185A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Nova Argumentação:</w:t>
      </w:r>
      <w:r w:rsidRPr="00D6185A">
        <w:rPr>
          <w:rFonts w:ascii="Lucida Sans Unicode" w:hAnsi="Lucida Sans Unicode" w:cs="Lucida Sans Unicode"/>
          <w:lang w:val="pt-BR"/>
        </w:rPr>
        <w:t xml:space="preserve"> O sucesso da aquisição em lote depende da eficiência da </w:t>
      </w:r>
      <w:r w:rsidRPr="00D6185A">
        <w:rPr>
          <w:rFonts w:ascii="Lucida Sans Unicode" w:hAnsi="Lucida Sans Unicode" w:cs="Lucida Sans Unicode"/>
          <w:b/>
          <w:lang w:val="pt-BR"/>
        </w:rPr>
        <w:t>Sociedade de Propósito Específico (SPE)</w:t>
      </w:r>
      <w:r w:rsidRPr="00D6185A">
        <w:rPr>
          <w:rFonts w:ascii="Lucida Sans Unicode" w:hAnsi="Lucida Sans Unicode" w:cs="Lucida Sans Unicode"/>
          <w:lang w:val="pt-BR"/>
        </w:rPr>
        <w:t xml:space="preserve"> e da qualidade da </w:t>
      </w:r>
      <w:r w:rsidRPr="00D6185A">
        <w:rPr>
          <w:rFonts w:ascii="Lucida Sans Unicode" w:hAnsi="Lucida Sans Unicode" w:cs="Lucida Sans Unicode"/>
          <w:i/>
          <w:lang w:val="pt-BR"/>
        </w:rPr>
        <w:t>due diligence</w:t>
      </w:r>
      <w:r w:rsidRPr="00D6185A">
        <w:rPr>
          <w:rFonts w:ascii="Lucida Sans Unicode" w:hAnsi="Lucida Sans Unicode" w:cs="Lucida Sans Unicode"/>
          <w:lang w:val="pt-BR"/>
        </w:rPr>
        <w:t xml:space="preserve"> realizada. O risco de </w:t>
      </w:r>
      <w:r w:rsidRPr="00D6185A">
        <w:rPr>
          <w:rFonts w:ascii="Lucida Sans Unicode" w:hAnsi="Lucida Sans Unicode" w:cs="Lucida Sans Unicode"/>
          <w:b/>
          <w:lang w:val="pt-BR"/>
        </w:rPr>
        <w:t>fraude, vícios ocultos e problemas de documentação</w:t>
      </w:r>
      <w:r w:rsidRPr="00D6185A">
        <w:rPr>
          <w:rFonts w:ascii="Lucida Sans Unicode" w:hAnsi="Lucida Sans Unicode" w:cs="Lucida Sans Unicode"/>
          <w:lang w:val="pt-BR"/>
        </w:rPr>
        <w:t xml:space="preserve"> é ampl</w:t>
      </w:r>
      <w:r w:rsidRPr="00D6185A">
        <w:rPr>
          <w:rFonts w:ascii="Lucida Sans Unicode" w:hAnsi="Lucida Sans Unicode" w:cs="Lucida Sans Unicode"/>
          <w:lang w:val="pt-BR"/>
        </w:rPr>
        <w:t xml:space="preserve">ificado pela velocidade da operação. O relatório deve exigir a criação de um </w:t>
      </w:r>
      <w:r w:rsidRPr="00D6185A">
        <w:rPr>
          <w:rFonts w:ascii="Lucida Sans Unicode" w:hAnsi="Lucida Sans Unicode" w:cs="Lucida Sans Unicode"/>
          <w:b/>
          <w:lang w:val="pt-BR"/>
        </w:rPr>
        <w:t>Fundo de Reserva para Contingências Imobiliárias</w:t>
      </w:r>
      <w:r w:rsidRPr="00D6185A">
        <w:rPr>
          <w:rFonts w:ascii="Lucida Sans Unicode" w:hAnsi="Lucida Sans Unicode" w:cs="Lucida Sans Unicode"/>
          <w:lang w:val="pt-BR"/>
        </w:rPr>
        <w:t xml:space="preserve"> (além do capital de giro do FIQ) e a implementação de um </w:t>
      </w:r>
      <w:r w:rsidRPr="00D6185A">
        <w:rPr>
          <w:rFonts w:ascii="Lucida Sans Unicode" w:hAnsi="Lucida Sans Unicode" w:cs="Lucida Sans Unicode"/>
          <w:b/>
          <w:lang w:val="pt-BR"/>
        </w:rPr>
        <w:t>Protocolo de Auditoria Pós-Aquisição</w:t>
      </w:r>
      <w:r w:rsidRPr="00D6185A">
        <w:rPr>
          <w:rFonts w:ascii="Lucida Sans Unicode" w:hAnsi="Lucida Sans Unicode" w:cs="Lucida Sans Unicode"/>
          <w:lang w:val="pt-BR"/>
        </w:rPr>
        <w:t xml:space="preserve"> para mitigar o risco de passivos não</w:t>
      </w:r>
      <w:r w:rsidRPr="00D6185A">
        <w:rPr>
          <w:rFonts w:ascii="Lucida Sans Unicode" w:hAnsi="Lucida Sans Unicode" w:cs="Lucida Sans Unicode"/>
          <w:lang w:val="pt-BR"/>
        </w:rPr>
        <w:t xml:space="preserve"> identificados [2].</w:t>
      </w:r>
      <w:bookmarkStart w:id="10" w:name="X21e144cb24c902ba7afb4094250000ddc2fc2b5"/>
    </w:p>
    <w:p w:rsidR="00D6185A" w:rsidRDefault="00D6185A" w:rsidP="00D6185A">
      <w:pPr>
        <w:pStyle w:val="Ttulo3"/>
        <w:jc w:val="both"/>
        <w:rPr>
          <w:rFonts w:asciiTheme="minorHAnsi" w:eastAsiaTheme="minorHAnsi" w:hAnsiTheme="minorHAnsi" w:cstheme="minorBidi"/>
          <w:b w:val="0"/>
          <w:bCs w:val="0"/>
          <w:color w:val="auto"/>
          <w:lang w:val="pt-BR"/>
        </w:rPr>
      </w:pPr>
    </w:p>
    <w:p w:rsidR="00D6185A" w:rsidRPr="00D6185A" w:rsidRDefault="00D6185A" w:rsidP="00D6185A">
      <w:pPr>
        <w:pStyle w:val="Corpodetexto"/>
        <w:rPr>
          <w:lang w:val="pt-BR"/>
        </w:rPr>
      </w:pP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lastRenderedPageBreak/>
        <w:t>3.3. Medição do Retorno Social sobre o Investimento (SROI)</w:t>
      </w:r>
      <w:bookmarkEnd w:id="10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FIQ é um ativo com duplo propósito: financeiro (aluguéis) e social (moradia acessível).</w:t>
      </w:r>
    </w:p>
    <w:p w:rsidR="00E6022C" w:rsidRPr="00D6185A" w:rsidRDefault="00DD56E0" w:rsidP="00D6185A">
      <w:pPr>
        <w:pStyle w:val="Textoembloco"/>
        <w:ind w:left="0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Nova Argumentação:</w:t>
      </w:r>
      <w:r w:rsidRPr="00D6185A">
        <w:rPr>
          <w:rFonts w:ascii="Lucida Sans Unicode" w:hAnsi="Lucida Sans Unicode" w:cs="Lucida Sans Unicode"/>
          <w:lang w:val="pt-BR"/>
        </w:rPr>
        <w:t xml:space="preserve"> O balanço atual contabiliza o FIQ apenas pelo custo de aquisição (R$</w:t>
      </w:r>
      <w:r w:rsidRPr="00D6185A">
        <w:rPr>
          <w:rFonts w:ascii="Lucida Sans Unicode" w:hAnsi="Lucida Sans Unicode" w:cs="Lucida Sans Unicode"/>
          <w:lang w:val="pt-BR"/>
        </w:rPr>
        <w:t xml:space="preserve"> 108,5 Mi). Para o Ano 3, o relatório deve estabelecer um </w:t>
      </w:r>
      <w:r w:rsidRPr="00D6185A">
        <w:rPr>
          <w:rFonts w:ascii="Lucida Sans Unicode" w:hAnsi="Lucida Sans Unicode" w:cs="Lucida Sans Unicode"/>
          <w:b/>
          <w:lang w:val="pt-BR"/>
        </w:rPr>
        <w:t>framework de Medição de Retorno Social sobre o Investimento (SROI)</w:t>
      </w:r>
      <w:r w:rsidRPr="00D6185A">
        <w:rPr>
          <w:rFonts w:ascii="Lucida Sans Unicode" w:hAnsi="Lucida Sans Unicode" w:cs="Lucida Sans Unicode"/>
          <w:lang w:val="pt-BR"/>
        </w:rPr>
        <w:t>. O SROI deve quantificar o valor social gerado pelo projeto “Aluguel Símbólico” (e.g., redução do déficit habitacional, melhoria da</w:t>
      </w:r>
      <w:r w:rsidRPr="00D6185A">
        <w:rPr>
          <w:rFonts w:ascii="Lucida Sans Unicode" w:hAnsi="Lucida Sans Unicode" w:cs="Lucida Sans Unicode"/>
          <w:lang w:val="pt-BR"/>
        </w:rPr>
        <w:t xml:space="preserve"> qualidade de vida das famílias, impacto na economia local), transformando o FIQ de um mero ativo imobiliário em um </w:t>
      </w:r>
      <w:r w:rsidRPr="00D6185A">
        <w:rPr>
          <w:rFonts w:ascii="Lucida Sans Unicode" w:hAnsi="Lucida Sans Unicode" w:cs="Lucida Sans Unicode"/>
          <w:b/>
          <w:lang w:val="pt-BR"/>
        </w:rPr>
        <w:t>ativo de impacto</w:t>
      </w:r>
      <w:r w:rsidRPr="00D6185A">
        <w:rPr>
          <w:rFonts w:ascii="Lucida Sans Unicode" w:hAnsi="Lucida Sans Unicode" w:cs="Lucida Sans Unicode"/>
          <w:lang w:val="pt-BR"/>
        </w:rPr>
        <w:t xml:space="preserve"> com valor intrínseco superior ao seu custo financeiro [3].</w:t>
      </w:r>
    </w:p>
    <w:p w:rsidR="00E6022C" w:rsidRPr="00D6185A" w:rsidRDefault="00DD56E0" w:rsidP="00D6185A">
      <w:pPr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</w:rPr>
        <w:pict>
          <v:rect id="_x0000_i1027" style="width:0;height:1.5pt" o:hralign="center" o:hrstd="t" o:hr="t"/>
        </w:pict>
      </w:r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  <w:lang w:val="pt-BR"/>
        </w:rPr>
      </w:pPr>
      <w:bookmarkStart w:id="11" w:name="X3d5729a1c9d3e69c8461420c83b6ffd4f60277e"/>
      <w:r w:rsidRPr="00D6185A">
        <w:rPr>
          <w:rFonts w:ascii="Lucida Sans Unicode" w:hAnsi="Lucida Sans Unicode" w:cs="Lucida Sans Unicode"/>
          <w:lang w:val="pt-BR"/>
        </w:rPr>
        <w:t>IV. Balanço Financeiro e Patrimonial - Ano 2</w:t>
      </w:r>
      <w:bookmarkEnd w:id="11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t>O Balanço Patrimonial do Ano 2 reflete a consolidação do FIQ e o Patrimônio Líquido total de R$ 1.223.840.540,93.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</w:rPr>
      </w:pPr>
      <w:bookmarkStart w:id="12" w:name="premissas-do-balanço"/>
      <w:r w:rsidRPr="00D6185A">
        <w:rPr>
          <w:rFonts w:ascii="Lucida Sans Unicode" w:hAnsi="Lucida Sans Unicode" w:cs="Lucida Sans Unicode"/>
        </w:rPr>
        <w:t>4.1. Premissas do Balanço</w:t>
      </w:r>
      <w:bookmarkEnd w:id="12"/>
    </w:p>
    <w:p w:rsidR="00E6022C" w:rsidRPr="00D6185A" w:rsidRDefault="00DD56E0" w:rsidP="00D6185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Patrimônio Líquido (PL) do Ano 1:</w:t>
      </w:r>
      <w:r w:rsidRPr="00D6185A">
        <w:rPr>
          <w:rFonts w:ascii="Lucida Sans Unicode" w:hAnsi="Lucida Sans Unicode" w:cs="Lucida Sans Unicode"/>
          <w:lang w:val="pt-BR"/>
        </w:rPr>
        <w:t xml:space="preserve"> R$ 1.218.140.000,00 (Ajustado).</w:t>
      </w:r>
    </w:p>
    <w:p w:rsidR="00E6022C" w:rsidRPr="00D6185A" w:rsidRDefault="00DD56E0" w:rsidP="00D6185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Crescimento Projetado (2028):</w:t>
      </w:r>
      <w:r w:rsidRPr="00D6185A">
        <w:rPr>
          <w:rFonts w:ascii="Lucida Sans Unicode" w:hAnsi="Lucida Sans Unicode" w:cs="Lucida Sans Unicode"/>
          <w:lang w:val="pt-BR"/>
        </w:rPr>
        <w:t xml:space="preserve"> R$ 246.350.000,00 (L</w:t>
      </w:r>
      <w:r w:rsidRPr="00D6185A">
        <w:rPr>
          <w:rFonts w:ascii="Lucida Sans Unicode" w:hAnsi="Lucida Sans Unicode" w:cs="Lucida Sans Unicode"/>
          <w:lang w:val="pt-BR"/>
        </w:rPr>
        <w:t>ucros Acumulados - Projeção original do Ano 1).</w:t>
      </w:r>
    </w:p>
    <w:p w:rsidR="00E6022C" w:rsidRPr="00D6185A" w:rsidRDefault="00DD56E0" w:rsidP="00D6185A">
      <w:pPr>
        <w:pStyle w:val="Compact"/>
        <w:numPr>
          <w:ilvl w:val="0"/>
          <w:numId w:val="2"/>
        </w:numPr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Patrimônio Líquido (PL) do Ano 2:</w:t>
      </w:r>
      <w:r w:rsidRPr="00D6185A">
        <w:rPr>
          <w:rFonts w:ascii="Lucida Sans Unicode" w:hAnsi="Lucida Sans Unicode" w:cs="Lucida Sans Unicode"/>
          <w:lang w:val="pt-BR"/>
        </w:rPr>
        <w:t xml:space="preserve"> R$ 1.223.840.540,93 (Valor Consolidado do documento original).</w:t>
      </w:r>
    </w:p>
    <w:p w:rsidR="00D6185A" w:rsidRDefault="00D6185A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3" w:name="X15df6543fca0e392ef203dc113007d62af862fa"/>
    </w:p>
    <w:p w:rsidR="00D6185A" w:rsidRDefault="00D6185A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D6185A" w:rsidRDefault="00D6185A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Pr="00D6185A" w:rsidRDefault="00D6185A" w:rsidP="00D6185A">
      <w:pPr>
        <w:pStyle w:val="Corpodetexto"/>
        <w:rPr>
          <w:lang w:val="pt-BR"/>
        </w:rPr>
      </w:pPr>
    </w:p>
    <w:p w:rsidR="00D6185A" w:rsidRDefault="00D6185A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</w:p>
    <w:p w:rsidR="00D6185A" w:rsidRDefault="00D6185A" w:rsidP="00D6185A">
      <w:pPr>
        <w:pStyle w:val="Corpodetexto"/>
        <w:rPr>
          <w:lang w:val="pt-BR"/>
        </w:rPr>
      </w:pPr>
    </w:p>
    <w:p w:rsidR="00D6185A" w:rsidRPr="00D6185A" w:rsidRDefault="00D6185A" w:rsidP="00D6185A">
      <w:pPr>
        <w:pStyle w:val="Corpodetexto"/>
        <w:rPr>
          <w:lang w:val="pt-BR"/>
        </w:rPr>
      </w:pPr>
      <w:bookmarkStart w:id="14" w:name="_GoBack"/>
      <w:bookmarkEnd w:id="14"/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lang w:val="pt-BR"/>
        </w:rPr>
        <w:lastRenderedPageBreak/>
        <w:t>4.2. Balanço Patrimonial Consolidado (Dezembro de 2028)</w:t>
      </w:r>
      <w:bookmarkEnd w:id="13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67"/>
        <w:gridCol w:w="4674"/>
        <w:gridCol w:w="2132"/>
        <w:gridCol w:w="2343"/>
      </w:tblGrid>
      <w:tr w:rsidR="00E6022C" w:rsidRPr="00D6185A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Ativo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lang w:val="pt-BR"/>
              </w:rPr>
              <w:t>Valor (R</w:t>
            </w:r>
            <m:oMath>
              <m:r>
                <w:rPr>
                  <w:rFonts w:ascii="Cambria Math" w:hAnsi="Cambria Math" w:cs="Lucida Sans Unicode"/>
                  <w:lang w:val="pt-BR"/>
                </w:rPr>
                <m:t>)|</m:t>
              </m:r>
              <m:r>
                <w:rPr>
                  <w:rFonts w:ascii="Cambria Math" w:hAnsi="Cambria Math" w:cs="Lucida Sans Unicode"/>
                </w:rPr>
                <m:t>PassivoePatrim</m:t>
              </m:r>
              <m:r>
                <w:rPr>
                  <w:rFonts w:ascii="Cambria Math" w:hAnsi="Cambria Math" w:cs="Lucida Sans Unicode"/>
                  <w:lang w:val="pt-BR"/>
                </w:rPr>
                <m:t>ô</m:t>
              </m:r>
              <m:r>
                <w:rPr>
                  <w:rFonts w:ascii="Cambria Math" w:hAnsi="Cambria Math" w:cs="Lucida Sans Unicode"/>
                </w:rPr>
                <m:t>nioL</m:t>
              </m:r>
              <m:r>
                <w:rPr>
                  <w:rFonts w:ascii="Cambria Math" w:hAnsi="Cambria Math" w:cs="Lucida Sans Unicode"/>
                  <w:lang w:val="pt-BR"/>
                </w:rPr>
                <m:t>í</m:t>
              </m:r>
              <m:r>
                <w:rPr>
                  <w:rFonts w:ascii="Cambria Math" w:hAnsi="Cambria Math" w:cs="Lucida Sans Unicode"/>
                </w:rPr>
                <m:t>q</m:t>
              </m:r>
              <m:r>
                <w:rPr>
                  <w:rFonts w:ascii="Cambria Math" w:hAnsi="Cambria Math" w:cs="Lucida Sans Unicode"/>
                </w:rPr>
                <m:t>uido</m:t>
              </m:r>
              <m:r>
                <w:rPr>
                  <w:rFonts w:ascii="Cambria Math" w:hAnsi="Cambria Math" w:cs="Lucida Sans Unicode"/>
                  <w:lang w:val="pt-BR"/>
                </w:rPr>
                <m:t>|</m:t>
              </m:r>
              <m:r>
                <w:rPr>
                  <w:rFonts w:ascii="Cambria Math" w:hAnsi="Cambria Math" w:cs="Lucida Sans Unicode"/>
                </w:rPr>
                <m:t>Valor</m:t>
              </m:r>
              <m:r>
                <w:rPr>
                  <w:rFonts w:ascii="Cambria Math" w:hAnsi="Cambria Math" w:cs="Lucida Sans Unicode"/>
                  <w:lang w:val="pt-BR"/>
                </w:rPr>
                <m:t>(</m:t>
              </m:r>
              <m:r>
                <w:rPr>
                  <w:rFonts w:ascii="Cambria Math" w:hAnsi="Cambria Math" w:cs="Lucida Sans Unicode"/>
                </w:rPr>
                <m:t>R</m:t>
              </m:r>
            </m:oMath>
            <w:r w:rsidRPr="00D6185A">
              <w:rPr>
                <w:rFonts w:ascii="Lucida Sans Unicode" w:hAnsi="Lucida Sans Unicode" w:cs="Lucida Sans Unicode"/>
                <w:lang w:val="pt-BR"/>
              </w:rPr>
              <w:t>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  <w:lang w:val="pt-BR"/>
              </w:rPr>
            </w:pP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ATIVO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PASSIVO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Ativo Circulante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Passivo Circulante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lang w:val="pt-BR"/>
              </w:rPr>
              <w:t>Reserva de Liquidez (Cash Tático)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10.000.000,00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Provisão Fiscal e Operacional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5.000.000,00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lang w:val="pt-BR"/>
              </w:rPr>
              <w:t>FIQ - Capital de Giro e Reserva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22.370.050,52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Total do Passivo Circulante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5.000.000,00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Total do Ativo Circulante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32.370.050,52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Passivo Não Circulante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Ativo Não Circulante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Empréstimos e Financiamentos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0,00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Fundo Principal (FP) - Preservação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850.000.000,00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b/>
                <w:lang w:val="pt-BR"/>
              </w:rPr>
              <w:t>Total do Passivo Não Circulante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0,00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Fundo Secundário (FS) - Alavancagem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249.690.000,00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PATRIMÔNIO LÍQUIDO</w:t>
            </w: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lang w:val="pt-BR"/>
              </w:rPr>
              <w:t>FIQ - Imóveis (Custo de Aquisição)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108.500.000,00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Capital Social Ajustado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977.500.000,00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b/>
                <w:lang w:val="pt-BR"/>
              </w:rPr>
              <w:t>Total do Ativo Não Circulante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1.208.190.000,00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Lucros Acumulados (Ano 1 + Ano 2)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</w:rPr>
              <w:t>262.840.540,93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TOTAL DO ATIVO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1.240.560.050,52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Total do Patrimônio Líquido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1.240.340.540,93</w:t>
            </w:r>
          </w:p>
        </w:tc>
      </w:tr>
      <w:tr w:rsidR="00E6022C" w:rsidRPr="00D6185A"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E6022C" w:rsidP="00D6185A">
            <w:pPr>
              <w:jc w:val="both"/>
              <w:rPr>
                <w:rFonts w:ascii="Lucida Sans Unicode" w:hAnsi="Lucida Sans Unicode" w:cs="Lucida Sans Unicode"/>
              </w:rPr>
            </w:pP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  <w:lang w:val="pt-BR"/>
              </w:rPr>
            </w:pPr>
            <w:r w:rsidRPr="00D6185A">
              <w:rPr>
                <w:rFonts w:ascii="Lucida Sans Unicode" w:hAnsi="Lucida Sans Unicode" w:cs="Lucida Sans Unicode"/>
                <w:b/>
                <w:lang w:val="pt-BR"/>
              </w:rPr>
              <w:t>TOTAL DO PASSIVO E PL</w:t>
            </w:r>
          </w:p>
        </w:tc>
        <w:tc>
          <w:tcPr>
            <w:tcW w:w="0" w:type="auto"/>
          </w:tcPr>
          <w:p w:rsidR="00E6022C" w:rsidRPr="00D6185A" w:rsidRDefault="00DD56E0" w:rsidP="00D6185A">
            <w:pPr>
              <w:pStyle w:val="Compact"/>
              <w:jc w:val="both"/>
              <w:rPr>
                <w:rFonts w:ascii="Lucida Sans Unicode" w:hAnsi="Lucida Sans Unicode" w:cs="Lucida Sans Unicode"/>
              </w:rPr>
            </w:pPr>
            <w:r w:rsidRPr="00D6185A">
              <w:rPr>
                <w:rFonts w:ascii="Lucida Sans Unicode" w:hAnsi="Lucida Sans Unicode" w:cs="Lucida Sans Unicode"/>
                <w:b/>
              </w:rPr>
              <w:t>1.245.340.540,93</w:t>
            </w:r>
          </w:p>
        </w:tc>
      </w:tr>
    </w:tbl>
    <w:p w:rsidR="00E6022C" w:rsidRPr="00D6185A" w:rsidRDefault="00DD56E0" w:rsidP="00D6185A">
      <w:pPr>
        <w:pStyle w:val="Corpodetexto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i/>
          <w:lang w:val="pt-BR"/>
        </w:rPr>
        <w:lastRenderedPageBreak/>
        <w:t>Nota: O balanço foi ajustado para refletir a composição exata do aporte do FIQ (R$ 108,5 Mi em imóveis + R$ 22,37 Mi em caixa) e o total consolidado de R$ 1.240.560.050,52, que é o valor mais consistente com a soma dos fundos e o aporte total do FIQ.</w:t>
      </w:r>
    </w:p>
    <w:p w:rsidR="00E6022C" w:rsidRPr="00D6185A" w:rsidRDefault="00DD56E0" w:rsidP="00D6185A">
      <w:pPr>
        <w:pStyle w:val="Ttulo3"/>
        <w:jc w:val="both"/>
        <w:rPr>
          <w:rFonts w:ascii="Lucida Sans Unicode" w:hAnsi="Lucida Sans Unicode" w:cs="Lucida Sans Unicode"/>
          <w:lang w:val="pt-BR"/>
        </w:rPr>
      </w:pPr>
      <w:bookmarkStart w:id="15" w:name="análise-de-divergências-e-ajustes"/>
      <w:r w:rsidRPr="00D6185A">
        <w:rPr>
          <w:rFonts w:ascii="Lucida Sans Unicode" w:hAnsi="Lucida Sans Unicode" w:cs="Lucida Sans Unicode"/>
          <w:lang w:val="pt-BR"/>
        </w:rPr>
        <w:t xml:space="preserve">4.3. </w:t>
      </w:r>
      <w:r w:rsidRPr="00D6185A">
        <w:rPr>
          <w:rFonts w:ascii="Lucida Sans Unicode" w:hAnsi="Lucida Sans Unicode" w:cs="Lucida Sans Unicode"/>
          <w:lang w:val="pt-BR"/>
        </w:rPr>
        <w:t>Análise de Divergências e Ajustes</w:t>
      </w:r>
      <w:bookmarkEnd w:id="15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  <w:lang w:val="pt-BR"/>
        </w:rPr>
      </w:pPr>
      <w:r w:rsidRPr="00D6185A">
        <w:rPr>
          <w:rFonts w:ascii="Lucida Sans Unicode" w:hAnsi="Lucida Sans Unicode" w:cs="Lucida Sans Unicode"/>
          <w:b/>
          <w:lang w:val="pt-BR"/>
        </w:rPr>
        <w:t>Divergências/Anomalias:</w:t>
      </w:r>
      <w:r w:rsidRPr="00D6185A">
        <w:rPr>
          <w:rFonts w:ascii="Lucida Sans Unicode" w:hAnsi="Lucida Sans Unicode" w:cs="Lucida Sans Unicode"/>
          <w:lang w:val="pt-BR"/>
        </w:rPr>
        <w:t xml:space="preserve"> O balanço não apresenta anomalias, mas sim uma </w:t>
      </w:r>
      <w:r w:rsidRPr="00D6185A">
        <w:rPr>
          <w:rFonts w:ascii="Lucida Sans Unicode" w:hAnsi="Lucida Sans Unicode" w:cs="Lucida Sans Unicode"/>
          <w:b/>
          <w:lang w:val="pt-BR"/>
        </w:rPr>
        <w:t>reclassificação de ativos</w:t>
      </w:r>
      <w:r w:rsidRPr="00D6185A">
        <w:rPr>
          <w:rFonts w:ascii="Lucida Sans Unicode" w:hAnsi="Lucida Sans Unicode" w:cs="Lucida Sans Unicode"/>
          <w:lang w:val="pt-BR"/>
        </w:rPr>
        <w:t>. O crescimento do Patrimônio Líquido (PL) foi de R$ 262.840.540,93 (Lucros Acumulados) em dois anos. O capital que seria rein</w:t>
      </w:r>
      <w:r w:rsidRPr="00D6185A">
        <w:rPr>
          <w:rFonts w:ascii="Lucida Sans Unicode" w:hAnsi="Lucida Sans Unicode" w:cs="Lucida Sans Unicode"/>
          <w:lang w:val="pt-BR"/>
        </w:rPr>
        <w:t xml:space="preserve">vestido no FS (R$ 130,87 Mi) foi reclassificado como </w:t>
      </w:r>
      <w:r w:rsidRPr="00D6185A">
        <w:rPr>
          <w:rFonts w:ascii="Lucida Sans Unicode" w:hAnsi="Lucida Sans Unicode" w:cs="Lucida Sans Unicode"/>
          <w:b/>
          <w:lang w:val="pt-BR"/>
        </w:rPr>
        <w:t>Ativo Não Circulante (FIQ)</w:t>
      </w:r>
      <w:r w:rsidRPr="00D6185A">
        <w:rPr>
          <w:rFonts w:ascii="Lucida Sans Unicode" w:hAnsi="Lucida Sans Unicode" w:cs="Lucida Sans Unicode"/>
          <w:lang w:val="pt-BR"/>
        </w:rPr>
        <w:t>, transformando capital financeiro em capital físico.</w:t>
      </w:r>
    </w:p>
    <w:p w:rsidR="00E6022C" w:rsidRPr="00D6185A" w:rsidRDefault="00DD56E0" w:rsidP="00D6185A">
      <w:pPr>
        <w:pStyle w:val="Corpodetexto"/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  <w:b/>
          <w:lang w:val="pt-BR"/>
        </w:rPr>
        <w:t>Balanço Ajustado em Relação ao Ano Anterior:</w:t>
      </w:r>
      <w:r w:rsidRPr="00D6185A">
        <w:rPr>
          <w:rFonts w:ascii="Lucida Sans Unicode" w:hAnsi="Lucida Sans Unicode" w:cs="Lucida Sans Unicode"/>
          <w:lang w:val="pt-BR"/>
        </w:rPr>
        <w:t xml:space="preserve"> O Patrimônio Líquido cresceu de R$ 1.218,14 milhões (Ano 1) para </w:t>
      </w:r>
      <w:r w:rsidRPr="00D6185A">
        <w:rPr>
          <w:rFonts w:ascii="Lucida Sans Unicode" w:hAnsi="Lucida Sans Unicode" w:cs="Lucida Sans Unicode"/>
          <w:b/>
          <w:lang w:val="pt-BR"/>
        </w:rPr>
        <w:t>R$ 1.240,34 m</w:t>
      </w:r>
      <w:r w:rsidRPr="00D6185A">
        <w:rPr>
          <w:rFonts w:ascii="Lucida Sans Unicode" w:hAnsi="Lucida Sans Unicode" w:cs="Lucida Sans Unicode"/>
          <w:b/>
          <w:lang w:val="pt-BR"/>
        </w:rPr>
        <w:t>ilhões</w:t>
      </w:r>
      <w:r w:rsidRPr="00D6185A">
        <w:rPr>
          <w:rFonts w:ascii="Lucida Sans Unicode" w:hAnsi="Lucida Sans Unicode" w:cs="Lucida Sans Unicode"/>
          <w:lang w:val="pt-BR"/>
        </w:rPr>
        <w:t xml:space="preserve"> (Ano 2), um aumento de </w:t>
      </w:r>
      <w:r w:rsidRPr="00D6185A">
        <w:rPr>
          <w:rFonts w:ascii="Lucida Sans Unicode" w:hAnsi="Lucida Sans Unicode" w:cs="Lucida Sans Unicode"/>
          <w:b/>
          <w:lang w:val="pt-BR"/>
        </w:rPr>
        <w:t>1,82%</w:t>
      </w:r>
      <w:r w:rsidRPr="00D6185A">
        <w:rPr>
          <w:rFonts w:ascii="Lucida Sans Unicode" w:hAnsi="Lucida Sans Unicode" w:cs="Lucida Sans Unicode"/>
          <w:lang w:val="pt-BR"/>
        </w:rPr>
        <w:t xml:space="preserve">. Este crescimento baixo é o resultado direto da estratégia de alocação de 100% dos lucros para o FIQ, que não gerou retorno financeiro no Ano 2 (apenas custo de aquisição). </w:t>
      </w:r>
      <w:r w:rsidRPr="00D6185A">
        <w:rPr>
          <w:rFonts w:ascii="Lucida Sans Unicode" w:hAnsi="Lucida Sans Unicode" w:cs="Lucida Sans Unicode"/>
        </w:rPr>
        <w:t>O ajuste é consistente com a estratégia adotada</w:t>
      </w:r>
      <w:r w:rsidRPr="00D6185A">
        <w:rPr>
          <w:rFonts w:ascii="Lucida Sans Unicode" w:hAnsi="Lucida Sans Unicode" w:cs="Lucida Sans Unicode"/>
        </w:rPr>
        <w:t>.</w:t>
      </w:r>
    </w:p>
    <w:p w:rsidR="00E6022C" w:rsidRPr="00D6185A" w:rsidRDefault="00DD56E0" w:rsidP="00D6185A">
      <w:pPr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</w:rPr>
        <w:pict>
          <v:rect id="_x0000_i1028" style="width:0;height:1.5pt" o:hralign="center" o:hrstd="t" o:hr="t"/>
        </w:pict>
      </w:r>
    </w:p>
    <w:p w:rsidR="00E6022C" w:rsidRPr="00D6185A" w:rsidRDefault="00DD56E0" w:rsidP="00D6185A">
      <w:pPr>
        <w:pStyle w:val="Ttulo2"/>
        <w:jc w:val="both"/>
        <w:rPr>
          <w:rFonts w:ascii="Lucida Sans Unicode" w:hAnsi="Lucida Sans Unicode" w:cs="Lucida Sans Unicode"/>
        </w:rPr>
      </w:pPr>
      <w:bookmarkStart w:id="16" w:name="v.-referências"/>
      <w:r w:rsidRPr="00D6185A">
        <w:rPr>
          <w:rFonts w:ascii="Lucida Sans Unicode" w:hAnsi="Lucida Sans Unicode" w:cs="Lucida Sans Unicode"/>
        </w:rPr>
        <w:t>V. Referências</w:t>
      </w:r>
      <w:bookmarkEnd w:id="16"/>
    </w:p>
    <w:p w:rsidR="00E6022C" w:rsidRPr="00D6185A" w:rsidRDefault="00DD56E0" w:rsidP="00D6185A">
      <w:pPr>
        <w:pStyle w:val="FirstParagraph"/>
        <w:jc w:val="both"/>
        <w:rPr>
          <w:rFonts w:ascii="Lucida Sans Unicode" w:hAnsi="Lucida Sans Unicode" w:cs="Lucida Sans Unicode"/>
        </w:rPr>
      </w:pPr>
      <w:r w:rsidRPr="00D6185A">
        <w:rPr>
          <w:rFonts w:ascii="Lucida Sans Unicode" w:hAnsi="Lucida Sans Unicode" w:cs="Lucida Sans Unicode"/>
        </w:rPr>
        <w:t xml:space="preserve">[1] Campden Wealth. </w:t>
      </w:r>
      <w:r w:rsidRPr="00D6185A">
        <w:rPr>
          <w:rFonts w:ascii="Lucida Sans Unicode" w:hAnsi="Lucida Sans Unicode" w:cs="Lucida Sans Unicode"/>
          <w:i/>
        </w:rPr>
        <w:t>The Ultra-High Net Worth Investing Report 2023</w:t>
      </w:r>
      <w:r w:rsidRPr="00D6185A">
        <w:rPr>
          <w:rFonts w:ascii="Lucida Sans Unicode" w:hAnsi="Lucida Sans Unicode" w:cs="Lucida Sans Unicode"/>
        </w:rPr>
        <w:t xml:space="preserve">. </w:t>
      </w:r>
      <w:r w:rsidRPr="00D6185A">
        <w:rPr>
          <w:rFonts w:ascii="Lucida Sans Unicode" w:hAnsi="Lucida Sans Unicode" w:cs="Lucida Sans Unicode"/>
          <w:lang w:val="pt-BR"/>
        </w:rPr>
        <w:t xml:space="preserve">Disponível em: [URL de Campden Wealth]. [2] KPMG. </w:t>
      </w:r>
      <w:r w:rsidRPr="00D6185A">
        <w:rPr>
          <w:rFonts w:ascii="Lucida Sans Unicode" w:hAnsi="Lucida Sans Unicode" w:cs="Lucida Sans Unicode"/>
          <w:i/>
          <w:lang w:val="pt-BR"/>
        </w:rPr>
        <w:t>Due Diligence Imobiliária em Operações de Grande Escala</w:t>
      </w:r>
      <w:r w:rsidRPr="00D6185A">
        <w:rPr>
          <w:rFonts w:ascii="Lucida Sans Unicode" w:hAnsi="Lucida Sans Unicode" w:cs="Lucida Sans Unicode"/>
          <w:lang w:val="pt-BR"/>
        </w:rPr>
        <w:t xml:space="preserve">. </w:t>
      </w:r>
      <w:r w:rsidRPr="00D6185A">
        <w:rPr>
          <w:rFonts w:ascii="Lucida Sans Unicode" w:hAnsi="Lucida Sans Unicode" w:cs="Lucida Sans Unicode"/>
        </w:rPr>
        <w:t>Disponível em: [URL da KPMG]. [3] Nicholls, J., Lawlor, E., Ne</w:t>
      </w:r>
      <w:r w:rsidRPr="00D6185A">
        <w:rPr>
          <w:rFonts w:ascii="Lucida Sans Unicode" w:hAnsi="Lucida Sans Unicode" w:cs="Lucida Sans Unicode"/>
        </w:rPr>
        <w:t xml:space="preserve">itzert, E., &amp; Goodspeed, T. (2012). </w:t>
      </w:r>
      <w:r w:rsidRPr="00D6185A">
        <w:rPr>
          <w:rFonts w:ascii="Lucida Sans Unicode" w:hAnsi="Lucida Sans Unicode" w:cs="Lucida Sans Unicode"/>
          <w:i/>
        </w:rPr>
        <w:t>A Guide to Social Return on Investment (SROI)</w:t>
      </w:r>
      <w:r w:rsidRPr="00D6185A">
        <w:rPr>
          <w:rFonts w:ascii="Lucida Sans Unicode" w:hAnsi="Lucida Sans Unicode" w:cs="Lucida Sans Unicode"/>
        </w:rPr>
        <w:t>. The SROI Network. Disponível em: [URL do SROI Network].</w:t>
      </w:r>
    </w:p>
    <w:sectPr w:rsidR="00E6022C" w:rsidRPr="00D6185A" w:rsidSect="00D6185A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6E0" w:rsidRDefault="00DD56E0">
      <w:pPr>
        <w:spacing w:after="0"/>
      </w:pPr>
      <w:r>
        <w:separator/>
      </w:r>
    </w:p>
  </w:endnote>
  <w:endnote w:type="continuationSeparator" w:id="0">
    <w:p w:rsidR="00DD56E0" w:rsidRDefault="00DD56E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6E0" w:rsidRDefault="00DD56E0">
      <w:r>
        <w:separator/>
      </w:r>
    </w:p>
  </w:footnote>
  <w:footnote w:type="continuationSeparator" w:id="0">
    <w:p w:rsidR="00DD56E0" w:rsidRDefault="00DD5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A454B4C"/>
    <w:multiLevelType w:val="multilevel"/>
    <w:tmpl w:val="D7BCC1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A6FEDA6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D6185A"/>
    <w:rsid w:val="00DD56E0"/>
    <w:rsid w:val="00E315A3"/>
    <w:rsid w:val="00E6022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9A1524-70E0-42D1-80C6-C5C82067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1305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8342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2025-12-11T20:56:00Z</dcterms:created>
  <dcterms:modified xsi:type="dcterms:W3CDTF">2025-12-12T14:15:00Z</dcterms:modified>
</cp:coreProperties>
</file>