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b/>
          <w:bCs/>
          <w:color w:val="0A2540"/>
          <w:sz w:val="40"/>
          <w:szCs w:val="40"/>
          <w:rtl/>
        </w:rPr>
        <w:t xml:space="preserve">Nexus — כלכלת היחידה ותוכנית הריפרל</w:t>
      </w:r>
    </w:p>
    <w:p>
      <w:pPr>
        <w:bidi/>
        <w:spacing w:after="360"/>
        <w:jc w:val="center"/>
      </w:pPr>
      <w:r>
        <w:rPr>
          <w:color w:val="5D7079"/>
          <w:sz w:val="20"/>
          <w:szCs w:val="20"/>
          <w:rtl/>
        </w:rPr>
        <w:t xml:space="preserve">מסמך פנימי · יולי 2026</w:t>
      </w:r>
    </w:p>
    <w:p>
      <w:pPr>
        <w:pStyle w:val="Heading1"/>
        <w:bidi/>
        <w:spacing w:after="160" w:before="320"/>
      </w:pPr>
      <w:r>
        <w:rPr>
          <w:b/>
          <w:bCs/>
          <w:color w:val="0A2540"/>
          <w:rtl/>
        </w:rPr>
        <w:t xml:space="preserve">1. מנוע הרווח — יחידה אחת</w:t>
      </w:r>
    </w:p>
    <w:p>
      <w:pPr>
        <w:bidi/>
        <w:spacing w:after="140" w:line="300"/>
      </w:pPr>
      <w:r>
        <w:rPr>
          <w:rtl/>
        </w:rPr>
        <w:t xml:space="preserve">דוגמה: לקוח משלם 500 ₪ בפוקס הום.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הלקוח משלם ‏500 ₪ דרך Nexus ומקבל ‏55% קאשבק (‏275 ₪) ליתרת Nexus. הקאשבק ממומן על ידי המותג — לא על ידינו.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התשלום שעובר לספק בפועל: ‏225 ₪. אנחנו גובים ממנו ‏10% — ‏22.5 ₪.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הקאשבק שנצבר חוזר ומשולם אצל ספקים — ואנחנו גובים ‏10% גם על היציאות האלה, בכל סיבוב מחדש.</w:t>
      </w:r>
    </w:p>
    <w:p>
      <w:pPr>
        <w:bidi/>
        <w:spacing w:after="140" w:line="300"/>
      </w:pPr>
      <w:r>
        <w:rPr>
          <w:b/>
          <w:bCs/>
          <w:rtl/>
        </w:rPr>
        <w:t xml:space="preserve">הכלל: אנחנו מרוויחים 10% על כל שקל שיוצא לספק — כולל כסף שמקורו בקאשבק.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c>
          <w:tcPr>
            <w:tcW w:type="dxa" w:w="22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מחזור</w:t>
            </w:r>
          </w:p>
        </w:tc>
        <w:tc>
          <w:tcPr>
            <w:tcW w:type="dxa" w:w="17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הוצאת הלקוח</w:t>
            </w:r>
          </w:p>
        </w:tc>
        <w:tc>
          <w:tcPr>
            <w:tcW w:type="dxa" w:w="17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קאשבק חדש</w:t>
            </w:r>
          </w:p>
        </w:tc>
        <w:tc>
          <w:tcPr>
            <w:tcW w:type="dxa" w:w="17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תשלום לספק</w:t>
            </w:r>
          </w:p>
        </w:tc>
        <w:tc>
          <w:tcPr>
            <w:tcW w:type="dxa" w:w="17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הרווח שלנו (10%)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 — כסף חדש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‏500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‏275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‏225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‏22.5 ₪</w:t>
            </w:r>
          </w:p>
        </w:tc>
      </w:tr>
      <w:tr>
        <w:tc>
          <w:tcPr>
            <w:tcW w:type="dxa" w:w="22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 — מהיתרה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‏275 ₪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‏151 ₪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‏124 ₪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‏12.4 ₪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3 — מהיתרה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‏151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‏83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‏68 ₪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‏6.8 ₪</w:t>
            </w:r>
          </w:p>
        </w:tc>
      </w:tr>
      <w:tr>
        <w:tc>
          <w:tcPr>
            <w:tcW w:type="dxa" w:w="22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המשך הגלגול…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…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…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…</w:t>
            </w:r>
          </w:p>
        </w:tc>
        <w:tc>
          <w:tcPr>
            <w:tcW w:type="dxa" w:w="17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…</w:t>
            </w:r>
          </w:p>
        </w:tc>
      </w:tr>
      <w:tr>
        <w:tc>
          <w:tcPr>
            <w:tcW w:type="dxa" w:w="22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סה״כ</w:t>
            </w:r>
          </w:p>
        </w:tc>
        <w:tc>
          <w:tcPr>
            <w:tcW w:type="dxa" w:w="17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‏1,111 ₪</w:t>
            </w:r>
          </w:p>
        </w:tc>
        <w:tc>
          <w:tcPr>
            <w:tcW w:type="dxa" w:w="17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‏611 ₪</w:t>
            </w:r>
          </w:p>
        </w:tc>
        <w:tc>
          <w:tcPr>
            <w:tcW w:type="dxa" w:w="17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‏500 ₪</w:t>
            </w:r>
          </w:p>
        </w:tc>
        <w:tc>
          <w:tcPr>
            <w:tcW w:type="dxa" w:w="17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‏50 ₪</w:t>
            </w:r>
          </w:p>
        </w:tc>
      </w:tr>
    </w:tbl>
    <w:p>
      <w:pPr>
        <w:spacing w:after="120"/>
      </w:pPr>
    </w:p>
    <w:p>
      <w:pPr>
        <w:bidi/>
        <w:spacing w:after="140" w:line="300"/>
      </w:pPr>
      <w:r>
        <w:rPr>
          <w:b/>
          <w:bCs/>
          <w:rtl/>
        </w:rPr>
        <w:t xml:space="preserve">שלוש מסקנות מהיחידה: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‏500 ₪ של כסף חיצוני מייצרים ‏1,111 ₪ מחזור (GMV) ו־‏50 ₪ רווח — ‏10% מהכסף שנכנס.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שקל של יתרה שאנחנו מעניקים (קאשבק או בונוס) עולה לנו לכל היותר ‏90 אגורות — כי הוא חוזר לגבות עמלה ביציאה.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יתרה שלא ממומשת (Breakage) היא רווח מלא.</w:t>
      </w:r>
    </w:p>
    <w:p>
      <w:pPr>
        <w:pStyle w:val="Heading1"/>
        <w:bidi/>
        <w:spacing w:after="160" w:before="320"/>
      </w:pPr>
      <w:r>
        <w:rPr>
          <w:b/>
          <w:bCs/>
          <w:color w:val="0A2540"/>
          <w:rtl/>
        </w:rPr>
        <w:t xml:space="preserve">2. תוכנית הריפרל — הכללים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המפנה מקבל ‏100 ₪ ליתרה על 3 חברים שהצטרפו דרך הקישור שלו.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כל חבר מקבל ‏5% קאשבק אקסטרה על ‏500 ₪ הראשונים שלו.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התגמול משתחרר רק אחרי שכל חבר הוציא לפחות ‏500 ₪ בפלטפורמה.</w:t>
      </w:r>
    </w:p>
    <w:p>
      <w:pPr>
        <w:pStyle w:val="Heading1"/>
        <w:bidi/>
        <w:spacing w:after="160" w:before="320"/>
      </w:pPr>
      <w:r>
        <w:rPr>
          <w:b/>
          <w:bCs/>
          <w:color w:val="0A2540"/>
          <w:rtl/>
        </w:rPr>
        <w:t xml:space="preserve">3. למה זה מתאזן — חשבון היחידה</w:t>
      </w:r>
    </w:p>
    <w:p>
      <w:pPr>
        <w:bidi/>
        <w:spacing w:after="140" w:line="300"/>
      </w:pPr>
      <w:r>
        <w:rPr>
          <w:rtl/>
        </w:rPr>
        <w:t xml:space="preserve">שלושה חברים מזרימים ‏1,500 ₪ לפני שמשלמים למפנה שקל: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סעיף</w:t>
            </w:r>
          </w:p>
        </w:tc>
        <w:tc>
          <w:tcPr>
            <w:tcW w:type="dxa" w:w="220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סכום</w:t>
            </w:r>
          </w:p>
        </w:tc>
      </w:tr>
      <w:tr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עלות: תגמול למפנה (3 חברים)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C0392B"/>
                <w:rtl/>
              </w:rPr>
              <w:t xml:space="preserve">‏100 ₪ −</w:t>
            </w:r>
          </w:p>
        </w:tc>
      </w:tr>
      <w:tr>
        <w:tc>
          <w:tcPr>
            <w:tcW w:type="dxa" w:w="68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הכנסה: ‏5% נטו על ‏1,500 ₪ (ה־10% שלנו פחות ‏5% אקסטרה קאשבק לחברים)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‏75 ₪ +</w:t>
            </w:r>
          </w:p>
        </w:tc>
      </w:tr>
      <w:tr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הכנסה: ‏10% על ה־100 ₪ של המפנה, כשהוא ממומש אצל ספקים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‏10 ₪ +</w:t>
            </w:r>
          </w:p>
        </w:tc>
      </w:tr>
      <w:tr>
        <w:tc>
          <w:tcPr>
            <w:tcW w:type="dxa" w:w="68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הכנסה: ‏10% על ~150 ₪ הקאשבק שהחברים צברו, כשהוא חוזר למחזור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rtl/>
              </w:rPr>
              <w:t xml:space="preserve">‏15 ₪ +</w:t>
            </w:r>
          </w:p>
        </w:tc>
      </w:tr>
      <w:tr>
        <w:tc>
          <w:tcPr>
            <w:tcW w:type="dxa" w:w="68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נטו</w:t>
            </w:r>
          </w:p>
        </w:tc>
        <w:tc>
          <w:tcPr>
            <w:tcW w:type="dxa" w:w="2200"/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b/>
                <w:bCs/>
                <w:rtl/>
              </w:rPr>
              <w:t xml:space="preserve">‏0 ₪</w:t>
            </w:r>
          </w:p>
        </w:tc>
      </w:tr>
    </w:tbl>
    <w:p>
      <w:pPr>
        <w:spacing w:after="120"/>
      </w:pPr>
    </w:p>
    <w:p>
      <w:pPr>
        <w:bidi/>
        <w:spacing w:after="140" w:line="300"/>
      </w:pPr>
      <w:r>
        <w:rPr>
          <w:b/>
          <w:bCs/>
          <w:rtl/>
        </w:rPr>
        <w:t xml:space="preserve">נקודת האיזון היא בדיוק בסף ההסמכה: התשלום למפנה משתחרר רק אחרי שההכנסה שמכסה אותו כבר נגבתה. אנחנו אף פעם לא בחשיפה.</w:t>
      </w:r>
    </w:p>
    <w:p>
      <w:pPr>
        <w:pStyle w:val="Heading1"/>
        <w:bidi/>
        <w:spacing w:after="160" w:before="320"/>
      </w:pPr>
      <w:r>
        <w:rPr>
          <w:b/>
          <w:bCs/>
          <w:color w:val="0A2540"/>
          <w:rtl/>
        </w:rPr>
        <w:t xml:space="preserve">4. מאיפה מגיע הרווח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מהשקל ה־501 ואילך כל חבר מניב ‏10% מלאים — הקאשבק האקסטרה כבר לא חל.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שלושה חברים שמוציאים עוד ‏500 ₪ כל אחד = ‏150 ₪ רווח.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בנוסף: גלגולי המשך של הקאשבק, ויתרות שלא ימומשו (Breakage).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/>
          <w:bCs/>
          <w:rtl/>
        </w:rPr>
        <w:t xml:space="preserve">לקוח שמוציא ‏2,000 ₪ בשנה שווה כ־‏200 ₪ רווח בשנה — ואת עלות הגיוס שלו הוא כיסה בעצמו.</w:t>
      </w:r>
    </w:p>
    <w:p>
      <w:pPr>
        <w:pStyle w:val="Heading1"/>
        <w:bidi/>
        <w:spacing w:after="160" w:before="320"/>
      </w:pPr>
      <w:r>
        <w:rPr>
          <w:b/>
          <w:bCs/>
          <w:color w:val="0A2540"/>
          <w:rtl/>
        </w:rPr>
        <w:t xml:space="preserve">5. הכלל שמגן על התוכנית</w:t>
      </w:r>
    </w:p>
    <w:p>
      <w:pPr>
        <w:bidi/>
        <w:spacing w:after="140" w:line="300"/>
      </w:pPr>
      <w:r>
        <w:rPr>
          <w:rtl/>
        </w:rPr>
        <w:t xml:space="preserve">החישוב מניח עמלה של ‏10% על ההוצאה המזכה. לכן: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רק קניות במותגים משתתפים — עם קאשבק ממומן־מותג (כמו פוקס הום) — נספרות לסף ה־500 ₪.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כרטיסים רב־מותגיים כמו Dream Card והתו המלא (מרווח ‏0–1%) לא נספרים. בלעדיהם ההסמכה מתאזנת; דרכם — כל חבר עולה כ־47 ₪.</w:t>
      </w:r>
    </w:p>
    <w:p>
      <w:pPr>
        <w:pStyle w:val="ListParagraph"/>
        <w:numPr>
          <w:ilvl w:val="0"/>
          <w:numId w:val="2"/>
        </w:numPr>
        <w:bidi/>
        <w:spacing w:after="100" w:line="300"/>
      </w:pPr>
      <w:r>
        <w:rPr>
          <w:b w:val="false"/>
          <w:bCs w:val="false"/>
          <w:rtl/>
        </w:rPr>
        <w:t xml:space="preserve">בונוס: אלה גם הכרטיסים הקלים ביותר לניצול לרעה — אותו סעיף בתקנון סוגר גם את סיכון ההונאות.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2026-07-25T08:18:27.722Z</dcterms:created>
  <dcterms:modified xsi:type="dcterms:W3CDTF">2026-07-25T08:18:27.722Z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