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NEXUS OS</w:t>
      </w:r>
    </w:p>
    <w:p>
      <w:pPr>
        <w:spacing w:after="400"/>
        <w:jc w:val="center"/>
      </w:pPr>
      <w:r>
        <w:rPr>
          <w:rFonts w:ascii="Arial" w:cs="Arial" w:eastAsia="Arial" w:hAnsi="Arial"/>
          <w:color w:val="2E75B6"/>
          <w:sz w:val="36"/>
          <w:szCs w:val="36"/>
        </w:rPr>
        <w:t xml:space="preserve">EU AI Act Conformity Self-Assessment</w:t>
      </w:r>
    </w:p>
    <w:p>
      <w:pPr>
        <w:spacing w:after="100"/>
        <w:jc w:val="center"/>
      </w:pPr>
      <w:r>
        <w:rPr>
          <w:rFonts w:ascii="Arial" w:cs="Arial" w:eastAsia="Arial" w:hAnsi="Arial"/>
          <w:color w:val="666666"/>
          <w:sz w:val="24"/>
          <w:szCs w:val="24"/>
        </w:rPr>
        <w:t xml:space="preserve">Regulation (EU) 2024/1689 — Artificial Intelligence Act</w:t>
      </w:r>
    </w:p>
    <w:p>
      <w:pPr>
        <w:spacing w:after="100"/>
        <w:jc w:val="center"/>
      </w:pPr>
      <w:r>
        <w:rPr>
          <w:rFonts w:ascii="Arial" w:cs="Arial" w:eastAsia="Arial" w:hAnsi="Arial"/>
          <w:color w:val="666666"/>
          <w:sz w:val="22"/>
          <w:szCs w:val="22"/>
        </w:rPr>
        <w:t xml:space="preserve">Chapter III, Section 2: High-Risk AI System Requirements</w:t>
      </w:r>
    </w:p>
    <w:p>
      <w:pPr>
        <w:spacing w:before="6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System:</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Nexus OS v9.5.0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Assessment Date: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March 2026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Classification: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AI Agent Operating System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Compliance Target: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color w:val="CC3300"/>
                <w:sz w:val="20"/>
                <w:szCs w:val="20"/>
              </w:rPr>
              <w:t xml:space="preserve">August 2, 2026 (High-Risk)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Repository: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gitlab.com/nexaiceo/nexus-os</w:t>
            </w:r>
          </w:p>
        </w:tc>
      </w:tr>
    </w:tbl>
    <w:p>
      <w:pPr>
        <w:spacing w:before="800"/>
      </w:pPr>
    </w:p>
    <w:p>
      <w:pPr>
        <w:jc w:val="center"/>
      </w:pPr>
      <w:r>
        <w:rPr>
          <w:rFonts w:ascii="Arial" w:cs="Arial" w:eastAsia="Arial" w:hAnsi="Arial"/>
          <w:i/>
          <w:iCs/>
          <w:color w:val="999999"/>
          <w:sz w:val="20"/>
          <w:szCs w:val="20"/>
        </w:rPr>
        <w:t xml:space="preserve">CONFIDENTIAL — For compliance review purposes</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Arial" w:cs="Arial" w:eastAsia="Arial" w:hAnsi="Arial"/>
          <w:b/>
          <w:bCs/>
          <w:color w:val="1B3A5C"/>
          <w:sz w:val="32"/>
          <w:szCs w:val="32"/>
        </w:rPr>
        <w:t xml:space="preserve">1. Executive Summary</w:t>
      </w:r>
    </w:p>
    <w:p>
      <w:pPr>
        <w:spacing w:after="120" w:before="0"/>
      </w:pPr>
      <w:r>
        <w:rPr>
          <w:rFonts w:ascii="Arial" w:cs="Arial" w:eastAsia="Arial" w:hAnsi="Arial"/>
          <w:sz w:val="22"/>
          <w:szCs w:val="22"/>
        </w:rPr>
        <w:t xml:space="preserve">Nexus OS is a governed AI agent operating system built in Rust with cryptographic security at the kernel level. This document maps Nexus OS capabilities to the EU AI Act (Regulation (EU) 2024/1689) requirements for high-risk AI systems under Chapter III, Section 2, which become enforceable on </w:t>
      </w:r>
      <w:r>
        <w:rPr>
          <w:rFonts w:ascii="Arial" w:cs="Arial" w:eastAsia="Arial" w:hAnsi="Arial"/>
          <w:b/>
          <w:bCs/>
          <w:color w:val="CC3300"/>
          <w:sz w:val="22"/>
          <w:szCs w:val="22"/>
        </w:rPr>
        <w:t xml:space="preserve">August 2, 2026</w:t>
      </w:r>
      <w:r>
        <w:rPr>
          <w:rFonts w:ascii="Arial" w:cs="Arial" w:eastAsia="Arial" w:hAnsi="Arial"/>
          <w:sz w:val="22"/>
          <w:szCs w:val="22"/>
        </w:rPr>
        <w:t xml:space="preserve">.</w:t>
      </w:r>
    </w:p>
    <w:p>
      <w:pPr>
        <w:spacing w:after="120" w:before="0"/>
      </w:pPr>
      <w:r>
        <w:rPr>
          <w:rFonts w:ascii="Arial" w:cs="Arial" w:eastAsia="Arial" w:hAnsi="Arial"/>
          <w:sz w:val="22"/>
          <w:szCs w:val="22"/>
        </w:rPr>
        <w:t xml:space="preserve">Nexus OS is not itself a high-risk AI system. It is infrastructure that can be deployed for high-risk use cases listed in Annex III (e.g., employment screening, critical infrastructure management, law enforcement support). When used in such contexts, the deployer bears primary compliance responsibility. This document demonstrates that Nexus OS provides the technical controls necessary to meet those obligations.</w:t>
      </w:r>
    </w:p>
    <w:p>
      <w:pPr>
        <w:spacing w:after="120" w:before="0"/>
      </w:pPr>
      <w:r>
        <w:rPr>
          <w:rFonts w:ascii="Arial" w:cs="Arial" w:eastAsia="Arial" w:hAnsi="Arial"/>
          <w:sz w:val="22"/>
          <w:szCs w:val="22"/>
        </w:rPr>
        <w:t xml:space="preserve"/>
      </w:r>
    </w:p>
    <w:p>
      <w:pPr>
        <w:pStyle w:val="Heading2"/>
        <w:spacing w:after="120"/>
      </w:pPr>
      <w:r>
        <w:rPr>
          <w:rFonts w:ascii="Arial" w:cs="Arial" w:eastAsia="Arial" w:hAnsi="Arial"/>
          <w:b/>
          <w:bCs/>
          <w:color w:val="1B3A5C"/>
          <w:sz w:val="28"/>
          <w:szCs w:val="28"/>
        </w:rPr>
        <w:t xml:space="preserve">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Article</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Summary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Article 9 — Risk Management</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Governance kernel, AdversarialArena, World Simulation provide continuous risk identification, evaluation, and mitigation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Article 10 — Data Governance</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rFonts w:ascii="Arial" w:cs="Arial" w:eastAsia="Arial" w:hAnsi="Arial"/>
                <w:b/>
                <w:bCs/>
                <w:color w:val="8B6914"/>
                <w:sz w:val="20"/>
                <w:szCs w:val="20"/>
              </w:rPr>
              <w:t xml:space="preserve">Partial</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PII redaction implemented; structured bias testing suites under development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Article 11 — Technical Documentation</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Architecture docs, API reference, security model, deployment guides published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Article 12 — Record-Keeping</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Hash-chained audit trail with cryptographic integrity and configurable retention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Article 13 — Transparency</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Agent capability declarations, L0–L6 autonomy labels, decision audit trail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Article 14 — Human Oversight</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HITL consent gates built into governance kernel with per-level approval policies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Article 15 — Accuracy &amp; Cybersecurity</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Seven-layer defense: Ed25519 identity, capability ACL, WASM sandbox, output firewall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Article 17 — Quality Management</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rFonts w:ascii="Arial" w:cs="Arial" w:eastAsia="Arial" w:hAnsi="Arial"/>
                <w:b/>
                <w:bCs/>
                <w:color w:val="8B6914"/>
                <w:sz w:val="20"/>
                <w:szCs w:val="20"/>
              </w:rPr>
              <w:t xml:space="preserve">Partial</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CI/CD quality gates and test coverage in place; formal QMS documentation in progress</w:t>
            </w:r>
          </w:p>
        </w:tc>
      </w:tr>
    </w:tbl>
    <w:p>
      <w:pPr>
        <w:spacing w:after="120" w:before="0"/>
      </w:pPr>
      <w:r>
        <w:rPr>
          <w:rFonts w:ascii="Arial" w:cs="Arial" w:eastAsia="Arial" w:hAnsi="Arial"/>
          <w:sz w:val="22"/>
          <w:szCs w:val="22"/>
        </w:rPr>
        <w:t xml:space="preserve"/>
      </w:r>
    </w:p>
    <w:p>
      <w:pPr>
        <w:spacing w:after="120" w:before="0"/>
      </w:pPr>
      <w:r>
        <w:rPr>
          <w:rFonts w:ascii="Arial" w:cs="Arial" w:eastAsia="Arial" w:hAnsi="Arial"/>
          <w:b/>
          <w:bCs/>
          <w:sz w:val="20"/>
          <w:szCs w:val="20"/>
        </w:rPr>
        <w:t xml:space="preserve">Status legend: </w:t>
      </w:r>
      <w:r>
        <w:rPr>
          <w:rFonts w:ascii="Arial" w:cs="Arial" w:eastAsia="Arial" w:hAnsi="Arial"/>
          <w:b/>
          <w:bCs/>
          <w:color w:val="2D7A2D"/>
          <w:sz w:val="20"/>
          <w:szCs w:val="20"/>
        </w:rPr>
        <w:t xml:space="preserve">Implemented</w:t>
      </w:r>
      <w:r>
        <w:rPr>
          <w:rFonts w:ascii="Arial" w:cs="Arial" w:eastAsia="Arial" w:hAnsi="Arial"/>
          <w:sz w:val="20"/>
          <w:szCs w:val="20"/>
        </w:rPr>
        <w:t xml:space="preserve"> = feature is built, tested, and active in the current release. </w:t>
      </w:r>
      <w:r>
        <w:rPr>
          <w:rFonts w:ascii="Arial" w:cs="Arial" w:eastAsia="Arial" w:hAnsi="Arial"/>
          <w:b/>
          <w:bCs/>
          <w:color w:val="8B6914"/>
          <w:sz w:val="20"/>
          <w:szCs w:val="20"/>
        </w:rPr>
        <w:t xml:space="preserve">Partial</w:t>
      </w:r>
      <w:r>
        <w:rPr>
          <w:rFonts w:ascii="Arial" w:cs="Arial" w:eastAsia="Arial" w:hAnsi="Arial"/>
          <w:sz w:val="20"/>
          <w:szCs w:val="20"/>
        </w:rPr>
        <w:t xml:space="preserve"> = core capability exists but requires additional work for full compliance. </w:t>
      </w:r>
      <w:r>
        <w:rPr>
          <w:rFonts w:ascii="Arial" w:cs="Arial" w:eastAsia="Arial" w:hAnsi="Arial"/>
          <w:b/>
          <w:bCs/>
          <w:color w:val="1B3A5C"/>
          <w:sz w:val="20"/>
          <w:szCs w:val="20"/>
        </w:rPr>
        <w:t xml:space="preserve">Deployer</w:t>
      </w:r>
      <w:r>
        <w:rPr>
          <w:rFonts w:ascii="Arial" w:cs="Arial" w:eastAsia="Arial" w:hAnsi="Arial"/>
          <w:sz w:val="20"/>
          <w:szCs w:val="20"/>
        </w:rPr>
        <w:t xml:space="preserve"> = compliance responsibility falls on the deploying organization using Nexus OS tooling. </w:t>
      </w:r>
      <w:r>
        <w:rPr>
          <w:rFonts w:ascii="Arial" w:cs="Arial" w:eastAsia="Arial" w:hAnsi="Arial"/>
          <w:b/>
          <w:bCs/>
          <w:color w:val="555555"/>
          <w:sz w:val="20"/>
          <w:szCs w:val="20"/>
        </w:rPr>
        <w:t xml:space="preserve">Planned</w:t>
      </w:r>
      <w:r>
        <w:rPr>
          <w:rFonts w:ascii="Arial" w:cs="Arial" w:eastAsia="Arial" w:hAnsi="Arial"/>
          <w:sz w:val="20"/>
          <w:szCs w:val="20"/>
        </w:rPr>
        <w:t xml:space="preserve"> = scheduled for development.</w:t>
      </w:r>
    </w:p>
    <w:p>
      <w:r>
        <w:br w:type="page"/>
      </w:r>
    </w:p>
    <w:p>
      <w:pPr>
        <w:pStyle w:val="Heading1"/>
        <w:spacing w:after="200"/>
      </w:pPr>
      <w:r>
        <w:rPr>
          <w:rFonts w:ascii="Arial" w:cs="Arial" w:eastAsia="Arial" w:hAnsi="Arial"/>
          <w:b/>
          <w:bCs/>
          <w:color w:val="1B3A5C"/>
          <w:sz w:val="32"/>
          <w:szCs w:val="32"/>
        </w:rPr>
        <w:t xml:space="preserve">2. System Description</w:t>
      </w:r>
    </w:p>
    <w:p>
      <w:pPr>
        <w:spacing w:after="120" w:before="0"/>
      </w:pPr>
      <w:r>
        <w:rPr>
          <w:rFonts w:ascii="Arial" w:cs="Arial" w:eastAsia="Arial" w:hAnsi="Arial"/>
          <w:sz w:val="22"/>
          <w:szCs w:val="22"/>
        </w:rPr>
        <w:t xml:space="preserve">Nexus OS is a desktop-native, local-first AI agent operating system. It provides a governed runtime environment in which AI agents operate with formally defined capabilities, cryptographic identity, and auditable behavior.</w:t>
      </w:r>
    </w:p>
    <w:p>
      <w:pPr>
        <w:spacing w:after="120" w:before="0"/>
      </w:pPr>
      <w:r>
        <w:rPr>
          <w:rFonts w:ascii="Arial" w:cs="Arial" w:eastAsia="Arial" w:hAnsi="Arial"/>
          <w:sz w:val="22"/>
          <w:szCs w:val="22"/>
        </w:rPr>
        <w:t xml:space="preserve"/>
      </w:r>
    </w:p>
    <w:p>
      <w:pPr>
        <w:pStyle w:val="Heading2"/>
        <w:spacing w:after="120"/>
      </w:pPr>
      <w:r>
        <w:rPr>
          <w:rFonts w:ascii="Arial" w:cs="Arial" w:eastAsia="Arial" w:hAnsi="Arial"/>
          <w:b/>
          <w:bCs/>
          <w:color w:val="1B3A5C"/>
          <w:sz w:val="28"/>
          <w:szCs w:val="28"/>
        </w:rPr>
        <w:t xml:space="preserve">Architecture Overview</w:t>
      </w:r>
    </w:p>
    <w:p>
      <w:pPr>
        <w:pStyle w:val="ListParagraph"/>
        <w:numPr>
          <w:ilvl w:val="0"/>
          <w:numId w:val="2"/>
        </w:numPr>
        <w:spacing w:after="80"/>
      </w:pPr>
      <w:r>
        <w:rPr>
          <w:rFonts w:ascii="Arial" w:cs="Arial" w:eastAsia="Arial" w:hAnsi="Arial"/>
          <w:sz w:val="22"/>
          <w:szCs w:val="22"/>
        </w:rPr>
        <w:t xml:space="preserve">41+ Rust workspace crates forming the kernel, governance layer, agent runtime, and supporting services</w:t>
      </w:r>
    </w:p>
    <w:p>
      <w:pPr>
        <w:pStyle w:val="ListParagraph"/>
        <w:numPr>
          <w:ilvl w:val="0"/>
          <w:numId w:val="2"/>
        </w:numPr>
        <w:spacing w:after="80"/>
      </w:pPr>
      <w:r>
        <w:rPr>
          <w:rFonts w:ascii="Arial" w:cs="Arial" w:eastAsia="Arial" w:hAnsi="Arial"/>
          <w:sz w:val="22"/>
          <w:szCs w:val="22"/>
        </w:rPr>
        <w:t xml:space="preserve">Tauri 2.0 desktop application with React/TypeScript frontend (65 pages, 477 Tauri commands)</w:t>
      </w:r>
    </w:p>
    <w:p>
      <w:pPr>
        <w:pStyle w:val="ListParagraph"/>
        <w:numPr>
          <w:ilvl w:val="0"/>
          <w:numId w:val="2"/>
        </w:numPr>
        <w:spacing w:after="80"/>
      </w:pPr>
      <w:r>
        <w:rPr>
          <w:rFonts w:ascii="Arial" w:cs="Arial" w:eastAsia="Arial" w:hAnsi="Arial"/>
          <w:sz w:val="22"/>
          <w:szCs w:val="22"/>
        </w:rPr>
        <w:t xml:space="preserve">Python voice pipeline for speech interaction (Jarvis layer)</w:t>
      </w:r>
    </w:p>
    <w:p>
      <w:pPr>
        <w:pStyle w:val="ListParagraph"/>
        <w:numPr>
          <w:ilvl w:val="0"/>
          <w:numId w:val="2"/>
        </w:numPr>
        <w:spacing w:after="80"/>
      </w:pPr>
      <w:r>
        <w:rPr>
          <w:rFonts w:ascii="Arial" w:cs="Arial" w:eastAsia="Arial" w:hAnsi="Arial"/>
          <w:sz w:val="22"/>
          <w:szCs w:val="22"/>
        </w:rPr>
        <w:t xml:space="preserve">6 LLM providers: Ollama (local), NVIDIA NIM (93 models), OpenAI, Anthropic, Google, DeepSeek</w:t>
      </w:r>
    </w:p>
    <w:p>
      <w:pPr>
        <w:pStyle w:val="ListParagraph"/>
        <w:numPr>
          <w:ilvl w:val="0"/>
          <w:numId w:val="2"/>
        </w:numPr>
        <w:spacing w:after="80"/>
      </w:pPr>
      <w:r>
        <w:rPr>
          <w:rFonts w:ascii="Arial" w:cs="Arial" w:eastAsia="Arial" w:hAnsi="Arial"/>
          <w:sz w:val="22"/>
          <w:szCs w:val="22"/>
        </w:rPr>
        <w:t xml:space="preserve">3,890+ automated tests, 0 panics, 0 clippy warnings, CI green</w:t>
      </w:r>
    </w:p>
    <w:p>
      <w:pPr>
        <w:pStyle w:val="ListParagraph"/>
        <w:numPr>
          <w:ilvl w:val="0"/>
          <w:numId w:val="2"/>
        </w:numPr>
        <w:spacing w:after="80"/>
      </w:pPr>
      <w:r>
        <w:rPr>
          <w:rFonts w:ascii="Arial" w:cs="Arial" w:eastAsia="Arial" w:hAnsi="Arial"/>
          <w:sz w:val="22"/>
          <w:szCs w:val="22"/>
        </w:rPr>
        <w:t xml:space="preserve">MCP client/server and A2A protocol support for agent interoperability</w:t>
      </w:r>
    </w:p>
    <w:p>
      <w:pPr>
        <w:spacing w:after="120" w:before="0"/>
      </w:pPr>
      <w:r>
        <w:rPr>
          <w:rFonts w:ascii="Arial" w:cs="Arial" w:eastAsia="Arial" w:hAnsi="Arial"/>
          <w:sz w:val="22"/>
          <w:szCs w:val="22"/>
        </w:rPr>
        <w:t xml:space="preserve"/>
      </w:r>
    </w:p>
    <w:p>
      <w:pPr>
        <w:pStyle w:val="Heading2"/>
        <w:spacing w:after="120"/>
      </w:pPr>
      <w:r>
        <w:rPr>
          <w:rFonts w:ascii="Arial" w:cs="Arial" w:eastAsia="Arial" w:hAnsi="Arial"/>
          <w:b/>
          <w:bCs/>
          <w:color w:val="1B3A5C"/>
          <w:sz w:val="28"/>
          <w:szCs w:val="28"/>
        </w:rPr>
        <w:t xml:space="preserve">Governance Architecture</w:t>
      </w:r>
    </w:p>
    <w:p>
      <w:pPr>
        <w:spacing w:after="120" w:before="0"/>
      </w:pPr>
      <w:r>
        <w:rPr>
          <w:rFonts w:ascii="Arial" w:cs="Arial" w:eastAsia="Arial" w:hAnsi="Arial"/>
          <w:sz w:val="22"/>
          <w:szCs w:val="22"/>
        </w:rPr>
        <w:t xml:space="preserve">The governance system is implemented at the kernel level, not as an application-layer add-on. Every agent action passes through a multi-layer security pipeline:</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4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Crate(s)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1. Agent Identity</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Ed25519 keypair per agent; DID-based identity; cryptographic action signing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nexus-crypto</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2. Capability ACL</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Capability-based access control; agents can only invoke explicitly granted capabilities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3. Autonomy Level Gate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L0–L6 graduated autonomy; each level defines which actions require human approval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nexus-agents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4. HITL Consent Gate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Human-in-the-loop approval for actions exceeding the agent’s autonomy level; uses tokio::sync::Notify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5. Fuel Metering</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Computational budget enforcement; agents are halted when fuel is exhausted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6. WASM Sandbox</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WebAssembly isolation for untrusted tool execution with epoch-based interruption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nexus-wasm</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7. Output Firewall</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Content filtering on agent outputs; PII redaction; safety checks before delivery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w:t>
            </w:r>
          </w:p>
        </w:tc>
      </w:tr>
    </w:tbl>
    <w:p>
      <w:r>
        <w:br w:type="page"/>
      </w:r>
    </w:p>
    <w:p>
      <w:pPr>
        <w:pStyle w:val="Heading1"/>
        <w:spacing w:after="200"/>
      </w:pPr>
      <w:r>
        <w:rPr>
          <w:rFonts w:ascii="Arial" w:cs="Arial" w:eastAsia="Arial" w:hAnsi="Arial"/>
          <w:b/>
          <w:bCs/>
          <w:color w:val="1B3A5C"/>
          <w:sz w:val="32"/>
          <w:szCs w:val="32"/>
        </w:rPr>
        <w:t xml:space="preserve">3. Article-by-Article Compliance Mapping</w:t>
      </w:r>
    </w:p>
    <w:p>
      <w:pPr>
        <w:pStyle w:val="Heading2"/>
        <w:spacing w:after="120"/>
      </w:pPr>
      <w:r>
        <w:rPr>
          <w:rFonts w:ascii="Arial" w:cs="Arial" w:eastAsia="Arial" w:hAnsi="Arial"/>
          <w:b/>
          <w:bCs/>
          <w:color w:val="1B3A5C"/>
          <w:sz w:val="28"/>
          <w:szCs w:val="28"/>
        </w:rPr>
        <w:t xml:space="preserve">Article 9 — Risk Management System</w:t>
      </w:r>
    </w:p>
    <w:p>
      <w:pPr>
        <w:spacing w:after="120" w:before="0"/>
      </w:pPr>
      <w:r>
        <w:rPr>
          <w:rFonts w:ascii="Arial" w:cs="Arial" w:eastAsia="Arial" w:hAnsi="Arial"/>
          <w:sz w:val="22"/>
          <w:szCs w:val="22"/>
        </w:rPr>
        <w:t xml:space="preserve">Article 9 requires providers of high-risk AI systems to establish, implement, document, and maintain a risk management system throughout the system’s lifecycle. Nexus OS provides the technical infrastructure for continuous risk management.</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400"/>
        <w:gridCol w:w="120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Nexus OS Implementation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Crate / Component</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9(1): Establish and maintain a risk management system operating throughout the AI system lifecycle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The governance kernel is active from agent creation through evolution and decommissioning. Capability declarations define risk boundaries at creation time. The AdversarialArena continuously stress-tests agent behavior against adversarial inputs.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nexus-darwin</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9(2)(a): Identify and analyze known and reasonably foreseeable risks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Agent capability declarations explicitly enumerate all permitted actions. The CapabilityMeasurement framework evaluates agents across 4 vectors at 5 difficulty levels, identifying behavioral boundaries and failure modes.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nexus-agents</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9(2)(b): Estimate and evaluate risks from intended use and reasonably foreseeable misuse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HITL consent gates allow human evaluation of risk at runtime. The World Simulation engine can simulate agent actions before execution, providing pre-action risk assessment. Note: World Simulation requires further validation for production readiness.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nexus-world-sim</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rFonts w:ascii="Arial" w:cs="Arial" w:eastAsia="Arial" w:hAnsi="Arial"/>
                <w:b/>
                <w:bCs/>
                <w:color w:val="8B6914"/>
                <w:sz w:val="20"/>
                <w:szCs w:val="20"/>
              </w:rPr>
              <w:t xml:space="preserve">Partial</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9(2)(c): Evaluate risks from post-market monitoring data</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Hash-chained audit trail records every agent action with timestamps, capability used, autonomy level, and HITL status. Append-only design ensures tamper evidence. Deployers must implement monitoring dashboards over this data.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nexus-audit</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9(2)(d): Adopt suitable and targeted risk management measures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Multi-layer defense: capability ACL restricts scope, HITL gates pause for approval, fuel metering limits compute, WASM sandbox isolates execution, output firewall filters results. Deployers configure which layers activate per use case.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nexus-wasm</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9(5): Testing to identify most appropriate risk management measures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AdversarialArena provides controlled adversarial testing. Darwin Core evolves agent populations under fitness pressure, selecting for robust behavior. SwarmCoordinator stress-tests multi-agent interactions.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nexus-darwin, nexus-adversarial</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9(8): Risk management measures throughout the entire lifecycle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Governance kernel is embedded in the runtime, not configurable to bypass. Agent decommissioning preserves audit trail. Agent self-improvement (Darwin evolution) re-evaluates fitness after each generation.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nexus-darwin</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bl>
    <w:p>
      <w:pPr>
        <w:spacing w:after="120" w:before="0"/>
      </w:pPr>
      <w:r>
        <w:rPr>
          <w:rFonts w:ascii="Arial" w:cs="Arial" w:eastAsia="Arial" w:hAnsi="Arial"/>
          <w:sz w:val="22"/>
          <w:szCs w:val="22"/>
        </w:rPr>
        <w:t xml:space="preserve"/>
      </w:r>
    </w:p>
    <w:p>
      <w:pPr>
        <w:pStyle w:val="Heading2"/>
        <w:spacing w:after="120"/>
      </w:pPr>
      <w:r>
        <w:rPr>
          <w:rFonts w:ascii="Arial" w:cs="Arial" w:eastAsia="Arial" w:hAnsi="Arial"/>
          <w:b/>
          <w:bCs/>
          <w:color w:val="1B3A5C"/>
          <w:sz w:val="28"/>
          <w:szCs w:val="28"/>
        </w:rPr>
        <w:t xml:space="preserve">Article 10 — Data and Data Governance</w:t>
      </w:r>
    </w:p>
    <w:p>
      <w:pPr>
        <w:spacing w:after="120" w:before="0"/>
      </w:pPr>
      <w:r>
        <w:rPr>
          <w:rFonts w:ascii="Arial" w:cs="Arial" w:eastAsia="Arial" w:hAnsi="Arial"/>
          <w:sz w:val="22"/>
          <w:szCs w:val="22"/>
        </w:rPr>
        <w:t xml:space="preserve">Article 10 addresses training, validation, and testing data sets. Nexus OS routes to external LLM providers rather than training its own models, so data governance requirements primarily apply to the agent behavior evaluation pipeline and to deployers’ use of the system.</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400"/>
        <w:gridCol w:w="120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Nexus OS Implementation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Crate / Component</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10(2): Data governance and management practices for training, validation, and testing data</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PII redaction engine automatically detects and scrubs personally identifiable information from agent inputs and outputs. Local-first architecture ensures data does not leave the user’s machine by default.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(PII module)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10(2)(f): Examination for possible biases likely to affect health, safety, or fundamental rights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AdversarialArena can be configured to test agents against adversarial inputs probing for biased outputs. Structured bias test suites with demographic fairness metrics are under development.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nexus-darwin, nexus-adversarial</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rFonts w:ascii="Arial" w:cs="Arial" w:eastAsia="Arial" w:hAnsi="Arial"/>
                <w:b/>
                <w:bCs/>
                <w:color w:val="8B6914"/>
                <w:sz w:val="20"/>
                <w:szCs w:val="20"/>
              </w:rPr>
              <w:t xml:space="preserve">Partial</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10(3): Training, validation, and testing data shall be relevant, sufficiently representative, and to the best extent possible, free of errors and complete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Darwin Core’s fitness evaluation quantifies agent accuracy against objective benchmarks. Capability measurement framework tracks agent performance across task difficulty levels. Upstream model training data governance is the responsibility of the LLM provider.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nexus-darwin, nexus-agents</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b/>
                <w:bCs/>
                <w:color w:val="1B3A5C"/>
                <w:sz w:val="20"/>
                <w:szCs w:val="20"/>
              </w:rPr>
              <w:t xml:space="preserve">Deployer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10(5): Processing of personal data for bias detection and correction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PII redaction occurs before data reaches agents. Local-first architecture provides data sovereignty by default. Deployers processing personal data must ensure GDPR compliance independently.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bl>
    <w:p>
      <w:r>
        <w:br w:type="page"/>
      </w:r>
    </w:p>
    <w:p>
      <w:pPr>
        <w:pStyle w:val="Heading2"/>
        <w:spacing w:after="120"/>
      </w:pPr>
      <w:r>
        <w:rPr>
          <w:rFonts w:ascii="Arial" w:cs="Arial" w:eastAsia="Arial" w:hAnsi="Arial"/>
          <w:b/>
          <w:bCs/>
          <w:color w:val="1B3A5C"/>
          <w:sz w:val="28"/>
          <w:szCs w:val="28"/>
        </w:rPr>
        <w:t xml:space="preserve">Article 11 — Technical Documentation</w:t>
      </w:r>
    </w:p>
    <w:p>
      <w:pPr>
        <w:spacing w:after="120" w:before="0"/>
      </w:pPr>
      <w:r>
        <w:rPr>
          <w:rFonts w:ascii="Arial" w:cs="Arial" w:eastAsia="Arial" w:hAnsi="Arial"/>
          <w:sz w:val="22"/>
          <w:szCs w:val="22"/>
        </w:rPr>
        <w:t xml:space="preserve">Article 11 requires technical documentation to be drawn up before market placement and kept up to date. Annex IV specifies the documentation contents.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400"/>
        <w:gridCol w:w="120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Nexus OS Implementation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Crate / Component</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11(1): Technical documentation drawn up before placement on the market or putting into service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Published documentation includes: ARCHITECTURE.md (system design), SECURITY.md (threat model and controls), README.md (system overview), API reference, ENTERPRISE_DEPLOYMENT.md, and this conformity document.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Repository root, docs/</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Annex IV(1): General description of the AI system</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ARCHITECTURE.md describes system purpose, design decisions, crate organization, data flows, and deployment models. README.md provides intended use description.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ARCHITECTURE.md</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Annex IV(2): Detailed description of elements and development process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41+ crate workspace with documented APIs. CHANGELOG.md records development history. CONTRIBUTING.md documents development process. CI/CD pipeline with automated testing.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Repository root</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Annex IV(3): Monitoring, functioning, and control mechanisms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This conformity document, governance architecture description, autonomy level specifications, HITL approval flow documentation.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docs/EU_AI_ACT_CONFORMITY.md</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Annex IV(5): Description of validation and testing procedures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3,890+ automated tests. CI pipeline runs on every commit. Darwin Core fitness evaluation provides continuous behavioral validation. Formal test plan documentation for Annex IV purposes is in progress.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CI pipeline, nexus-darwin</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rFonts w:ascii="Arial" w:cs="Arial" w:eastAsia="Arial" w:hAnsi="Arial"/>
                <w:b/>
                <w:bCs/>
                <w:color w:val="8B6914"/>
                <w:sz w:val="20"/>
                <w:szCs w:val="20"/>
              </w:rPr>
              <w:t xml:space="preserve">Partial</w:t>
            </w:r>
          </w:p>
        </w:tc>
      </w:tr>
    </w:tbl>
    <w:p>
      <w:pPr>
        <w:spacing w:after="120" w:before="0"/>
      </w:pPr>
      <w:r>
        <w:rPr>
          <w:rFonts w:ascii="Arial" w:cs="Arial" w:eastAsia="Arial" w:hAnsi="Arial"/>
          <w:sz w:val="22"/>
          <w:szCs w:val="22"/>
        </w:rPr>
        <w:t xml:space="preserve"/>
      </w:r>
    </w:p>
    <w:p>
      <w:pPr>
        <w:pStyle w:val="Heading2"/>
        <w:spacing w:after="120"/>
      </w:pPr>
      <w:r>
        <w:rPr>
          <w:rFonts w:ascii="Arial" w:cs="Arial" w:eastAsia="Arial" w:hAnsi="Arial"/>
          <w:b/>
          <w:bCs/>
          <w:color w:val="1B3A5C"/>
          <w:sz w:val="28"/>
          <w:szCs w:val="28"/>
        </w:rPr>
        <w:t xml:space="preserve">Article 12 — Record-Keeping (Logging)</w:t>
      </w:r>
    </w:p>
    <w:p>
      <w:pPr>
        <w:spacing w:after="120" w:before="0"/>
      </w:pPr>
      <w:r>
        <w:rPr>
          <w:rFonts w:ascii="Arial" w:cs="Arial" w:eastAsia="Arial" w:hAnsi="Arial"/>
          <w:sz w:val="22"/>
          <w:szCs w:val="22"/>
        </w:rPr>
        <w:t xml:space="preserve">Article 12 requires high-risk AI systems to technically allow for automatic recording of events (logs) over their lifetime. This is a core architectural strength of Nexus OS.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400"/>
        <w:gridCol w:w="120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Nexus OS Implementation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Crate / Component</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12(1): Automatic recording of events over the lifetime of the system</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Every agent action is recorded in a hash-chained audit trail. Each entry is cryptographically linked to the previous entry using SHA-256, creating a tamper-evident log. The audit system is embedded in the governance kernel and cannot be disabled by agents.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nexus-audit, nexus-governance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12(2): Logging enabling traceability of the AI system’s operation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Each audit entry includes: agent DID (decentralized identifier), action performed, capability invoked, autonomy level, timestamp, hash chain link, HITL approval status and approver identity (if applicable), and Ed25519 signature.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nexus-audit, nexus-crypto</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12(3): Logs kept for an appropriate period of time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Audit trail is append-only, stored locally in SQLite with hash-chain integrity. Retention period is configurable by the deployer. Default: indefinite retention. Deployers in regulated industries can configure retention to match sectoral requirements.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nexus-audit, nexus-persistence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bl>
    <w:p>
      <w:pPr>
        <w:spacing w:after="120" w:before="0"/>
      </w:pPr>
      <w:r>
        <w:rPr>
          <w:rFonts w:ascii="Arial" w:cs="Arial" w:eastAsia="Arial" w:hAnsi="Arial"/>
          <w:sz w:val="22"/>
          <w:szCs w:val="22"/>
        </w:rPr>
        <w:t xml:space="preserve"/>
      </w:r>
    </w:p>
    <w:p>
      <w:pPr>
        <w:pStyle w:val="Heading2"/>
        <w:spacing w:after="120"/>
      </w:pPr>
      <w:r>
        <w:rPr>
          <w:rFonts w:ascii="Arial" w:cs="Arial" w:eastAsia="Arial" w:hAnsi="Arial"/>
          <w:b/>
          <w:bCs/>
          <w:color w:val="1B3A5C"/>
          <w:sz w:val="28"/>
          <w:szCs w:val="28"/>
        </w:rPr>
        <w:t xml:space="preserve">Article 13 — Transparency and Provision of Information to Deployers</w:t>
      </w:r>
    </w:p>
    <w:p>
      <w:pPr>
        <w:spacing w:after="120" w:before="0"/>
      </w:pPr>
      <w:r>
        <w:rPr>
          <w:rFonts w:ascii="Arial" w:cs="Arial" w:eastAsia="Arial" w:hAnsi="Arial"/>
          <w:sz w:val="22"/>
          <w:szCs w:val="22"/>
        </w:rPr>
        <w:t xml:space="preserve">Article 13 requires high-risk AI systems to be designed and developed to ensure sufficient transparency for deployers to interpret the system’s output and use it appropriately.</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400"/>
        <w:gridCol w:w="120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Nexus OS Implementation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Crate / Component</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13(1): Sufficient transparency to interpret output and use appropriately</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Agent capability declarations enumerate all possible actions in a human-readable format. Autonomy level labels (L0–L6) clearly communicate the degree of agent independence. Audit trail provides decision-level traceability.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nexus-agents</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13(2): Instructions for use in appropriate digital or non-digital format</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Published documentation: README, ARCHITECTURE.md, SECURITY.md, ENTERPRISE_DEPLOYMENT.md, SDK guide, API reference. This compliance mapping document. CONTRIBUTING.md for developer onboarding.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Repository docs/</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13(3)(b)(ii): Level of accuracy, robustness, and cybersecurity</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Capability measurement framework provides quantitative accuracy metrics. 7-layer security architecture documented in SECURITY.md. WASM sandboxing and output firewall provide robustness against failures and attacks.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SECURITY.md, nexus-governance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13(3)(d): Human oversight measures, including technical measures to facilitate interpretation of outputs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HITL consent gates with configurable per-level approval policies. L0–L3 agents require human approval for risk-relevant actions. Approval UI provides context (action description, capability, risk assessment) before human decides.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(HITL module)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bl>
    <w:p>
      <w:r>
        <w:br w:type="page"/>
      </w:r>
    </w:p>
    <w:p>
      <w:pPr>
        <w:pStyle w:val="Heading2"/>
        <w:spacing w:after="120"/>
      </w:pPr>
      <w:r>
        <w:rPr>
          <w:rFonts w:ascii="Arial" w:cs="Arial" w:eastAsia="Arial" w:hAnsi="Arial"/>
          <w:b/>
          <w:bCs/>
          <w:color w:val="1B3A5C"/>
          <w:sz w:val="28"/>
          <w:szCs w:val="28"/>
        </w:rPr>
        <w:t xml:space="preserve">Article 14 — Human Oversight</w:t>
      </w:r>
    </w:p>
    <w:p>
      <w:pPr>
        <w:spacing w:after="120" w:before="0"/>
      </w:pPr>
      <w:r>
        <w:rPr>
          <w:rFonts w:ascii="Arial" w:cs="Arial" w:eastAsia="Arial" w:hAnsi="Arial"/>
          <w:sz w:val="22"/>
          <w:szCs w:val="22"/>
        </w:rPr>
        <w:t xml:space="preserve">Article 14 is the most operationally critical requirement for AI agent platforms. Nexus OS’s governance-first architecture was designed specifically to satisfy these obligations.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400"/>
        <w:gridCol w:w="120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Nexus OS Implementation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Crate / Component</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14(1): Designed and developed to be effectively overseen by natural persons during use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HITL consent gates are built into the governance kernel as a mandatory processing stage, not an optional plugin. The approval flow uses tokio::sync::Notify for non-blocking human interaction. HITL cannot be bypassed by agent 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14(2): Enable human to understand the AI system’s capabilities and limitations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Agent capability declarations provide a machine-readable and human-readable enumeration of what each agent can and cannot do. The L0–L6 autonomy spectrum provides an intuitive graduated model of agent independence.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nexus-agents, nexus-governance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14(3)(a): Correctly interpret the high-risk AI system’s output</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Output firewall processes agent outputs before delivery. PII redaction removes sensitive data. Audit trail provides full provenance for every output: which agent produced it, what capability was used, what inputs were provided.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14(3)(b): Decide not to use the output or to disregard, override, or reverse it</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HITL consent gates present proposed actions to humans before execution. Humans can approve, reject, or modify. Ed25519-signed approval tokens create a cryptographic record of human decisions.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nexus-crypto</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14(3)(c): Intervene in the operation or interrupt the system through a stop button or similar procedure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Fuel metering provides deterministic agent shutdown (agent halts when fuel exhausted). HITL gates pause agent execution pending human response. Manual agent termination available through governance kernel commands and frontend UI.</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14(4): For high-risk AI systems, real-time human oversight measures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L0 (Manual): every action requires approval. L1 (Supervised): all actions supervised. L2 (Guided): risk-flagged actions require approval. L3 (Semi-Autonomous): only high-risk actions escalated. Deployers select the appropriate level for their risk classification.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 nexus-agents</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bl>
    <w:p>
      <w:pPr>
        <w:spacing w:after="120" w:before="0"/>
      </w:pPr>
      <w:r>
        <w:rPr>
          <w:rFonts w:ascii="Arial" w:cs="Arial" w:eastAsia="Arial" w:hAnsi="Arial"/>
          <w:sz w:val="22"/>
          <w:szCs w:val="22"/>
        </w:rPr>
        <w:t xml:space="preserve"/>
      </w:r>
    </w:p>
    <w:p>
      <w:pPr>
        <w:pStyle w:val="Heading2"/>
        <w:spacing w:after="120"/>
      </w:pPr>
      <w:r>
        <w:rPr>
          <w:rFonts w:ascii="Arial" w:cs="Arial" w:eastAsia="Arial" w:hAnsi="Arial"/>
          <w:b/>
          <w:bCs/>
          <w:color w:val="1B3A5C"/>
          <w:sz w:val="28"/>
          <w:szCs w:val="28"/>
        </w:rPr>
        <w:t xml:space="preserve">Article 15 — Accuracy, Robustness, and Cybersecurity</w:t>
      </w:r>
    </w:p>
    <w:p>
      <w:pPr>
        <w:spacing w:after="120" w:before="0"/>
      </w:pPr>
      <w:r>
        <w:rPr>
          <w:rFonts w:ascii="Arial" w:cs="Arial" w:eastAsia="Arial" w:hAnsi="Arial"/>
          <w:sz w:val="22"/>
          <w:szCs w:val="22"/>
        </w:rPr>
        <w:t xml:space="preserve">Article 15 requires appropriate levels of accuracy, robustness, and cybersecurity throughout the AI system’s lifecycle.</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400"/>
        <w:gridCol w:w="120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Nexus OS Implementation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Crate / Component</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15(1): Appropriate levels of accuracy for intended purpose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Darwin Core fitness evaluation provides quantitative accuracy measurement. Capability measurement framework evaluates agents across 4 vectors at 5 difficulty levels. Predictive model routing estimates task difficulty and selects appropriate models proactively.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nexus-darwin, nexus-agents, nexus-llm</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15(3): Resilient to errors, faults, and inconsistencies within the system or its environment</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WASM sandbox isolates tool execution failures. Fuel metering prevents runaway agents. Output firewall catches malformed outputs. Hash-chain audit detects data corruption. Agent evolution (Darwin) selects for robustness across generations.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nexus-wasm, nexus-governance, nexus-darwin</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15(4): Resilient against attempts by unauthorized third parties to alter use or performance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Ed25519 agent identity prevents impersonation. Capability ACL prevents privilege escalation. WASM sandbox prevents breakout. Hash-chained audit trail detects tampering. Timing-normalized capability gating mitigates side-channel attacks.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nexus-crypto, nexus-governance, nexus-wasm</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15(5): Cybersecurity measures proportionate to the risks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7-layer defense architecture (see Section 2). Local-first design eliminates cloud attack surface. Air-gappable deployment for classified environments. Enterprise crates: nexus-auth (authentication), nexus-tenancy (multi-tenant isolation), nexus-telemetry (monitoring).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nexus-auth, nexus-tenancy, nexus-governance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bl>
    <w:p>
      <w:r>
        <w:br w:type="page"/>
      </w:r>
    </w:p>
    <w:p>
      <w:pPr>
        <w:pStyle w:val="Heading2"/>
        <w:spacing w:after="120"/>
      </w:pPr>
      <w:r>
        <w:rPr>
          <w:rFonts w:ascii="Arial" w:cs="Arial" w:eastAsia="Arial" w:hAnsi="Arial"/>
          <w:b/>
          <w:bCs/>
          <w:color w:val="1B3A5C"/>
          <w:sz w:val="28"/>
          <w:szCs w:val="28"/>
        </w:rPr>
        <w:t xml:space="preserve">Article 17 — Quality Management System</w:t>
      </w:r>
    </w:p>
    <w:p>
      <w:pPr>
        <w:spacing w:after="120" w:before="0"/>
      </w:pPr>
      <w:r>
        <w:rPr>
          <w:rFonts w:ascii="Arial" w:cs="Arial" w:eastAsia="Arial" w:hAnsi="Arial"/>
          <w:sz w:val="22"/>
          <w:szCs w:val="22"/>
        </w:rPr>
        <w:t xml:space="preserve">Article 17 requires providers to put in place a quality management system ensuring compliance. This is an organizational requirement that Nexus OS supports with technical controls.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400"/>
        <w:gridCol w:w="120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Nexus OS Implementation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Crate / Component</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17(1)(a): Strategy for regulatory compliance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This conformity self-assessment document. SECURITY.md threat model. ROADMAP.md with compliance milestones. Gaps and remediation plan (Section 5 of this document).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docs/</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17(1)(b): Techniques, procedures, and systematic actions for design, development, and testing</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41+ Rust crates with separation of concerns. 3,890+ automated tests. CI/CD pipeline with cargo fmt, clippy, and test on every commit. Darwin Core for continuous agent behavioral validation.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CI pipeline, nexus-darwin</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17(1)(e): Procedures and techniques for data management, including data governance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PII redaction engine. Local-first data architecture. Hash-chained audit trail for data provenance. Formal data management procedures documentation is in progress.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rFonts w:ascii="Arial" w:cs="Arial" w:eastAsia="Arial" w:hAnsi="Arial"/>
                <w:b/>
                <w:bCs/>
                <w:color w:val="8B6914"/>
                <w:sz w:val="20"/>
                <w:szCs w:val="20"/>
              </w:rPr>
              <w:t xml:space="preserve">Partial</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17(1)(f): Risk management system referred to in Article 9</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See Article 9 mapping above. Governance kernel provides continuous risk management throughout system lifecycle.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nexus-governance</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color w:val="2D7A2D"/>
                <w:sz w:val="20"/>
                <w:szCs w:val="20"/>
              </w:rPr>
              <w:t xml:space="preserve">Implemented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17(1)(h): Post-market monitoring system referred to in Article 72</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Hash-chained audit trail provides complete operational records. Telemetry crate (nexus-telemetry) supports monitoring infrastructure. Deployers must implement post-market monitoring dashboards using these capabilities.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i/>
                <w:iCs/>
                <w:sz w:val="18"/>
                <w:szCs w:val="18"/>
              </w:rPr>
              <w:t xml:space="preserve">nexus-audit, nexus-telemetry</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b/>
                <w:bCs/>
                <w:color w:val="1B3A5C"/>
                <w:sz w:val="20"/>
                <w:szCs w:val="20"/>
              </w:rPr>
              <w:t xml:space="preserve">Deployer</w:t>
            </w:r>
          </w:p>
        </w:tc>
      </w:tr>
    </w:tbl>
    <w:p>
      <w:r>
        <w:br w:type="page"/>
      </w:r>
    </w:p>
    <w:p>
      <w:pPr>
        <w:pStyle w:val="Heading1"/>
        <w:spacing w:after="200"/>
      </w:pPr>
      <w:r>
        <w:rPr>
          <w:rFonts w:ascii="Arial" w:cs="Arial" w:eastAsia="Arial" w:hAnsi="Arial"/>
          <w:b/>
          <w:bCs/>
          <w:color w:val="1B3A5C"/>
          <w:sz w:val="32"/>
          <w:szCs w:val="32"/>
        </w:rPr>
        <w:t xml:space="preserve">4. Prohibited Practices Compliance (Article 5)</w:t>
      </w:r>
    </w:p>
    <w:p>
      <w:pPr>
        <w:spacing w:after="120" w:before="0"/>
      </w:pPr>
      <w:r>
        <w:rPr>
          <w:rFonts w:ascii="Arial" w:cs="Arial" w:eastAsia="Arial" w:hAnsi="Arial"/>
          <w:sz w:val="22"/>
          <w:szCs w:val="22"/>
        </w:rPr>
        <w:t xml:space="preserve">Nexus OS does not implement any of the AI practices prohibited under Article 5 of the EU AI Act. The governance architecture actively prevents agents from engaging in prohibited behaviors:</w:t>
      </w:r>
    </w:p>
    <w:p>
      <w:pPr>
        <w:spacing w:after="120" w:before="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No subliminal manipulation techniques — agent outputs pass through the output firewall with safety checks</w:t>
      </w:r>
    </w:p>
    <w:p>
      <w:pPr>
        <w:pStyle w:val="ListParagraph"/>
        <w:numPr>
          <w:ilvl w:val="0"/>
          <w:numId w:val="2"/>
        </w:numPr>
        <w:spacing w:after="80"/>
      </w:pPr>
      <w:r>
        <w:rPr>
          <w:rFonts w:ascii="Arial" w:cs="Arial" w:eastAsia="Arial" w:hAnsi="Arial"/>
          <w:sz w:val="22"/>
          <w:szCs w:val="22"/>
        </w:rPr>
        <w:t xml:space="preserve">No exploitation of vulnerabilities of specific groups — capability ACL restricts agent actions to declared capabilities</w:t>
      </w:r>
    </w:p>
    <w:p>
      <w:pPr>
        <w:pStyle w:val="ListParagraph"/>
        <w:numPr>
          <w:ilvl w:val="0"/>
          <w:numId w:val="2"/>
        </w:numPr>
        <w:spacing w:after="80"/>
      </w:pPr>
      <w:r>
        <w:rPr>
          <w:rFonts w:ascii="Arial" w:cs="Arial" w:eastAsia="Arial" w:hAnsi="Arial"/>
          <w:sz w:val="22"/>
          <w:szCs w:val="22"/>
        </w:rPr>
        <w:t xml:space="preserve">No social scoring systems — token economy (NexusCoin) governs compute resources, not human behavior</w:t>
      </w:r>
    </w:p>
    <w:p>
      <w:pPr>
        <w:pStyle w:val="ListParagraph"/>
        <w:numPr>
          <w:ilvl w:val="0"/>
          <w:numId w:val="2"/>
        </w:numPr>
        <w:spacing w:after="80"/>
      </w:pPr>
      <w:r>
        <w:rPr>
          <w:rFonts w:ascii="Arial" w:cs="Arial" w:eastAsia="Arial" w:hAnsi="Arial"/>
          <w:sz w:val="22"/>
          <w:szCs w:val="22"/>
        </w:rPr>
        <w:t xml:space="preserve">No real-time remote biometric identification — not implemented; no biometric processing capabilities</w:t>
      </w:r>
    </w:p>
    <w:p>
      <w:pPr>
        <w:pStyle w:val="ListParagraph"/>
        <w:numPr>
          <w:ilvl w:val="0"/>
          <w:numId w:val="2"/>
        </w:numPr>
        <w:spacing w:after="80"/>
      </w:pPr>
      <w:r>
        <w:rPr>
          <w:rFonts w:ascii="Arial" w:cs="Arial" w:eastAsia="Arial" w:hAnsi="Arial"/>
          <w:sz w:val="22"/>
          <w:szCs w:val="22"/>
        </w:rPr>
        <w:t xml:space="preserve">No emotion recognition in workplace or education contexts — not implemented</w:t>
      </w:r>
    </w:p>
    <w:p>
      <w:pPr>
        <w:pStyle w:val="ListParagraph"/>
        <w:numPr>
          <w:ilvl w:val="0"/>
          <w:numId w:val="2"/>
        </w:numPr>
        <w:spacing w:after="80"/>
      </w:pPr>
      <w:r>
        <w:rPr>
          <w:rFonts w:ascii="Arial" w:cs="Arial" w:eastAsia="Arial" w:hAnsi="Arial"/>
          <w:sz w:val="22"/>
          <w:szCs w:val="22"/>
        </w:rPr>
        <w:t xml:space="preserve">No untargeted facial image scraping — not implemented; no image collection capabilities</w:t>
      </w:r>
    </w:p>
    <w:p>
      <w:pPr>
        <w:pStyle w:val="ListParagraph"/>
        <w:numPr>
          <w:ilvl w:val="0"/>
          <w:numId w:val="2"/>
        </w:numPr>
        <w:spacing w:after="80"/>
      </w:pPr>
      <w:r>
        <w:rPr>
          <w:rFonts w:ascii="Arial" w:cs="Arial" w:eastAsia="Arial" w:hAnsi="Arial"/>
          <w:sz w:val="22"/>
          <w:szCs w:val="22"/>
        </w:rPr>
        <w:t xml:space="preserve">No predictive policing based solely on profiling — not implemented</w:t>
      </w:r>
    </w:p>
    <w:p>
      <w:pPr>
        <w:spacing w:after="120" w:before="0"/>
      </w:pPr>
      <w:r>
        <w:rPr>
          <w:rFonts w:ascii="Arial" w:cs="Arial" w:eastAsia="Arial" w:hAnsi="Arial"/>
          <w:sz w:val="22"/>
          <w:szCs w:val="22"/>
        </w:rPr>
        <w:t xml:space="preserve"/>
      </w:r>
    </w:p>
    <w:p>
      <w:pPr>
        <w:pStyle w:val="Heading1"/>
        <w:spacing w:after="200"/>
      </w:pPr>
      <w:r>
        <w:rPr>
          <w:rFonts w:ascii="Arial" w:cs="Arial" w:eastAsia="Arial" w:hAnsi="Arial"/>
          <w:b/>
          <w:bCs/>
          <w:color w:val="1B3A5C"/>
          <w:sz w:val="32"/>
          <w:szCs w:val="32"/>
        </w:rPr>
        <w:t xml:space="preserve">5. General-Purpose AI Model Obligations (Chapter V)</w:t>
      </w:r>
    </w:p>
    <w:p>
      <w:pPr>
        <w:spacing w:after="120" w:before="0"/>
      </w:pPr>
      <w:r>
        <w:rPr>
          <w:rFonts w:ascii="Arial" w:cs="Arial" w:eastAsia="Arial" w:hAnsi="Arial"/>
          <w:sz w:val="22"/>
          <w:szCs w:val="22"/>
        </w:rPr>
        <w:t xml:space="preserve">Nexus OS routes to external LLM providers (Ollama, NVIDIA NIM, OpenAI, Anthropic, Google, DeepSeek) but does not train, fine-tune, or distribute general-purpose AI models itself. GPAI model obligations under Articles 51–56 are the responsibility of the upstream model providers.</w:t>
      </w:r>
    </w:p>
    <w:p>
      <w:pPr>
        <w:spacing w:after="120" w:before="0"/>
      </w:pPr>
      <w:r>
        <w:rPr>
          <w:rFonts w:ascii="Arial" w:cs="Arial" w:eastAsia="Arial" w:hAnsi="Arial"/>
          <w:sz w:val="22"/>
          <w:szCs w:val="22"/>
        </w:rPr>
        <w:t xml:space="preserve">Nexus OS provides governance infrastructure that helps deployers meet their obligations when using GPAI models in high-risk applications, including: audit trail recording which model was invoked for each action, capability gating that restricts model access to authorized use cases, and output firewall that filters model outputs for safety.</w:t>
      </w:r>
    </w:p>
    <w:p>
      <w:r>
        <w:br w:type="page"/>
      </w:r>
    </w:p>
    <w:p>
      <w:pPr>
        <w:pStyle w:val="Heading1"/>
        <w:spacing w:after="200"/>
      </w:pPr>
      <w:r>
        <w:rPr>
          <w:rFonts w:ascii="Arial" w:cs="Arial" w:eastAsia="Arial" w:hAnsi="Arial"/>
          <w:b/>
          <w:bCs/>
          <w:color w:val="1B3A5C"/>
          <w:sz w:val="32"/>
          <w:szCs w:val="32"/>
        </w:rPr>
        <w:t xml:space="preserve">6. L0–L6 Autonomy Levels and Article 14 Mapping</w:t>
      </w:r>
    </w:p>
    <w:p>
      <w:pPr>
        <w:spacing w:after="120" w:before="0"/>
      </w:pPr>
      <w:r>
        <w:rPr>
          <w:rFonts w:ascii="Arial" w:cs="Arial" w:eastAsia="Arial" w:hAnsi="Arial"/>
          <w:sz w:val="22"/>
          <w:szCs w:val="22"/>
        </w:rPr>
        <w:t xml:space="preserve">Nexus OS’s graduated autonomy model directly supports Article 14 human oversight requirements by providing configurable levels of human control. Deployers select the appropriate level based on their risk classification.</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360"/>
        <w:gridCol w:w="280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Human Oversight</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Recommended Use Case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L0 — Manual</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Every action requires explicit human approval before execution</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Maximum oversight; all actions gated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High-risk (Annex III) requiring continuous human control</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L1 — Supervised</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All actions supervised; human monitors every decision in real time</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Full visibility, approval for flagged actions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High-risk applications with real-time monitoring requirements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L2 — Guided</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Agent follows predefined workflows; risk-flagged actions require approval</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Workflow-scoped autonomy; risk escalation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Moderate-risk or constrained high-risk deployments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L3 — Semi-Autonomous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Agent operates independently; only high-risk actions escalated to humans</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Selective escalation based on risk classification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Lower-risk deployments with periodic oversight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L4 — Autonomous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Agent operates with minimal oversight; periodic review of audit trail</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Autonomous with audit-based accountability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Non-high-risk applications with post-hoc review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L5 — Fully Autonomous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Agent operates independently with governance kernel constraints only</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Kernel-enforced boundaries; no per-action oversight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Internal tooling, development environments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20"/>
                <w:szCs w:val="20"/>
              </w:rPr>
              <w:t xml:space="preserve">L6 — Self-Evolving</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Agent can modify its own behavior through Darwin evolution within governed bounds</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Evolution constrained by capability ACL and fitness gates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20"/>
                <w:szCs w:val="20"/>
              </w:rPr>
              <w:t xml:space="preserve">Research environments with controlled evolution</w:t>
            </w:r>
          </w:p>
        </w:tc>
      </w:tr>
    </w:tbl>
    <w:p>
      <w:pPr>
        <w:spacing w:after="120" w:before="0"/>
      </w:pPr>
      <w:r>
        <w:rPr>
          <w:rFonts w:ascii="Arial" w:cs="Arial" w:eastAsia="Arial" w:hAnsi="Arial"/>
          <w:sz w:val="22"/>
          <w:szCs w:val="22"/>
        </w:rPr>
        <w:t xml:space="preserve"/>
      </w:r>
    </w:p>
    <w:p>
      <w:pPr>
        <w:spacing w:after="120" w:before="0"/>
      </w:pPr>
      <w:r>
        <w:rPr>
          <w:rFonts w:ascii="Arial" w:cs="Arial" w:eastAsia="Arial" w:hAnsi="Arial"/>
          <w:i/>
          <w:iCs/>
          <w:sz w:val="22"/>
          <w:szCs w:val="22"/>
        </w:rPr>
        <w:t xml:space="preserve">Deployers must select an autonomy level appropriate to their risk classification under Annex III. For high-risk systems, L0–L2 provide the level of human oversight required by Article 14. The selection is a deployer responsibility; Nexus OS provides the technical mechanism.</w:t>
      </w:r>
    </w:p>
    <w:p>
      <w:r>
        <w:br w:type="page"/>
      </w:r>
    </w:p>
    <w:p>
      <w:pPr>
        <w:pStyle w:val="Heading1"/>
        <w:spacing w:after="200"/>
      </w:pPr>
      <w:r>
        <w:rPr>
          <w:rFonts w:ascii="Arial" w:cs="Arial" w:eastAsia="Arial" w:hAnsi="Arial"/>
          <w:b/>
          <w:bCs/>
          <w:color w:val="1B3A5C"/>
          <w:sz w:val="32"/>
          <w:szCs w:val="32"/>
        </w:rPr>
        <w:t xml:space="preserve">7. Gaps and Remediation Plan</w:t>
      </w:r>
    </w:p>
    <w:p>
      <w:pPr>
        <w:spacing w:after="120" w:before="0"/>
      </w:pPr>
      <w:r>
        <w:rPr>
          <w:rFonts w:ascii="Arial" w:cs="Arial" w:eastAsia="Arial" w:hAnsi="Arial"/>
          <w:sz w:val="22"/>
          <w:szCs w:val="22"/>
        </w:rPr>
        <w:t xml:space="preserve">This section documents known gaps between Nexus OS’s current capabilities and full EU AI Act compliance. Transparency about gaps is itself a compliance signal — it demonstrates the systematic risk assessment required by Article 9.</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560"/>
        <w:gridCol w:w="2200"/>
        <w:gridCol w:w="800"/>
        <w:gridCol w:w="1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Article</w:t>
            </w:r>
          </w:p>
        </w:tc>
        <w:tc>
          <w:tcPr>
            <w:tcW w:type="dxa" w:w="2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State</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Remediation</w:t>
            </w:r>
          </w:p>
        </w:tc>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18"/>
                <w:szCs w:val="18"/>
              </w:rPr>
              <w:t xml:space="preserve">Structured bias testing framework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Article 10(2)(f)</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AdversarialArena exists but lacks pre-built bias test suites with demographic fairness metrics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Develop structured bias detection suites covering gender, ethnicity, age, disability</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Q2 2026</w:t>
            </w:r>
          </w:p>
        </w:tc>
        <w:tc>
          <w:tcPr>
            <w:tcW w:type="dxa" w:w="10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rFonts w:ascii="Arial" w:cs="Arial" w:eastAsia="Arial" w:hAnsi="Arial"/>
                <w:b/>
                <w:bCs/>
                <w:color w:val="8B6914"/>
                <w:sz w:val="20"/>
                <w:szCs w:val="20"/>
              </w:rPr>
              <w:t xml:space="preserve">Partial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18"/>
                <w:szCs w:val="18"/>
              </w:rPr>
              <w:t xml:space="preserve">Formal risk assessment template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Article 9(1)</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Governance kernel provides risk management infrastructure; deployers need a structured template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Create downloadable risk assessment template mapped to Nexus OS controls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Q2 2026</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555555"/>
                <w:sz w:val="20"/>
                <w:szCs w:val="20"/>
              </w:rPr>
              <w:t xml:space="preserve">Planned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18"/>
                <w:szCs w:val="18"/>
              </w:rPr>
              <w:t xml:space="preserve">Conformity assessment dossier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Annex VI/VII</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Technical documentation exists but not assembled into the specific format required for conformity assessment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Prepare formal dossier following Annex IV structure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Q3 2026</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555555"/>
                <w:sz w:val="20"/>
                <w:szCs w:val="20"/>
              </w:rPr>
              <w:t xml:space="preserve">Planned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18"/>
                <w:szCs w:val="18"/>
              </w:rPr>
              <w:t xml:space="preserve">Data management procedures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Article 17(1)(e)</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PII redaction and local-first architecture in place; formal written procedures pending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Document data governance procedures including retention, access controls, lineage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Q2 2026</w:t>
            </w:r>
          </w:p>
        </w:tc>
        <w:tc>
          <w:tcPr>
            <w:tcW w:type="dxa" w:w="10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rFonts w:ascii="Arial" w:cs="Arial" w:eastAsia="Arial" w:hAnsi="Arial"/>
                <w:b/>
                <w:bCs/>
                <w:color w:val="8B6914"/>
                <w:sz w:val="20"/>
                <w:szCs w:val="20"/>
              </w:rPr>
              <w:t xml:space="preserve">Partial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18"/>
                <w:szCs w:val="18"/>
              </w:rPr>
              <w:t xml:space="preserve">World Simulation production validation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Article 9(2)(b)</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Engine built but requires additional testing for production readiness and regulatory reliability claims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Complete validation test suite; publish accuracy metrics for simulation predictions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Q2 2026</w:t>
            </w:r>
          </w:p>
        </w:tc>
        <w:tc>
          <w:tcPr>
            <w:tcW w:type="dxa" w:w="10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rFonts w:ascii="Arial" w:cs="Arial" w:eastAsia="Arial" w:hAnsi="Arial"/>
                <w:b/>
                <w:bCs/>
                <w:color w:val="8B6914"/>
                <w:sz w:val="20"/>
                <w:szCs w:val="20"/>
              </w:rPr>
              <w:t xml:space="preserve">Partial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18"/>
                <w:szCs w:val="18"/>
              </w:rPr>
              <w:t xml:space="preserve">Notified body engagement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Article 43</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No engagement with conformity assessment bodies yet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Identify relevant notified bodies; initiate pre-assessment dialogue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Q3 2026</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555555"/>
                <w:sz w:val="20"/>
                <w:szCs w:val="20"/>
              </w:rPr>
              <w:t xml:space="preserve">Planned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b/>
                <w:bCs/>
                <w:sz w:val="18"/>
                <w:szCs w:val="18"/>
              </w:rPr>
              <w:t xml:space="preserve">Post-market monitoring dashboard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Article 72</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Audit trail and telemetry crates provide data; no pre-built monitoring dashboard for deployers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Ship reference monitoring dashboard using nexus-telemetry data</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Q3 2026</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555555"/>
                <w:sz w:val="20"/>
                <w:szCs w:val="20"/>
              </w:rPr>
              <w:t xml:space="preserve">Planned</w:t>
            </w:r>
          </w:p>
        </w:tc>
      </w:tr>
    </w:tbl>
    <w:p>
      <w:r>
        <w:br w:type="page"/>
      </w:r>
    </w:p>
    <w:p>
      <w:pPr>
        <w:pStyle w:val="Heading1"/>
        <w:spacing w:after="200"/>
      </w:pPr>
      <w:r>
        <w:rPr>
          <w:rFonts w:ascii="Arial" w:cs="Arial" w:eastAsia="Arial" w:hAnsi="Arial"/>
          <w:b/>
          <w:bCs/>
          <w:color w:val="1B3A5C"/>
          <w:sz w:val="32"/>
          <w:szCs w:val="32"/>
        </w:rPr>
        <w:t xml:space="preserve">8. Competitive Governance Comparison</w:t>
      </w:r>
    </w:p>
    <w:p>
      <w:pPr>
        <w:spacing w:after="120" w:before="0"/>
      </w:pPr>
      <w:r>
        <w:rPr>
          <w:rFonts w:ascii="Arial" w:cs="Arial" w:eastAsia="Arial" w:hAnsi="Arial"/>
          <w:sz w:val="22"/>
          <w:szCs w:val="22"/>
        </w:rPr>
        <w:t xml:space="preserve">The following comparison demonstrates Nexus OS’s governance capabilities relative to the leading open-source AI agent platforms. No other platform provides a complete governance stack suitable for EU AI Act high-risk system compliance.</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000"/>
        <w:gridCol w:w="1000"/>
        <w:gridCol w:w="1000"/>
        <w:gridCol w:w="1200"/>
        <w:gridCol w:w="1200"/>
        <w:gridCol w:w="1200"/>
      </w:tblGrid>
      <w:tr>
        <w:tc>
          <w:tcPr>
            <w:tcW w:type="dxa" w:w="2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Governance Capability</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Nexus OS</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OpenFang</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AIOS</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CrewAI</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AutoGen</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LangGraph</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Cryptographic agent identity (Ed25519)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Graduated autonomy levels (formal)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 (L0–L6)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HITL consent gates (kernel-level)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Hash-chained audit trail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Capability-based access control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WASM sandbox for tool isolation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Output firewall / PII redaction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Adversarial rule evolution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Local-first / air-gappable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before="0"/>
            </w:pPr>
            <w:r>
              <w:rPr>
                <w:rFonts w:ascii="Arial" w:cs="Arial" w:eastAsia="Arial" w:hAnsi="Arial"/>
                <w:sz w:val="18"/>
                <w:szCs w:val="18"/>
              </w:rPr>
              <w:t xml:space="preserve">EU AI Act compliance documentation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2D7A2D"/>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CC3300"/>
                <w:sz w:val="18"/>
                <w:szCs w:val="18"/>
              </w:rPr>
              <w:t xml:space="preserve">✗</w:t>
            </w:r>
          </w:p>
        </w:tc>
      </w:tr>
    </w:tbl>
    <w:p>
      <w:pPr>
        <w:spacing w:after="120" w:before="0"/>
      </w:pPr>
      <w:r>
        <w:rPr>
          <w:rFonts w:ascii="Arial" w:cs="Arial" w:eastAsia="Arial" w:hAnsi="Arial"/>
          <w:sz w:val="22"/>
          <w:szCs w:val="22"/>
        </w:rPr>
        <w:t xml:space="preserve"/>
      </w:r>
    </w:p>
    <w:p>
      <w:pPr>
        <w:pStyle w:val="Heading1"/>
        <w:spacing w:after="200"/>
      </w:pPr>
      <w:r>
        <w:rPr>
          <w:rFonts w:ascii="Arial" w:cs="Arial" w:eastAsia="Arial" w:hAnsi="Arial"/>
          <w:b/>
          <w:bCs/>
          <w:color w:val="1B3A5C"/>
          <w:sz w:val="32"/>
          <w:szCs w:val="32"/>
        </w:rPr>
        <w:t xml:space="preserve">9. Conclusion</w:t>
      </w:r>
    </w:p>
    <w:p>
      <w:pPr>
        <w:spacing w:after="120" w:before="0"/>
      </w:pPr>
      <w:r>
        <w:rPr>
          <w:rFonts w:ascii="Arial" w:cs="Arial" w:eastAsia="Arial" w:hAnsi="Arial"/>
          <w:sz w:val="22"/>
          <w:szCs w:val="22"/>
        </w:rPr>
        <w:t xml:space="preserve">Nexus OS provides the most comprehensive governance infrastructure available in the open-source AI agent platform space for EU AI Act compliance. The governance-native architecture — where compliance controls are built into the kernel rather than added as application-layer plugins — provides a structural advantage that would take competitors 12–24 months to replicate.</w:t>
      </w:r>
    </w:p>
    <w:p>
      <w:pPr>
        <w:spacing w:after="120" w:before="0"/>
      </w:pPr>
      <w:r>
        <w:rPr>
          <w:rFonts w:ascii="Arial" w:cs="Arial" w:eastAsia="Arial" w:hAnsi="Arial"/>
          <w:sz w:val="22"/>
          <w:szCs w:val="22"/>
        </w:rPr>
        <w:t xml:space="preserve">Key compliance strengths: cryptographic agent identity (Article 15), hash-chained audit trail (Article 12), HITL consent gates at the kernel level (Article 14), graduated L0–L6 autonomy (Article 14), multi-layer defense architecture (Article 15), and continuous risk management through adversarial testing (Article 9).</w:t>
      </w:r>
    </w:p>
    <w:p>
      <w:pPr>
        <w:spacing w:after="120" w:before="0"/>
      </w:pPr>
      <w:r>
        <w:rPr>
          <w:rFonts w:ascii="Arial" w:cs="Arial" w:eastAsia="Arial" w:hAnsi="Arial"/>
          <w:sz w:val="22"/>
          <w:szCs w:val="22"/>
        </w:rPr>
        <w:t xml:space="preserve">Known gaps are documented transparently in Section 7 with specific remediation plans and timelines. All gaps are addressable before the August 2, 2026 enforcement deadline.</w:t>
      </w:r>
    </w:p>
    <w:p>
      <w:pPr>
        <w:spacing w:after="120" w:before="0"/>
      </w:pPr>
      <w:r>
        <w:rPr>
          <w:rFonts w:ascii="Arial" w:cs="Arial" w:eastAsia="Arial" w:hAnsi="Arial"/>
          <w:sz w:val="22"/>
          <w:szCs w:val="22"/>
        </w:rPr>
        <w:t xml:space="preserve">Organizations evaluating AI agent platforms for EU AI Act compliance are encouraged to review the full technical documentation at gitlab.com/nexaiceo/nexus-os and contact the development team for deployment-specific compliance discussions.</w:t>
      </w:r>
    </w:p>
    <w:p>
      <w:pPr>
        <w:spacing w:after="120" w:before="0"/>
      </w:pPr>
      <w:r>
        <w:rPr>
          <w:rFonts w:ascii="Arial" w:cs="Arial" w:eastAsia="Arial" w:hAnsi="Arial"/>
          <w:sz w:val="22"/>
          <w:szCs w:val="22"/>
        </w:rPr>
        <w:t xml:space="preserve"/>
      </w:r>
    </w:p>
    <w:p>
      <w:pPr>
        <w:pBdr>
          <w:top w:val="single" w:color="2E75B6" w:sz="6" w:space="1"/>
        </w:pBdr>
        <w:spacing w:before="400" w:after="120"/>
      </w:pPr>
      <w:r>
        <w:rPr>
          <w:rFonts w:ascii="Arial" w:cs="Arial" w:eastAsia="Arial" w:hAnsi="Arial"/>
          <w:b/>
          <w:bCs/>
          <w:color w:val="666666"/>
          <w:sz w:val="20"/>
          <w:szCs w:val="20"/>
        </w:rPr>
        <w:t xml:space="preserve">Disclaimer</w:t>
      </w:r>
    </w:p>
    <w:p>
      <w:pPr>
        <w:spacing w:after="120" w:before="0"/>
      </w:pPr>
      <w:r>
        <w:rPr>
          <w:rFonts w:ascii="Arial" w:cs="Arial" w:eastAsia="Arial" w:hAnsi="Arial"/>
          <w:i/>
          <w:iCs/>
          <w:color w:val="666666"/>
          <w:sz w:val="20"/>
          <w:szCs w:val="20"/>
        </w:rPr>
        <w:t xml:space="preserve">This self-assessment is provided for informational purposes and does not constitute legal advice. It reflects the technical capabilities of Nexus OS as of the assessment date. Organizations deploying Nexus OS for high-risk AI applications under Annex III should consult qualified legal counsel regarding their specific compliance obligations under Regulation (EU) 2024/1689. Compliance determination ultimately rests with the relevant national supervisory authority.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color w:val="999999"/>
        <w:sz w:val="18"/>
        <w:szCs w:val="18"/>
      </w:rPr>
      <w:t xml:space="preserve">Nexus OS — EU AI Act Conformity Self-Assessment</w:t>
    </w:r>
    <w:r>
      <w:rPr>
        <w:rFonts w:ascii="Arial" w:cs="Arial" w:eastAsia="Arial" w:hAnsi="Arial"/>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3A5C"/>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1B3A5C"/>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2026-03-27T13:06:22.627Z</dcterms:created>
  <dcterms:modified xsi:type="dcterms:W3CDTF">2026-03-27T13:06:22.628Z</dcterms:modified>
</cp:coreProperties>
</file>

<file path=docProps/custom.xml><?xml version="1.0" encoding="utf-8"?>
<Properties xmlns="http://schemas.openxmlformats.org/officeDocument/2006/custom-properties" xmlns:vt="http://schemas.openxmlformats.org/officeDocument/2006/docPropsVTypes"/>
</file>