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RAPID Assessment Platform</w:t>
      </w:r>
    </w:p>
    <w:p>
      <w:pPr>
        <w:spacing w:before="120" w:after="480"/>
        <w:jc w:val="center"/>
      </w:pPr>
      <w:r>
        <w:rPr>
          <w:color w:val="7F8C8D"/>
          <w:sz w:val="28"/>
          <w:szCs w:val="28"/>
        </w:rPr>
        <w:t xml:space="preserve">Next.js Application Design Document</w:t>
      </w:r>
    </w:p>
    <w:p>
      <w:pPr>
        <w:pStyle w:val="Heading1"/>
      </w:pPr>
      <w:r>
        <w:t xml:space="preserve">1. Executive Summary</w:t>
      </w:r>
    </w:p>
    <w:p>
      <w:pPr>
        <w:pStyle w:val="BodyText"/>
      </w:pPr>
      <w:r>
        <w:t xml:space="preserve">The RAPID Assessment Platform is a comprehensive web application designed to streamline GenAI readiness assessments for organizations. The platform supports two primary use cases: organizations exploring new GenAI opportunities and organizations migrating existing GenAI applications to AWS. Built with Next.js and leveraging AWS Bedrock (including Amazon Nova models), the platform guides users through structured assessments, generates detailed reports, and provides actionable recommendations for GenAI deployment on AWS.</w:t>
      </w:r>
    </w:p>
    <w:p>
      <w:pPr>
        <w:pStyle w:val="Heading2"/>
      </w:pPr>
      <w:r>
        <w:t xml:space="preserve">1.1 Key Features</w:t>
      </w:r>
    </w:p>
    <w:p>
      <w:pPr>
        <w:pStyle w:val="ListParagraph"/>
        <w:numPr>
          <w:ilvl w:val="0"/>
          <w:numId w:val="2"/>
        </w:numPr>
      </w:pPr>
      <w:r>
        <w:t xml:space="preserve">Dual-path assessment workflows for new development and migration scenarios</w:t>
      </w:r>
    </w:p>
    <w:p>
      <w:pPr>
        <w:pStyle w:val="ListParagraph"/>
        <w:numPr>
          <w:ilvl w:val="0"/>
          <w:numId w:val="2"/>
        </w:numPr>
      </w:pPr>
      <w:r>
        <w:t xml:space="preserve">Step-by-step guided questionnaires with progress tracking</w:t>
      </w:r>
    </w:p>
    <w:p>
      <w:pPr>
        <w:pStyle w:val="ListParagraph"/>
        <w:numPr>
          <w:ilvl w:val="0"/>
          <w:numId w:val="2"/>
        </w:numPr>
      </w:pPr>
      <w:r>
        <w:t xml:space="preserve">Automated report generation with executive summaries and detailed findings</w:t>
      </w:r>
    </w:p>
    <w:p>
      <w:pPr>
        <w:pStyle w:val="ListParagraph"/>
        <w:numPr>
          <w:ilvl w:val="0"/>
          <w:numId w:val="2"/>
        </w:numPr>
      </w:pPr>
      <w:r>
        <w:t xml:space="preserve">Model evaluation framework supporting AWS Bedrock models including Amazon Nova</w:t>
      </w:r>
    </w:p>
    <w:p>
      <w:pPr>
        <w:pStyle w:val="ListParagraph"/>
        <w:numPr>
          <w:ilvl w:val="0"/>
          <w:numId w:val="2"/>
        </w:numPr>
      </w:pPr>
      <w:r>
        <w:t xml:space="preserve">ROI calculation and business value assessment tools</w:t>
      </w:r>
    </w:p>
    <w:p>
      <w:pPr>
        <w:pStyle w:val="ListParagraph"/>
        <w:numPr>
          <w:ilvl w:val="0"/>
          <w:numId w:val="2"/>
        </w:numPr>
      </w:pPr>
      <w:r>
        <w:t xml:space="preserve">Collaborative features for team-based assessments</w:t>
      </w:r>
    </w:p>
    <w:p>
      <w:r>
        <w:br w:type="page"/>
      </w:r>
    </w:p>
    <w:p>
      <w:pPr>
        <w:pStyle w:val="Heading1"/>
      </w:pPr>
      <w:r>
        <w:t xml:space="preserve">2. System Architecture</w:t>
      </w:r>
    </w:p>
    <w:p>
      <w:pPr>
        <w:pStyle w:val="Heading2"/>
      </w:pPr>
      <w:r>
        <w:t xml:space="preserve">2.1 Technology Stack</w:t>
      </w:r>
    </w:p>
    <w:p>
      <w:pPr>
        <w:pStyle w:val="BodyText"/>
      </w:pPr>
      <w:r>
        <w:rPr>
          <w:b/>
          <w:bCs/>
        </w:rPr>
        <w:t xml:space="preserve">Frontend: </w:t>
      </w:r>
      <w:r>
        <w:t xml:space="preserve">Next.js 14 with App Router, React Server Components, TailwindCSS, shadcn/ui components</w:t>
      </w:r>
    </w:p>
    <w:p>
      <w:pPr>
        <w:pStyle w:val="BodyText"/>
      </w:pPr>
      <w:r>
        <w:rPr>
          <w:b/>
          <w:bCs/>
        </w:rPr>
        <w:t xml:space="preserve">Backend: </w:t>
      </w:r>
      <w:r>
        <w:t xml:space="preserve">Next.js API Routes, AWS SDK for JavaScript</w:t>
      </w:r>
    </w:p>
    <w:p>
      <w:pPr>
        <w:pStyle w:val="BodyText"/>
      </w:pPr>
      <w:r>
        <w:rPr>
          <w:b/>
          <w:bCs/>
        </w:rPr>
        <w:t xml:space="preserve">Database: </w:t>
      </w:r>
      <w:r>
        <w:t xml:space="preserve">Amazon DynamoDB for scalable NoSQL storage</w:t>
      </w:r>
    </w:p>
    <w:p>
      <w:pPr>
        <w:pStyle w:val="BodyText"/>
      </w:pPr>
      <w:r>
        <w:rPr>
          <w:b/>
          <w:bCs/>
        </w:rPr>
        <w:t xml:space="preserve">AI Services: </w:t>
      </w:r>
      <w:r>
        <w:t xml:space="preserve">AWS Bedrock (Claude, Amazon Nova, Llama), Amazon Comprehend</w:t>
      </w:r>
    </w:p>
    <w:p>
      <w:pPr>
        <w:pStyle w:val="BodyText"/>
      </w:pPr>
      <w:r>
        <w:rPr>
          <w:b/>
          <w:bCs/>
        </w:rPr>
        <w:t xml:space="preserve">Storage: </w:t>
      </w:r>
      <w:r>
        <w:t xml:space="preserve">Amazon S3 for document storage and generated reports</w:t>
      </w:r>
    </w:p>
    <w:p>
      <w:pPr>
        <w:pStyle w:val="BodyText"/>
      </w:pPr>
      <w:r>
        <w:rPr>
          <w:b/>
          <w:bCs/>
        </w:rPr>
        <w:t xml:space="preserve">Authentication: </w:t>
      </w:r>
      <w:r>
        <w:t xml:space="preserve">AWS Cognito</w:t>
      </w:r>
    </w:p>
    <w:p>
      <w:pPr>
        <w:pStyle w:val="BodyText"/>
      </w:pPr>
      <w:r>
        <w:rPr>
          <w:b/>
          <w:bCs/>
        </w:rPr>
        <w:t xml:space="preserve">Development: </w:t>
      </w:r>
      <w:r>
        <w:t xml:space="preserve">AWS Kiro (AI-powered IDE for accelerated development)</w:t>
      </w:r>
    </w:p>
    <w:p>
      <w:pPr>
        <w:pStyle w:val="Heading2"/>
      </w:pPr>
      <w:r>
        <w:t xml:space="preserve">2.2 Architecture Layers</w:t>
      </w:r>
    </w:p>
    <w:p>
      <w:pPr>
        <w:pStyle w:val="BodyText"/>
      </w:pPr>
      <w:r>
        <w:t xml:space="preserve">The application follows a three-tier architecture with clear separation of concerns. The presentation layer handles user interactions through responsive React components. The application layer manages business logic, assessment workflows, and state management through Next.js API routes. The data layer provides persistent storage through DynamoDB tables and S3 buckets for document management. AWS Bedrock integration enables AI-powered features including automated report generation and intelligent recommendations.</w:t>
      </w:r>
    </w:p>
    <w:p>
      <w:r>
        <w:br w:type="page"/>
      </w:r>
    </w:p>
    <w:p>
      <w:pPr>
        <w:pStyle w:val="Heading1"/>
      </w:pPr>
      <w:r>
        <w:t xml:space="preserve">3. User Flows</w:t>
      </w:r>
    </w:p>
    <w:p>
      <w:pPr>
        <w:pStyle w:val="Heading2"/>
      </w:pPr>
      <w:r>
        <w:t xml:space="preserve">3.1 Use Case 1: New GenAI Development (Exploratory)</w:t>
      </w:r>
    </w:p>
    <w:p>
      <w:pPr>
        <w:pStyle w:val="BodyText"/>
      </w:pPr>
      <w:r>
        <w:t xml:space="preserve">This workflow guides organizations exploring new GenAI opportunities through a comprehensive assessment process.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34495E" w:val="clear"/>
          </w:tcPr>
          <w:p>
            <w:pPr>
              <w:jc w:val="center"/>
            </w:pPr>
            <w:r>
              <w:rPr>
                <w:b/>
                <w:bCs/>
                <w:color w:val="FFFFFF"/>
                <w:sz w:val="22"/>
                <w:szCs w:val="22"/>
              </w:rPr>
              <w:t xml:space="preserve">Step</w:t>
            </w:r>
          </w:p>
        </w:tc>
        <w:tc>
          <w:tcPr>
            <w:tcW w:type="dxa" w:w="7860"/>
            <w:tcBorders>
              <w:top w:val="single" w:color="CCCCCC" w:sz="1"/>
              <w:left w:val="single" w:color="CCCCCC" w:sz="1"/>
              <w:bottom w:val="single" w:color="CCCCCC" w:sz="1"/>
              <w:right w:val="single" w:color="CCCCCC" w:sz="1"/>
            </w:tcBorders>
            <w:shd w:fill="34495E" w:val="clear"/>
          </w:tcPr>
          <w:p>
            <w:pPr>
              <w:jc w:val="center"/>
            </w:pPr>
            <w:r>
              <w:rPr>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Pr>
          <w:p>
            <w:r>
              <w:rPr>
                <w:b/>
                <w:bCs/>
              </w:rPr>
              <w:t xml:space="preserve">1. Landing</w:t>
            </w:r>
          </w:p>
        </w:tc>
        <w:tc>
          <w:tcPr>
            <w:tcW w:type="dxa" w:w="7860"/>
            <w:tcBorders>
              <w:top w:val="single" w:color="CCCCCC" w:sz="1"/>
              <w:left w:val="single" w:color="CCCCCC" w:sz="1"/>
              <w:bottom w:val="single" w:color="CCCCCC" w:sz="1"/>
              <w:right w:val="single" w:color="CCCCCC" w:sz="1"/>
            </w:tcBorders>
          </w:tcPr>
          <w:p>
            <w:r>
              <w:t xml:space="preserve">User arrives at platform, selects 'New AI Development' path</w:t>
            </w:r>
          </w:p>
        </w:tc>
      </w:tr>
      <w:tr>
        <w:tc>
          <w:tcPr>
            <w:tcW w:type="dxa" w:w="1500"/>
            <w:tcBorders>
              <w:top w:val="single" w:color="CCCCCC" w:sz="1"/>
              <w:left w:val="single" w:color="CCCCCC" w:sz="1"/>
              <w:bottom w:val="single" w:color="CCCCCC" w:sz="1"/>
              <w:right w:val="single" w:color="CCCCCC" w:sz="1"/>
            </w:tcBorders>
          </w:tcPr>
          <w:p>
            <w:r>
              <w:rPr>
                <w:b/>
                <w:bCs/>
              </w:rPr>
              <w:t xml:space="preserve">2. Use Case Discovery</w:t>
            </w:r>
          </w:p>
        </w:tc>
        <w:tc>
          <w:tcPr>
            <w:tcW w:type="dxa" w:w="7860"/>
            <w:tcBorders>
              <w:top w:val="single" w:color="CCCCCC" w:sz="1"/>
              <w:left w:val="single" w:color="CCCCCC" w:sz="1"/>
              <w:bottom w:val="single" w:color="CCCCCC" w:sz="1"/>
              <w:right w:val="single" w:color="CCCCCC" w:sz="1"/>
            </w:tcBorders>
          </w:tcPr>
          <w:p>
            <w:r>
              <w:t xml:space="preserve">Complete structured questionnaire covering:</w:t>
            </w:r>
          </w:p>
          <w:p>
            <w:pPr>
              <w:pStyle w:val="ListParagraph"/>
              <w:numPr>
                <w:ilvl w:val="1"/>
                <w:numId w:val="2"/>
              </w:numPr>
            </w:pPr>
            <w:r>
              <w:t xml:space="preserve">Business context and objectives</w:t>
            </w:r>
          </w:p>
          <w:p>
            <w:pPr>
              <w:pStyle w:val="ListParagraph"/>
              <w:numPr>
                <w:ilvl w:val="1"/>
                <w:numId w:val="2"/>
              </w:numPr>
            </w:pPr>
            <w:r>
              <w:t xml:space="preserve">Technical requirements and constraints</w:t>
            </w:r>
          </w:p>
          <w:p>
            <w:pPr>
              <w:pStyle w:val="ListParagraph"/>
              <w:numPr>
                <w:ilvl w:val="1"/>
                <w:numId w:val="2"/>
              </w:numPr>
            </w:pPr>
            <w:r>
              <w:t xml:space="preserve">Success metrics and evaluation criteria</w:t>
            </w:r>
          </w:p>
        </w:tc>
      </w:tr>
      <w:tr>
        <w:tc>
          <w:tcPr>
            <w:tcW w:type="dxa" w:w="1500"/>
            <w:tcBorders>
              <w:top w:val="single" w:color="CCCCCC" w:sz="1"/>
              <w:left w:val="single" w:color="CCCCCC" w:sz="1"/>
              <w:bottom w:val="single" w:color="CCCCCC" w:sz="1"/>
              <w:right w:val="single" w:color="CCCCCC" w:sz="1"/>
            </w:tcBorders>
          </w:tcPr>
          <w:p>
            <w:r>
              <w:rPr>
                <w:b/>
                <w:bCs/>
              </w:rPr>
              <w:t xml:space="preserve">3. Data Readiness</w:t>
            </w:r>
          </w:p>
        </w:tc>
        <w:tc>
          <w:tcPr>
            <w:tcW w:type="dxa" w:w="7860"/>
            <w:tcBorders>
              <w:top w:val="single" w:color="CCCCCC" w:sz="1"/>
              <w:left w:val="single" w:color="CCCCCC" w:sz="1"/>
              <w:bottom w:val="single" w:color="CCCCCC" w:sz="1"/>
              <w:right w:val="single" w:color="CCCCCC" w:sz="1"/>
            </w:tcBorders>
          </w:tcPr>
          <w:p>
            <w:r>
              <w:t xml:space="preserve">Assess data volume, quality, formats, storage infrastructure, and update frequency requirements</w:t>
            </w:r>
          </w:p>
        </w:tc>
      </w:tr>
      <w:tr>
        <w:tc>
          <w:tcPr>
            <w:tcW w:type="dxa" w:w="1500"/>
            <w:tcBorders>
              <w:top w:val="single" w:color="CCCCCC" w:sz="1"/>
              <w:left w:val="single" w:color="CCCCCC" w:sz="1"/>
              <w:bottom w:val="single" w:color="CCCCCC" w:sz="1"/>
              <w:right w:val="single" w:color="CCCCCC" w:sz="1"/>
            </w:tcBorders>
          </w:tcPr>
          <w:p>
            <w:r>
              <w:rPr>
                <w:b/>
                <w:bCs/>
              </w:rPr>
              <w:t xml:space="preserve">4. Compliance</w:t>
            </w:r>
          </w:p>
        </w:tc>
        <w:tc>
          <w:tcPr>
            <w:tcW w:type="dxa" w:w="7860"/>
            <w:tcBorders>
              <w:top w:val="single" w:color="CCCCCC" w:sz="1"/>
              <w:left w:val="single" w:color="CCCCCC" w:sz="1"/>
              <w:bottom w:val="single" w:color="CCCCCC" w:sz="1"/>
              <w:right w:val="single" w:color="CCCCCC" w:sz="1"/>
            </w:tcBorders>
          </w:tcPr>
          <w:p>
            <w:r>
              <w:t xml:space="preserve">Evaluate regulatory requirements, security policies, integration needs, and governance frameworks</w:t>
            </w:r>
          </w:p>
        </w:tc>
      </w:tr>
      <w:tr>
        <w:tc>
          <w:tcPr>
            <w:tcW w:type="dxa" w:w="1500"/>
            <w:tcBorders>
              <w:top w:val="single" w:color="CCCCCC" w:sz="1"/>
              <w:left w:val="single" w:color="CCCCCC" w:sz="1"/>
              <w:bottom w:val="single" w:color="CCCCCC" w:sz="1"/>
              <w:right w:val="single" w:color="CCCCCC" w:sz="1"/>
            </w:tcBorders>
          </w:tcPr>
          <w:p>
            <w:r>
              <w:rPr>
                <w:b/>
                <w:bCs/>
              </w:rPr>
              <w:t xml:space="preserve">5. Model Evaluation</w:t>
            </w:r>
          </w:p>
        </w:tc>
        <w:tc>
          <w:tcPr>
            <w:tcW w:type="dxa" w:w="7860"/>
            <w:tcBorders>
              <w:top w:val="single" w:color="CCCCCC" w:sz="1"/>
              <w:left w:val="single" w:color="CCCCCC" w:sz="1"/>
              <w:bottom w:val="single" w:color="CCCCCC" w:sz="1"/>
              <w:right w:val="single" w:color="CCCCCC" w:sz="1"/>
            </w:tcBorders>
          </w:tcPr>
          <w:p>
            <w:r>
              <w:t xml:space="preserve">Test and compare AWS Bedrock models (minimum 3 models including Amazon Nova) across latency, quality, cost, and accuracy metrics</w:t>
            </w:r>
          </w:p>
        </w:tc>
      </w:tr>
      <w:tr>
        <w:tc>
          <w:tcPr>
            <w:tcW w:type="dxa" w:w="1500"/>
            <w:tcBorders>
              <w:top w:val="single" w:color="CCCCCC" w:sz="1"/>
              <w:left w:val="single" w:color="CCCCCC" w:sz="1"/>
              <w:bottom w:val="single" w:color="CCCCCC" w:sz="1"/>
              <w:right w:val="single" w:color="CCCCCC" w:sz="1"/>
            </w:tcBorders>
          </w:tcPr>
          <w:p>
            <w:r>
              <w:rPr>
                <w:b/>
                <w:bCs/>
              </w:rPr>
              <w:t xml:space="preserve">6. Business Value</w:t>
            </w:r>
          </w:p>
        </w:tc>
        <w:tc>
          <w:tcPr>
            <w:tcW w:type="dxa" w:w="7860"/>
            <w:tcBorders>
              <w:top w:val="single" w:color="CCCCCC" w:sz="1"/>
              <w:left w:val="single" w:color="CCCCCC" w:sz="1"/>
              <w:bottom w:val="single" w:color="CCCCCC" w:sz="1"/>
              <w:right w:val="single" w:color="CCCCCC" w:sz="1"/>
            </w:tcBorders>
          </w:tcPr>
          <w:p>
            <w:r>
              <w:t xml:space="preserve">Calculate ROI, project costs, expected benefits, and timeline for value realization</w:t>
            </w:r>
          </w:p>
        </w:tc>
      </w:tr>
      <w:tr>
        <w:tc>
          <w:tcPr>
            <w:tcW w:type="dxa" w:w="1500"/>
            <w:tcBorders>
              <w:top w:val="single" w:color="CCCCCC" w:sz="1"/>
              <w:left w:val="single" w:color="CCCCCC" w:sz="1"/>
              <w:bottom w:val="single" w:color="CCCCCC" w:sz="1"/>
              <w:right w:val="single" w:color="CCCCCC" w:sz="1"/>
            </w:tcBorders>
          </w:tcPr>
          <w:p>
            <w:r>
              <w:rPr>
                <w:b/>
                <w:bCs/>
              </w:rPr>
              <w:t xml:space="preserve">7. Implementation</w:t>
            </w:r>
          </w:p>
        </w:tc>
        <w:tc>
          <w:tcPr>
            <w:tcW w:type="dxa" w:w="7860"/>
            <w:tcBorders>
              <w:top w:val="single" w:color="CCCCCC" w:sz="1"/>
              <w:left w:val="single" w:color="CCCCCC" w:sz="1"/>
              <w:bottom w:val="single" w:color="CCCCCC" w:sz="1"/>
              <w:right w:val="single" w:color="CCCCCC" w:sz="1"/>
            </w:tcBorders>
          </w:tcPr>
          <w:p>
            <w:r>
              <w:t xml:space="preserve">Review comprehensive roadmap with architecture recommendations, timeline, resource requirements, and next steps</w:t>
            </w:r>
          </w:p>
        </w:tc>
      </w:tr>
      <w:tr>
        <w:tc>
          <w:tcPr>
            <w:tcW w:type="dxa" w:w="1500"/>
            <w:tcBorders>
              <w:top w:val="single" w:color="CCCCCC" w:sz="1"/>
              <w:left w:val="single" w:color="CCCCCC" w:sz="1"/>
              <w:bottom w:val="single" w:color="CCCCCC" w:sz="1"/>
              <w:right w:val="single" w:color="CCCCCC" w:sz="1"/>
            </w:tcBorders>
          </w:tcPr>
          <w:p>
            <w:r>
              <w:rPr>
                <w:b/>
                <w:bCs/>
              </w:rPr>
              <w:t xml:space="preserve">8. Report</w:t>
            </w:r>
          </w:p>
        </w:tc>
        <w:tc>
          <w:tcPr>
            <w:tcW w:type="dxa" w:w="7860"/>
            <w:tcBorders>
              <w:top w:val="single" w:color="CCCCCC" w:sz="1"/>
              <w:left w:val="single" w:color="CCCCCC" w:sz="1"/>
              <w:bottom w:val="single" w:color="CCCCCC" w:sz="1"/>
              <w:right w:val="single" w:color="CCCCCC" w:sz="1"/>
            </w:tcBorders>
          </w:tcPr>
          <w:p>
            <w:r>
              <w:t xml:space="preserve">Generate and download comprehensive assessment report with findings, recommendations, and implementation plan</w:t>
            </w:r>
          </w:p>
        </w:tc>
      </w:tr>
    </w:tbl>
    <w:p>
      <w:r>
        <w:br w:type="page"/>
      </w:r>
    </w:p>
    <w:p>
      <w:pPr>
        <w:pStyle w:val="Heading2"/>
      </w:pPr>
      <w:r>
        <w:t xml:space="preserve">3.2 Use Case 2: GenAI Migration to AWS</w:t>
      </w:r>
    </w:p>
    <w:p>
      <w:pPr>
        <w:pStyle w:val="BodyText"/>
      </w:pPr>
      <w:r>
        <w:t xml:space="preserve">This workflow supports organizations migrating existing GenAI applications from other platforms to AWS.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E74C3C" w:val="clear"/>
          </w:tcPr>
          <w:p>
            <w:pPr>
              <w:jc w:val="center"/>
            </w:pPr>
            <w:r>
              <w:rPr>
                <w:b/>
                <w:bCs/>
                <w:color w:val="FFFFFF"/>
                <w:sz w:val="22"/>
                <w:szCs w:val="22"/>
              </w:rPr>
              <w:t xml:space="preserve">Step</w:t>
            </w:r>
          </w:p>
        </w:tc>
        <w:tc>
          <w:tcPr>
            <w:tcW w:type="dxa" w:w="7860"/>
            <w:tcBorders>
              <w:top w:val="single" w:color="CCCCCC" w:sz="1"/>
              <w:left w:val="single" w:color="CCCCCC" w:sz="1"/>
              <w:bottom w:val="single" w:color="CCCCCC" w:sz="1"/>
              <w:right w:val="single" w:color="CCCCCC" w:sz="1"/>
            </w:tcBorders>
            <w:shd w:fill="E74C3C" w:val="clear"/>
          </w:tcPr>
          <w:p>
            <w:pPr>
              <w:jc w:val="center"/>
            </w:pPr>
            <w:r>
              <w:rPr>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tcPr>
          <w:p>
            <w:r>
              <w:rPr>
                <w:b/>
                <w:bCs/>
              </w:rPr>
              <w:t xml:space="preserve">1. Landing</w:t>
            </w:r>
          </w:p>
        </w:tc>
        <w:tc>
          <w:tcPr>
            <w:tcW w:type="dxa" w:w="7860"/>
            <w:tcBorders>
              <w:top w:val="single" w:color="CCCCCC" w:sz="1"/>
              <w:left w:val="single" w:color="CCCCCC" w:sz="1"/>
              <w:bottom w:val="single" w:color="CCCCCC" w:sz="1"/>
              <w:right w:val="single" w:color="CCCCCC" w:sz="1"/>
            </w:tcBorders>
          </w:tcPr>
          <w:p>
            <w:r>
              <w:t xml:space="preserve">User selects 'Migrate Existing AI' path</w:t>
            </w:r>
          </w:p>
        </w:tc>
      </w:tr>
      <w:tr>
        <w:tc>
          <w:tcPr>
            <w:tcW w:type="dxa" w:w="1500"/>
            <w:tcBorders>
              <w:top w:val="single" w:color="CCCCCC" w:sz="1"/>
              <w:left w:val="single" w:color="CCCCCC" w:sz="1"/>
              <w:bottom w:val="single" w:color="CCCCCC" w:sz="1"/>
              <w:right w:val="single" w:color="CCCCCC" w:sz="1"/>
            </w:tcBorders>
          </w:tcPr>
          <w:p>
            <w:r>
              <w:rPr>
                <w:b/>
                <w:bCs/>
              </w:rPr>
              <w:t xml:space="preserve">2. Use Case Discovery</w:t>
            </w:r>
          </w:p>
        </w:tc>
        <w:tc>
          <w:tcPr>
            <w:tcW w:type="dxa" w:w="7860"/>
            <w:tcBorders>
              <w:top w:val="single" w:color="CCCCCC" w:sz="1"/>
              <w:left w:val="single" w:color="CCCCCC" w:sz="1"/>
              <w:bottom w:val="single" w:color="CCCCCC" w:sz="1"/>
              <w:right w:val="single" w:color="CCCCCC" w:sz="1"/>
            </w:tcBorders>
          </w:tcPr>
          <w:p>
            <w:r>
              <w:t xml:space="preserve">Document current business context, pain points, and migration goals</w:t>
            </w:r>
          </w:p>
        </w:tc>
      </w:tr>
      <w:tr>
        <w:tc>
          <w:tcPr>
            <w:tcW w:type="dxa" w:w="1500"/>
            <w:tcBorders>
              <w:top w:val="single" w:color="CCCCCC" w:sz="1"/>
              <w:left w:val="single" w:color="CCCCCC" w:sz="1"/>
              <w:bottom w:val="single" w:color="CCCCCC" w:sz="1"/>
              <w:right w:val="single" w:color="CCCCCC" w:sz="1"/>
            </w:tcBorders>
          </w:tcPr>
          <w:p>
            <w:r>
              <w:rPr>
                <w:b/>
                <w:bCs/>
              </w:rPr>
              <w:t xml:space="preserve">3. Current System</w:t>
            </w:r>
          </w:p>
        </w:tc>
        <w:tc>
          <w:tcPr>
            <w:tcW w:type="dxa" w:w="7860"/>
            <w:tcBorders>
              <w:top w:val="single" w:color="CCCCCC" w:sz="1"/>
              <w:left w:val="single" w:color="CCCCCC" w:sz="1"/>
              <w:bottom w:val="single" w:color="CCCCCC" w:sz="1"/>
              <w:right w:val="single" w:color="CCCCCC" w:sz="1"/>
            </w:tcBorders>
          </w:tcPr>
          <w:p>
            <w:r>
              <w:t xml:space="preserve">Comprehensive assessment of existing GenAI application:</w:t>
            </w:r>
          </w:p>
          <w:p>
            <w:pPr>
              <w:pStyle w:val="ListParagraph"/>
              <w:numPr>
                <w:ilvl w:val="1"/>
                <w:numId w:val="2"/>
              </w:numPr>
            </w:pPr>
            <w:r>
              <w:t xml:space="preserve">Current models, infrastructure, and architecture</w:t>
            </w:r>
          </w:p>
          <w:p>
            <w:pPr>
              <w:pStyle w:val="ListParagraph"/>
              <w:numPr>
                <w:ilvl w:val="1"/>
                <w:numId w:val="2"/>
              </w:numPr>
            </w:pPr>
            <w:r>
              <w:t xml:space="preserve">Usage metrics and performance baselines</w:t>
            </w:r>
          </w:p>
          <w:p>
            <w:pPr>
              <w:pStyle w:val="ListParagraph"/>
              <w:numPr>
                <w:ilvl w:val="1"/>
                <w:numId w:val="2"/>
              </w:numPr>
            </w:pPr>
            <w:r>
              <w:t xml:space="preserve">RAG implementation and prompt engineering approaches</w:t>
            </w:r>
          </w:p>
          <w:p>
            <w:pPr>
              <w:pStyle w:val="ListParagraph"/>
              <w:numPr>
                <w:ilvl w:val="1"/>
                <w:numId w:val="2"/>
              </w:numPr>
            </w:pPr>
            <w:r>
              <w:t xml:space="preserve">Sample model outputs for quality comparison</w:t>
            </w:r>
          </w:p>
        </w:tc>
      </w:tr>
      <w:tr>
        <w:tc>
          <w:tcPr>
            <w:tcW w:type="dxa" w:w="1500"/>
            <w:tcBorders>
              <w:top w:val="single" w:color="CCCCCC" w:sz="1"/>
              <w:left w:val="single" w:color="CCCCCC" w:sz="1"/>
              <w:bottom w:val="single" w:color="CCCCCC" w:sz="1"/>
              <w:right w:val="single" w:color="CCCCCC" w:sz="1"/>
            </w:tcBorders>
          </w:tcPr>
          <w:p>
            <w:r>
              <w:rPr>
                <w:b/>
                <w:bCs/>
              </w:rPr>
              <w:t xml:space="preserve">4. Data Readiness</w:t>
            </w:r>
          </w:p>
        </w:tc>
        <w:tc>
          <w:tcPr>
            <w:tcW w:type="dxa" w:w="7860"/>
            <w:tcBorders>
              <w:top w:val="single" w:color="CCCCCC" w:sz="1"/>
              <w:left w:val="single" w:color="CCCCCC" w:sz="1"/>
              <w:bottom w:val="single" w:color="CCCCCC" w:sz="1"/>
              <w:right w:val="single" w:color="CCCCCC" w:sz="1"/>
            </w:tcBorders>
          </w:tcPr>
          <w:p>
            <w:r>
              <w:t xml:space="preserve">Assess data migration requirements, quality, and AWS storage strategy</w:t>
            </w:r>
          </w:p>
        </w:tc>
      </w:tr>
      <w:tr>
        <w:tc>
          <w:tcPr>
            <w:tcW w:type="dxa" w:w="1500"/>
            <w:tcBorders>
              <w:top w:val="single" w:color="CCCCCC" w:sz="1"/>
              <w:left w:val="single" w:color="CCCCCC" w:sz="1"/>
              <w:bottom w:val="single" w:color="CCCCCC" w:sz="1"/>
              <w:right w:val="single" w:color="CCCCCC" w:sz="1"/>
            </w:tcBorders>
          </w:tcPr>
          <w:p>
            <w:r>
              <w:rPr>
                <w:b/>
                <w:bCs/>
              </w:rPr>
              <w:t xml:space="preserve">5. Compliance</w:t>
            </w:r>
          </w:p>
        </w:tc>
        <w:tc>
          <w:tcPr>
            <w:tcW w:type="dxa" w:w="7860"/>
            <w:tcBorders>
              <w:top w:val="single" w:color="CCCCCC" w:sz="1"/>
              <w:left w:val="single" w:color="CCCCCC" w:sz="1"/>
              <w:bottom w:val="single" w:color="CCCCCC" w:sz="1"/>
              <w:right w:val="single" w:color="CCCCCC" w:sz="1"/>
            </w:tcBorders>
          </w:tcPr>
          <w:p>
            <w:r>
              <w:t xml:space="preserve">Verify regulatory compliance and integration requirements for AWS environment</w:t>
            </w:r>
          </w:p>
        </w:tc>
      </w:tr>
      <w:tr>
        <w:tc>
          <w:tcPr>
            <w:tcW w:type="dxa" w:w="1500"/>
            <w:tcBorders>
              <w:top w:val="single" w:color="CCCCCC" w:sz="1"/>
              <w:left w:val="single" w:color="CCCCCC" w:sz="1"/>
              <w:bottom w:val="single" w:color="CCCCCC" w:sz="1"/>
              <w:right w:val="single" w:color="CCCCCC" w:sz="1"/>
            </w:tcBorders>
          </w:tcPr>
          <w:p>
            <w:r>
              <w:rPr>
                <w:b/>
                <w:bCs/>
              </w:rPr>
              <w:t xml:space="preserve">6. Model Comparison</w:t>
            </w:r>
          </w:p>
        </w:tc>
        <w:tc>
          <w:tcPr>
            <w:tcW w:type="dxa" w:w="7860"/>
            <w:tcBorders>
              <w:top w:val="single" w:color="CCCCCC" w:sz="1"/>
              <w:left w:val="single" w:color="CCCCCC" w:sz="1"/>
              <w:bottom w:val="single" w:color="CCCCCC" w:sz="1"/>
              <w:right w:val="single" w:color="CCCCCC" w:sz="1"/>
            </w:tcBorders>
          </w:tcPr>
          <w:p>
            <w:r>
              <w:t xml:space="preserve">Compare current model performance with AWS Bedrock alternatives using identical test cases and evaluation metrics</w:t>
            </w:r>
          </w:p>
        </w:tc>
      </w:tr>
      <w:tr>
        <w:tc>
          <w:tcPr>
            <w:tcW w:type="dxa" w:w="1500"/>
            <w:tcBorders>
              <w:top w:val="single" w:color="CCCCCC" w:sz="1"/>
              <w:left w:val="single" w:color="CCCCCC" w:sz="1"/>
              <w:bottom w:val="single" w:color="CCCCCC" w:sz="1"/>
              <w:right w:val="single" w:color="CCCCCC" w:sz="1"/>
            </w:tcBorders>
          </w:tcPr>
          <w:p>
            <w:r>
              <w:rPr>
                <w:b/>
                <w:bCs/>
              </w:rPr>
              <w:t xml:space="preserve">7. Migration ROI</w:t>
            </w:r>
          </w:p>
        </w:tc>
        <w:tc>
          <w:tcPr>
            <w:tcW w:type="dxa" w:w="7860"/>
            <w:tcBorders>
              <w:top w:val="single" w:color="CCCCCC" w:sz="1"/>
              <w:left w:val="single" w:color="CCCCCC" w:sz="1"/>
              <w:bottom w:val="single" w:color="CCCCCC" w:sz="1"/>
              <w:right w:val="single" w:color="CCCCCC" w:sz="1"/>
            </w:tcBorders>
          </w:tcPr>
          <w:p>
            <w:r>
              <w:t xml:space="preserve">Calculate migration costs, expected savings, performance improvements, and payback period</w:t>
            </w:r>
          </w:p>
        </w:tc>
      </w:tr>
      <w:tr>
        <w:tc>
          <w:tcPr>
            <w:tcW w:type="dxa" w:w="1500"/>
            <w:tcBorders>
              <w:top w:val="single" w:color="CCCCCC" w:sz="1"/>
              <w:left w:val="single" w:color="CCCCCC" w:sz="1"/>
              <w:bottom w:val="single" w:color="CCCCCC" w:sz="1"/>
              <w:right w:val="single" w:color="CCCCCC" w:sz="1"/>
            </w:tcBorders>
          </w:tcPr>
          <w:p>
            <w:r>
              <w:rPr>
                <w:b/>
                <w:bCs/>
              </w:rPr>
              <w:t xml:space="preserve">8. Migration Plan</w:t>
            </w:r>
          </w:p>
        </w:tc>
        <w:tc>
          <w:tcPr>
            <w:tcW w:type="dxa" w:w="7860"/>
            <w:tcBorders>
              <w:top w:val="single" w:color="CCCCCC" w:sz="1"/>
              <w:left w:val="single" w:color="CCCCCC" w:sz="1"/>
              <w:bottom w:val="single" w:color="CCCCCC" w:sz="1"/>
              <w:right w:val="single" w:color="CCCCCC" w:sz="1"/>
            </w:tcBorders>
          </w:tcPr>
          <w:p>
            <w:r>
              <w:t xml:space="preserve">Receive detailed migration roadmap with phased approach, risk mitigation, and success criteria</w:t>
            </w:r>
          </w:p>
        </w:tc>
      </w:tr>
      <w:tr>
        <w:tc>
          <w:tcPr>
            <w:tcW w:type="dxa" w:w="1500"/>
            <w:tcBorders>
              <w:top w:val="single" w:color="CCCCCC" w:sz="1"/>
              <w:left w:val="single" w:color="CCCCCC" w:sz="1"/>
              <w:bottom w:val="single" w:color="CCCCCC" w:sz="1"/>
              <w:right w:val="single" w:color="CCCCCC" w:sz="1"/>
            </w:tcBorders>
          </w:tcPr>
          <w:p>
            <w:r>
              <w:rPr>
                <w:b/>
                <w:bCs/>
              </w:rPr>
              <w:t xml:space="preserve">9. Report</w:t>
            </w:r>
          </w:p>
        </w:tc>
        <w:tc>
          <w:tcPr>
            <w:tcW w:type="dxa" w:w="7860"/>
            <w:tcBorders>
              <w:top w:val="single" w:color="CCCCCC" w:sz="1"/>
              <w:left w:val="single" w:color="CCCCCC" w:sz="1"/>
              <w:bottom w:val="single" w:color="CCCCCC" w:sz="1"/>
              <w:right w:val="single" w:color="CCCCCC" w:sz="1"/>
            </w:tcBorders>
          </w:tcPr>
          <w:p>
            <w:r>
              <w:t xml:space="preserve">Generate comprehensive migration assessment report with current state analysis, AWS recommendations, and implementation roadmap</w:t>
            </w:r>
          </w:p>
        </w:tc>
      </w:tr>
    </w:tbl>
    <w:p>
      <w:r>
        <w:br w:type="page"/>
      </w:r>
    </w:p>
    <w:p>
      <w:pPr>
        <w:pStyle w:val="Heading1"/>
      </w:pPr>
      <w:r>
        <w:t xml:space="preserve">4. Assessment Flow &amp; Step Management</w:t>
      </w:r>
    </w:p>
    <w:p>
      <w:pPr>
        <w:pStyle w:val="Heading2"/>
      </w:pPr>
      <w:r>
        <w:t xml:space="preserve">4.1 Progress Tracking</w:t>
      </w:r>
    </w:p>
    <w:p>
      <w:pPr>
        <w:pStyle w:val="BodyText"/>
      </w:pPr>
      <w:r>
        <w:t xml:space="preserve">The platform implements a sophisticated progress tracking system that maintains user state across sessions. A visual progress indicator displays completed steps, current position, and remaining assessments. Users can navigate freely between completed sections to review or modify responses. The system automatically saves responses and supports draft assessments that can be resumed later.</w:t>
      </w:r>
    </w:p>
    <w:p>
      <w:pPr>
        <w:pStyle w:val="Heading2"/>
      </w:pPr>
      <w:r>
        <w:t xml:space="preserve">4.2 Question Types &amp; Validation</w:t>
      </w:r>
    </w:p>
    <w:p>
      <w:pPr>
        <w:pStyle w:val="BodyText"/>
      </w:pPr>
      <w:r>
        <w:t xml:space="preserve">The assessment engine supports multiple question formats:</w:t>
      </w:r>
    </w:p>
    <w:p>
      <w:pPr>
        <w:pStyle w:val="ListParagraph"/>
        <w:numPr>
          <w:ilvl w:val="0"/>
          <w:numId w:val="2"/>
        </w:numPr>
      </w:pPr>
      <w:r>
        <w:t xml:space="preserve">Text input with character limits and validation rules</w:t>
      </w:r>
    </w:p>
    <w:p>
      <w:pPr>
        <w:pStyle w:val="ListParagraph"/>
        <w:numPr>
          <w:ilvl w:val="0"/>
          <w:numId w:val="2"/>
        </w:numPr>
      </w:pPr>
      <w:r>
        <w:t xml:space="preserve">Multiple choice with single or multi-select options</w:t>
      </w:r>
    </w:p>
    <w:p>
      <w:pPr>
        <w:pStyle w:val="ListParagraph"/>
        <w:numPr>
          <w:ilvl w:val="0"/>
          <w:numId w:val="2"/>
        </w:numPr>
      </w:pPr>
      <w:r>
        <w:t xml:space="preserve">Numeric inputs with range validation</w:t>
      </w:r>
    </w:p>
    <w:p>
      <w:pPr>
        <w:pStyle w:val="ListParagraph"/>
        <w:numPr>
          <w:ilvl w:val="0"/>
          <w:numId w:val="2"/>
        </w:numPr>
      </w:pPr>
      <w:r>
        <w:t xml:space="preserve">File uploads for architecture diagrams and sample outputs</w:t>
      </w:r>
    </w:p>
    <w:p>
      <w:pPr>
        <w:pStyle w:val="ListParagraph"/>
        <w:numPr>
          <w:ilvl w:val="0"/>
          <w:numId w:val="2"/>
        </w:numPr>
      </w:pPr>
      <w:r>
        <w:t xml:space="preserve">Date pickers for timeline planning</w:t>
      </w:r>
    </w:p>
    <w:p>
      <w:pPr>
        <w:pStyle w:val="ListParagraph"/>
        <w:numPr>
          <w:ilvl w:val="0"/>
          <w:numId w:val="2"/>
        </w:numPr>
      </w:pPr>
      <w:r>
        <w:t xml:space="preserve">Matrix questions for model evaluation scoring</w:t>
      </w:r>
    </w:p>
    <w:p>
      <w:pPr>
        <w:pStyle w:val="Heading2"/>
      </w:pPr>
      <w:r>
        <w:t xml:space="preserve">4.3 Smart Navigation</w:t>
      </w:r>
    </w:p>
    <w:p>
      <w:pPr>
        <w:pStyle w:val="BodyText"/>
      </w:pPr>
      <w:r>
        <w:t xml:space="preserve">The platform implements conditional logic to customize the assessment flow based on user responses. For example, organizations selecting migration paths receive additional questions about their current infrastructure, while new development paths focus on use case validation and opportunity assessment. The system validates section completion before allowing progression and provides helpful tooltips and examples throughout the journey.</w:t>
      </w:r>
    </w:p>
    <w:p>
      <w:r>
        <w:br w:type="page"/>
      </w:r>
    </w:p>
    <w:p>
      <w:pPr>
        <w:pStyle w:val="Heading1"/>
      </w:pPr>
      <w:r>
        <w:t xml:space="preserve">5. Report Generation System</w:t>
      </w:r>
    </w:p>
    <w:p>
      <w:pPr>
        <w:pStyle w:val="Heading2"/>
      </w:pPr>
      <w:r>
        <w:t xml:space="preserve">5.1 Report Structure</w:t>
      </w:r>
    </w:p>
    <w:p>
      <w:pPr>
        <w:pStyle w:val="BodyText"/>
      </w:pPr>
      <w:r>
        <w:t xml:space="preserve">Generated reports follow a standardized format designed for executive and technical audiences:</w:t>
      </w:r>
    </w:p>
    <w:p>
      <w:pPr>
        <w:pStyle w:val="ListParagraph"/>
        <w:numPr>
          <w:ilvl w:val="0"/>
          <w:numId w:val="3"/>
        </w:numPr>
      </w:pPr>
      <w:r>
        <w:rPr>
          <w:b/>
          <w:bCs/>
        </w:rPr>
        <w:t xml:space="preserve">Executive Summary: </w:t>
      </w:r>
      <w:r>
        <w:t xml:space="preserve">High-level findings, recommendations, and business value proposition</w:t>
      </w:r>
    </w:p>
    <w:p>
      <w:pPr>
        <w:pStyle w:val="ListParagraph"/>
        <w:numPr>
          <w:ilvl w:val="0"/>
          <w:numId w:val="3"/>
        </w:numPr>
      </w:pPr>
      <w:r>
        <w:rPr>
          <w:b/>
          <w:bCs/>
        </w:rPr>
        <w:t xml:space="preserve">Current State Analysis: </w:t>
      </w:r>
      <w:r>
        <w:t xml:space="preserve">Comprehensive assessment of existing capabilities and requirements (migration path only)</w:t>
      </w:r>
    </w:p>
    <w:p>
      <w:pPr>
        <w:pStyle w:val="ListParagraph"/>
        <w:numPr>
          <w:ilvl w:val="0"/>
          <w:numId w:val="3"/>
        </w:numPr>
      </w:pPr>
      <w:r>
        <w:rPr>
          <w:b/>
          <w:bCs/>
        </w:rPr>
        <w:t xml:space="preserve">Use Case Definition: </w:t>
      </w:r>
      <w:r>
        <w:t xml:space="preserve">Detailed description of business objectives and success criteria</w:t>
      </w:r>
    </w:p>
    <w:p>
      <w:pPr>
        <w:pStyle w:val="ListParagraph"/>
        <w:numPr>
          <w:ilvl w:val="0"/>
          <w:numId w:val="3"/>
        </w:numPr>
      </w:pPr>
      <w:r>
        <w:rPr>
          <w:b/>
          <w:bCs/>
        </w:rPr>
        <w:t xml:space="preserve">Data Readiness Assessment: </w:t>
      </w:r>
      <w:r>
        <w:t xml:space="preserve">Analysis of data quality, accessibility, and infrastructure requirements</w:t>
      </w:r>
    </w:p>
    <w:p>
      <w:pPr>
        <w:pStyle w:val="ListParagraph"/>
        <w:numPr>
          <w:ilvl w:val="0"/>
          <w:numId w:val="3"/>
        </w:numPr>
      </w:pPr>
      <w:r>
        <w:rPr>
          <w:b/>
          <w:bCs/>
        </w:rPr>
        <w:t xml:space="preserve">Compliance &amp; Security: </w:t>
      </w:r>
      <w:r>
        <w:t xml:space="preserve">Regulatory requirements and governance framework recommendations</w:t>
      </w:r>
    </w:p>
    <w:p>
      <w:pPr>
        <w:pStyle w:val="ListParagraph"/>
        <w:numPr>
          <w:ilvl w:val="0"/>
          <w:numId w:val="3"/>
        </w:numPr>
      </w:pPr>
      <w:r>
        <w:rPr>
          <w:b/>
          <w:bCs/>
        </w:rPr>
        <w:t xml:space="preserve">Model Evaluation Results: </w:t>
      </w:r>
      <w:r>
        <w:t xml:space="preserve">Comparative analysis of AWS Bedrock models with performance metrics and recommendations</w:t>
      </w:r>
    </w:p>
    <w:p>
      <w:pPr>
        <w:pStyle w:val="ListParagraph"/>
        <w:numPr>
          <w:ilvl w:val="0"/>
          <w:numId w:val="3"/>
        </w:numPr>
      </w:pPr>
      <w:r>
        <w:rPr>
          <w:b/>
          <w:bCs/>
        </w:rPr>
        <w:t xml:space="preserve">Business Value &amp; ROI: </w:t>
      </w:r>
      <w:r>
        <w:t xml:space="preserve">Financial analysis with projected costs, benefits, and payback timeline</w:t>
      </w:r>
    </w:p>
    <w:p>
      <w:pPr>
        <w:pStyle w:val="ListParagraph"/>
        <w:numPr>
          <w:ilvl w:val="0"/>
          <w:numId w:val="3"/>
        </w:numPr>
      </w:pPr>
      <w:r>
        <w:rPr>
          <w:b/>
          <w:bCs/>
        </w:rPr>
        <w:t xml:space="preserve">Implementation Roadmap: </w:t>
      </w:r>
      <w:r>
        <w:t xml:space="preserve">Phased deployment plan with milestones, dependencies, and resource requirements</w:t>
      </w:r>
    </w:p>
    <w:p>
      <w:pPr>
        <w:pStyle w:val="ListParagraph"/>
        <w:numPr>
          <w:ilvl w:val="0"/>
          <w:numId w:val="3"/>
        </w:numPr>
      </w:pPr>
      <w:r>
        <w:rPr>
          <w:b/>
          <w:bCs/>
        </w:rPr>
        <w:t xml:space="preserve">Appendices: </w:t>
      </w:r>
      <w:r>
        <w:t xml:space="preserve">Detailed questionnaire responses, model test results, and supporting documentation</w:t>
      </w:r>
    </w:p>
    <w:p>
      <w:pPr>
        <w:pStyle w:val="Heading2"/>
      </w:pPr>
      <w:r>
        <w:t xml:space="preserve">5.2 AI-Powered Insights</w:t>
      </w:r>
    </w:p>
    <w:p>
      <w:pPr>
        <w:pStyle w:val="BodyText"/>
      </w:pPr>
      <w:r>
        <w:t xml:space="preserve">The report generation system leverages AWS Bedrock to analyze assessment responses and generate intelligent insights. The AI engine identifies patterns, potential risks, and optimization opportunities based on industry best practices. It provides contextual recommendations tailored to the organization's specific requirements and constraints. Natural language summaries make complex technical findings accessible to business stakeholders.</w:t>
      </w:r>
    </w:p>
    <w:p>
      <w:pPr>
        <w:pStyle w:val="Heading2"/>
      </w:pPr>
      <w:r>
        <w:t xml:space="preserve">5.3 Report Formats</w:t>
      </w:r>
    </w:p>
    <w:p>
      <w:pPr>
        <w:pStyle w:val="BodyText"/>
      </w:pPr>
      <w:r>
        <w:t xml:space="preserve">Reports are generated in multiple formats to support different use cases:</w:t>
      </w:r>
    </w:p>
    <w:p>
      <w:pPr>
        <w:pStyle w:val="ListParagraph"/>
        <w:numPr>
          <w:ilvl w:val="0"/>
          <w:numId w:val="2"/>
        </w:numPr>
      </w:pPr>
      <w:r>
        <w:t xml:space="preserve">PDF for formal documentation and executive distribution</w:t>
      </w:r>
    </w:p>
    <w:p>
      <w:pPr>
        <w:pStyle w:val="ListParagraph"/>
        <w:numPr>
          <w:ilvl w:val="0"/>
          <w:numId w:val="2"/>
        </w:numPr>
      </w:pPr>
      <w:r>
        <w:t xml:space="preserve">DOCX for editable working documents</w:t>
      </w:r>
    </w:p>
    <w:p>
      <w:pPr>
        <w:pStyle w:val="ListParagraph"/>
        <w:numPr>
          <w:ilvl w:val="0"/>
          <w:numId w:val="2"/>
        </w:numPr>
      </w:pPr>
      <w:r>
        <w:t xml:space="preserve">Interactive web dashboard for ongoing tracking and updates</w:t>
      </w:r>
    </w:p>
    <w:p>
      <w:pPr>
        <w:pStyle w:val="ListParagraph"/>
        <w:numPr>
          <w:ilvl w:val="0"/>
          <w:numId w:val="2"/>
        </w:numPr>
      </w:pPr>
      <w:r>
        <w:t xml:space="preserve">JSON export for integration with project management tools</w:t>
      </w:r>
    </w:p>
    <w:p>
      <w:r>
        <w:br w:type="page"/>
      </w:r>
    </w:p>
    <w:p>
      <w:pPr>
        <w:pStyle w:val="Heading1"/>
      </w:pPr>
      <w:r>
        <w:t xml:space="preserve">6. Database Schema (DynamoDB)</w:t>
      </w:r>
    </w:p>
    <w:p>
      <w:pPr>
        <w:pStyle w:val="Heading2"/>
      </w:pPr>
      <w:r>
        <w:t xml:space="preserve">6.1 Core Tables</w:t>
      </w:r>
    </w:p>
    <w:p>
      <w:pPr>
        <w:pStyle w:val="Heading3"/>
      </w:pPr>
      <w:r>
        <w:t xml:space="preserve">Assessments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3498DB" w:val="clear"/>
          </w:tcPr>
          <w:p>
            <w:pPr>
              <w:jc w:val="center"/>
            </w:pPr>
            <w:r>
              <w:rPr>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3498DB" w:val="clear"/>
          </w:tcPr>
          <w:p>
            <w:pPr>
              <w:jc w:val="center"/>
            </w:pPr>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3498DB" w:val="clear"/>
          </w:tcPr>
          <w:p>
            <w:pPr>
              <w:jc w:val="center"/>
            </w:pPr>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Pr>
          <w:p>
            <w:r>
              <w:rPr>
                <w:b/>
                <w:bCs/>
              </w:rPr>
              <w:t xml:space="preserve">assessmentId</w:t>
            </w:r>
          </w:p>
        </w:tc>
        <w:tc>
          <w:tcPr>
            <w:tcW w:type="dxa" w:w="2340"/>
            <w:tcBorders>
              <w:top w:val="single" w:color="CCCCCC" w:sz="1"/>
              <w:left w:val="single" w:color="CCCCCC" w:sz="1"/>
              <w:bottom w:val="single" w:color="CCCCCC" w:sz="1"/>
              <w:right w:val="single" w:color="CCCCCC" w:sz="1"/>
            </w:tcBorders>
          </w:tcPr>
          <w:p>
            <w:r>
              <w:t xml:space="preserve">String (PK)</w:t>
            </w:r>
          </w:p>
        </w:tc>
        <w:tc>
          <w:tcPr>
            <w:tcW w:type="dxa" w:w="4680"/>
            <w:tcBorders>
              <w:top w:val="single" w:color="CCCCCC" w:sz="1"/>
              <w:left w:val="single" w:color="CCCCCC" w:sz="1"/>
              <w:bottom w:val="single" w:color="CCCCCC" w:sz="1"/>
              <w:right w:val="single" w:color="CCCCCC" w:sz="1"/>
            </w:tcBorders>
          </w:tcPr>
          <w:p>
            <w:r>
              <w:t xml:space="preserve">Unique identifier (UUID)</w:t>
            </w:r>
          </w:p>
        </w:tc>
      </w:tr>
      <w:tr>
        <w:tc>
          <w:tcPr>
            <w:tcW w:type="dxa" w:w="2340"/>
            <w:tcBorders>
              <w:top w:val="single" w:color="CCCCCC" w:sz="1"/>
              <w:left w:val="single" w:color="CCCCCC" w:sz="1"/>
              <w:bottom w:val="single" w:color="CCCCCC" w:sz="1"/>
              <w:right w:val="single" w:color="CCCCCC" w:sz="1"/>
            </w:tcBorders>
          </w:tcPr>
          <w:p>
            <w:r>
              <w:rPr>
                <w:b/>
                <w:bCs/>
              </w:rPr>
              <w:t xml:space="preserve">userId</w:t>
            </w:r>
          </w:p>
        </w:tc>
        <w:tc>
          <w:tcPr>
            <w:tcW w:type="dxa" w:w="2340"/>
            <w:tcBorders>
              <w:top w:val="single" w:color="CCCCCC" w:sz="1"/>
              <w:left w:val="single" w:color="CCCCCC" w:sz="1"/>
              <w:bottom w:val="single" w:color="CCCCCC" w:sz="1"/>
              <w:right w:val="single" w:color="CCCCCC" w:sz="1"/>
            </w:tcBorders>
          </w:tcPr>
          <w:p>
            <w:r>
              <w:t xml:space="preserve">String (GSI)</w:t>
            </w:r>
          </w:p>
        </w:tc>
        <w:tc>
          <w:tcPr>
            <w:tcW w:type="dxa" w:w="4680"/>
            <w:tcBorders>
              <w:top w:val="single" w:color="CCCCCC" w:sz="1"/>
              <w:left w:val="single" w:color="CCCCCC" w:sz="1"/>
              <w:bottom w:val="single" w:color="CCCCCC" w:sz="1"/>
              <w:right w:val="single" w:color="CCCCCC" w:sz="1"/>
            </w:tcBorders>
          </w:tcPr>
          <w:p>
            <w:r>
              <w:t xml:space="preserve">User conducting assessment</w:t>
            </w:r>
          </w:p>
        </w:tc>
      </w:tr>
      <w:tr>
        <w:tc>
          <w:tcPr>
            <w:tcW w:type="dxa" w:w="2340"/>
            <w:tcBorders>
              <w:top w:val="single" w:color="CCCCCC" w:sz="1"/>
              <w:left w:val="single" w:color="CCCCCC" w:sz="1"/>
              <w:bottom w:val="single" w:color="CCCCCC" w:sz="1"/>
              <w:right w:val="single" w:color="CCCCCC" w:sz="1"/>
            </w:tcBorders>
          </w:tcPr>
          <w:p>
            <w:r>
              <w:rPr>
                <w:b/>
                <w:bCs/>
              </w:rPr>
              <w:t xml:space="preserve">assessmentType</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EXPLORATORY or MIGRATION</w:t>
            </w:r>
          </w:p>
        </w:tc>
      </w:tr>
      <w:tr>
        <w:tc>
          <w:tcPr>
            <w:tcW w:type="dxa" w:w="2340"/>
            <w:tcBorders>
              <w:top w:val="single" w:color="CCCCCC" w:sz="1"/>
              <w:left w:val="single" w:color="CCCCCC" w:sz="1"/>
              <w:bottom w:val="single" w:color="CCCCCC" w:sz="1"/>
              <w:right w:val="single" w:color="CCCCCC" w:sz="1"/>
            </w:tcBorders>
          </w:tcPr>
          <w:p>
            <w:r>
              <w:rPr>
                <w:b/>
                <w:bCs/>
              </w:rPr>
              <w:t xml:space="preserve">status</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DRAFT, IN_PROGRESS, COMPLETED</w:t>
            </w:r>
          </w:p>
        </w:tc>
      </w:tr>
      <w:tr>
        <w:tc>
          <w:tcPr>
            <w:tcW w:type="dxa" w:w="2340"/>
            <w:tcBorders>
              <w:top w:val="single" w:color="CCCCCC" w:sz="1"/>
              <w:left w:val="single" w:color="CCCCCC" w:sz="1"/>
              <w:bottom w:val="single" w:color="CCCCCC" w:sz="1"/>
              <w:right w:val="single" w:color="CCCCCC" w:sz="1"/>
            </w:tcBorders>
          </w:tcPr>
          <w:p>
            <w:r>
              <w:rPr>
                <w:b/>
                <w:bCs/>
              </w:rPr>
              <w:t xml:space="preserve">responses</w:t>
            </w:r>
          </w:p>
        </w:tc>
        <w:tc>
          <w:tcPr>
            <w:tcW w:type="dxa" w:w="2340"/>
            <w:tcBorders>
              <w:top w:val="single" w:color="CCCCCC" w:sz="1"/>
              <w:left w:val="single" w:color="CCCCCC" w:sz="1"/>
              <w:bottom w:val="single" w:color="CCCCCC" w:sz="1"/>
              <w:right w:val="single" w:color="CCCCCC" w:sz="1"/>
            </w:tcBorders>
          </w:tcPr>
          <w:p>
            <w:r>
              <w:t xml:space="preserve">Map</w:t>
            </w:r>
          </w:p>
        </w:tc>
        <w:tc>
          <w:tcPr>
            <w:tcW w:type="dxa" w:w="4680"/>
            <w:tcBorders>
              <w:top w:val="single" w:color="CCCCCC" w:sz="1"/>
              <w:left w:val="single" w:color="CCCCCC" w:sz="1"/>
              <w:bottom w:val="single" w:color="CCCCCC" w:sz="1"/>
              <w:right w:val="single" w:color="CCCCCC" w:sz="1"/>
            </w:tcBorders>
          </w:tcPr>
          <w:p>
            <w:r>
              <w:t xml:space="preserve">Nested object with all questionnaire responses</w:t>
            </w:r>
          </w:p>
        </w:tc>
      </w:tr>
      <w:tr>
        <w:tc>
          <w:tcPr>
            <w:tcW w:type="dxa" w:w="2340"/>
            <w:tcBorders>
              <w:top w:val="single" w:color="CCCCCC" w:sz="1"/>
              <w:left w:val="single" w:color="CCCCCC" w:sz="1"/>
              <w:bottom w:val="single" w:color="CCCCCC" w:sz="1"/>
              <w:right w:val="single" w:color="CCCCCC" w:sz="1"/>
            </w:tcBorders>
          </w:tcPr>
          <w:p>
            <w:r>
              <w:rPr>
                <w:b/>
                <w:bCs/>
              </w:rPr>
              <w:t xml:space="preserve">currentStep</w:t>
            </w:r>
          </w:p>
        </w:tc>
        <w:tc>
          <w:tcPr>
            <w:tcW w:type="dxa" w:w="2340"/>
            <w:tcBorders>
              <w:top w:val="single" w:color="CCCCCC" w:sz="1"/>
              <w:left w:val="single" w:color="CCCCCC" w:sz="1"/>
              <w:bottom w:val="single" w:color="CCCCCC" w:sz="1"/>
              <w:right w:val="single" w:color="CCCCCC" w:sz="1"/>
            </w:tcBorders>
          </w:tcPr>
          <w:p>
            <w:r>
              <w:t xml:space="preserve">Number</w:t>
            </w:r>
          </w:p>
        </w:tc>
        <w:tc>
          <w:tcPr>
            <w:tcW w:type="dxa" w:w="4680"/>
            <w:tcBorders>
              <w:top w:val="single" w:color="CCCCCC" w:sz="1"/>
              <w:left w:val="single" w:color="CCCCCC" w:sz="1"/>
              <w:bottom w:val="single" w:color="CCCCCC" w:sz="1"/>
              <w:right w:val="single" w:color="CCCCCC" w:sz="1"/>
            </w:tcBorders>
          </w:tcPr>
          <w:p>
            <w:r>
              <w:t xml:space="preserve">Current progress step (1-8 or 1-9)</w:t>
            </w:r>
          </w:p>
        </w:tc>
      </w:tr>
      <w:tr>
        <w:tc>
          <w:tcPr>
            <w:tcW w:type="dxa" w:w="2340"/>
            <w:tcBorders>
              <w:top w:val="single" w:color="CCCCCC" w:sz="1"/>
              <w:left w:val="single" w:color="CCCCCC" w:sz="1"/>
              <w:bottom w:val="single" w:color="CCCCCC" w:sz="1"/>
              <w:right w:val="single" w:color="CCCCCC" w:sz="1"/>
            </w:tcBorders>
          </w:tcPr>
          <w:p>
            <w:r>
              <w:rPr>
                <w:b/>
                <w:bCs/>
              </w:rPr>
              <w:t xml:space="preserve">createdAt</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ISO timestamp</w:t>
            </w:r>
          </w:p>
        </w:tc>
      </w:tr>
      <w:tr>
        <w:tc>
          <w:tcPr>
            <w:tcW w:type="dxa" w:w="2340"/>
            <w:tcBorders>
              <w:top w:val="single" w:color="CCCCCC" w:sz="1"/>
              <w:left w:val="single" w:color="CCCCCC" w:sz="1"/>
              <w:bottom w:val="single" w:color="CCCCCC" w:sz="1"/>
              <w:right w:val="single" w:color="CCCCCC" w:sz="1"/>
            </w:tcBorders>
          </w:tcPr>
          <w:p>
            <w:r>
              <w:rPr>
                <w:b/>
                <w:bCs/>
              </w:rPr>
              <w:t xml:space="preserve">updatedAt</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ISO timestamp</w:t>
            </w:r>
          </w:p>
        </w:tc>
      </w:tr>
    </w:tbl>
    <w:p>
      <w:pPr>
        <w:pStyle w:val="Heading3"/>
        <w:spacing w:before="280"/>
      </w:pPr>
      <w:r>
        <w:t xml:space="preserve">Reports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27AE60" w:val="clear"/>
          </w:tcPr>
          <w:p>
            <w:pPr>
              <w:jc w:val="center"/>
            </w:pPr>
            <w:r>
              <w:rPr>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27AE60" w:val="clear"/>
          </w:tcPr>
          <w:p>
            <w:pPr>
              <w:jc w:val="center"/>
            </w:pPr>
            <w:r>
              <w:rPr>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7AE60" w:val="clear"/>
          </w:tcPr>
          <w:p>
            <w:pPr>
              <w:jc w:val="center"/>
            </w:pPr>
            <w:r>
              <w:rPr>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Pr>
          <w:p>
            <w:r>
              <w:rPr>
                <w:b/>
                <w:bCs/>
              </w:rPr>
              <w:t xml:space="preserve">reportId</w:t>
            </w:r>
          </w:p>
        </w:tc>
        <w:tc>
          <w:tcPr>
            <w:tcW w:type="dxa" w:w="2340"/>
            <w:tcBorders>
              <w:top w:val="single" w:color="CCCCCC" w:sz="1"/>
              <w:left w:val="single" w:color="CCCCCC" w:sz="1"/>
              <w:bottom w:val="single" w:color="CCCCCC" w:sz="1"/>
              <w:right w:val="single" w:color="CCCCCC" w:sz="1"/>
            </w:tcBorders>
          </w:tcPr>
          <w:p>
            <w:r>
              <w:t xml:space="preserve">String (PK)</w:t>
            </w:r>
          </w:p>
        </w:tc>
        <w:tc>
          <w:tcPr>
            <w:tcW w:type="dxa" w:w="4680"/>
            <w:tcBorders>
              <w:top w:val="single" w:color="CCCCCC" w:sz="1"/>
              <w:left w:val="single" w:color="CCCCCC" w:sz="1"/>
              <w:bottom w:val="single" w:color="CCCCCC" w:sz="1"/>
              <w:right w:val="single" w:color="CCCCCC" w:sz="1"/>
            </w:tcBorders>
          </w:tcPr>
          <w:p>
            <w:r>
              <w:t xml:space="preserve">Unique identifier</w:t>
            </w:r>
          </w:p>
        </w:tc>
      </w:tr>
      <w:tr>
        <w:tc>
          <w:tcPr>
            <w:tcW w:type="dxa" w:w="2340"/>
            <w:tcBorders>
              <w:top w:val="single" w:color="CCCCCC" w:sz="1"/>
              <w:left w:val="single" w:color="CCCCCC" w:sz="1"/>
              <w:bottom w:val="single" w:color="CCCCCC" w:sz="1"/>
              <w:right w:val="single" w:color="CCCCCC" w:sz="1"/>
            </w:tcBorders>
          </w:tcPr>
          <w:p>
            <w:r>
              <w:rPr>
                <w:b/>
                <w:bCs/>
              </w:rPr>
              <w:t xml:space="preserve">assessmentId</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Reference to assessment</w:t>
            </w:r>
          </w:p>
        </w:tc>
      </w:tr>
      <w:tr>
        <w:tc>
          <w:tcPr>
            <w:tcW w:type="dxa" w:w="2340"/>
            <w:tcBorders>
              <w:top w:val="single" w:color="CCCCCC" w:sz="1"/>
              <w:left w:val="single" w:color="CCCCCC" w:sz="1"/>
              <w:bottom w:val="single" w:color="CCCCCC" w:sz="1"/>
              <w:right w:val="single" w:color="CCCCCC" w:sz="1"/>
            </w:tcBorders>
          </w:tcPr>
          <w:p>
            <w:r>
              <w:rPr>
                <w:b/>
                <w:bCs/>
              </w:rPr>
              <w:t xml:space="preserve">s3Key</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S3 object key for generated report</w:t>
            </w:r>
          </w:p>
        </w:tc>
      </w:tr>
      <w:tr>
        <w:tc>
          <w:tcPr>
            <w:tcW w:type="dxa" w:w="2340"/>
            <w:tcBorders>
              <w:top w:val="single" w:color="CCCCCC" w:sz="1"/>
              <w:left w:val="single" w:color="CCCCCC" w:sz="1"/>
              <w:bottom w:val="single" w:color="CCCCCC" w:sz="1"/>
              <w:right w:val="single" w:color="CCCCCC" w:sz="1"/>
            </w:tcBorders>
          </w:tcPr>
          <w:p>
            <w:r>
              <w:rPr>
                <w:b/>
                <w:bCs/>
              </w:rPr>
              <w:t xml:space="preserve">format</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PDF, DOCX, JSON</w:t>
            </w:r>
          </w:p>
        </w:tc>
      </w:tr>
      <w:tr>
        <w:tc>
          <w:tcPr>
            <w:tcW w:type="dxa" w:w="2340"/>
            <w:tcBorders>
              <w:top w:val="single" w:color="CCCCCC" w:sz="1"/>
              <w:left w:val="single" w:color="CCCCCC" w:sz="1"/>
              <w:bottom w:val="single" w:color="CCCCCC" w:sz="1"/>
              <w:right w:val="single" w:color="CCCCCC" w:sz="1"/>
            </w:tcBorders>
          </w:tcPr>
          <w:p>
            <w:r>
              <w:rPr>
                <w:b/>
                <w:bCs/>
              </w:rPr>
              <w:t xml:space="preserve">generatedAt</w:t>
            </w:r>
          </w:p>
        </w:tc>
        <w:tc>
          <w:tcPr>
            <w:tcW w:type="dxa" w:w="2340"/>
            <w:tcBorders>
              <w:top w:val="single" w:color="CCCCCC" w:sz="1"/>
              <w:left w:val="single" w:color="CCCCCC" w:sz="1"/>
              <w:bottom w:val="single" w:color="CCCCCC" w:sz="1"/>
              <w:right w:val="single" w:color="CCCCCC" w:sz="1"/>
            </w:tcBorders>
          </w:tcPr>
          <w:p>
            <w:r>
              <w:t xml:space="preserve">String</w:t>
            </w:r>
          </w:p>
        </w:tc>
        <w:tc>
          <w:tcPr>
            <w:tcW w:type="dxa" w:w="4680"/>
            <w:tcBorders>
              <w:top w:val="single" w:color="CCCCCC" w:sz="1"/>
              <w:left w:val="single" w:color="CCCCCC" w:sz="1"/>
              <w:bottom w:val="single" w:color="CCCCCC" w:sz="1"/>
              <w:right w:val="single" w:color="CCCCCC" w:sz="1"/>
            </w:tcBorders>
          </w:tcPr>
          <w:p>
            <w:r>
              <w:t xml:space="preserve">ISO timestamp</w:t>
            </w:r>
          </w:p>
        </w:tc>
      </w:tr>
    </w:tbl>
    <w:p>
      <w:r>
        <w:br w:type="page"/>
      </w:r>
    </w:p>
    <w:p>
      <w:pPr>
        <w:pStyle w:val="Heading1"/>
      </w:pPr>
      <w:r>
        <w:t xml:space="preserve">7. Key UI Components</w:t>
      </w:r>
    </w:p>
    <w:p>
      <w:pPr>
        <w:pStyle w:val="Heading2"/>
      </w:pPr>
      <w:r>
        <w:t xml:space="preserve">7.1 Assessment Dashboard</w:t>
      </w:r>
    </w:p>
    <w:p>
      <w:pPr>
        <w:pStyle w:val="BodyText"/>
      </w:pPr>
      <w:r>
        <w:t xml:space="preserve">The main dashboard provides an overview of all assessments with filtering by status, type, and date. Users can view assessment cards showing progress, creation date, and quick actions. The interface includes search functionality and sort options for efficient assessment management.</w:t>
      </w:r>
    </w:p>
    <w:p>
      <w:pPr>
        <w:pStyle w:val="Heading2"/>
      </w:pPr>
      <w:r>
        <w:t xml:space="preserve">7.2 Questionnaire Interface</w:t>
      </w:r>
    </w:p>
    <w:p>
      <w:pPr>
        <w:pStyle w:val="BodyText"/>
      </w:pPr>
      <w:r>
        <w:t xml:space="preserve">The questionnaire component features a clean, single-question-per-screen layout that reduces cognitive load. Progress indicators show completion percentage and remaining questions. The interface includes previous and next navigation, auto-save functionality, and contextual help tooltips. Responsive design ensures optimal experience across desktop, tablet, and mobile devices.</w:t>
      </w:r>
    </w:p>
    <w:p>
      <w:pPr>
        <w:pStyle w:val="Heading2"/>
      </w:pPr>
      <w:r>
        <w:t xml:space="preserve">7.3 Model Evaluation Workspace</w:t>
      </w:r>
    </w:p>
    <w:p>
      <w:pPr>
        <w:pStyle w:val="BodyText"/>
      </w:pPr>
      <w:r>
        <w:t xml:space="preserve">The model evaluation interface allows side-by-side comparison of AWS Bedrock models. Users can input test prompts, view real-time responses, and score outputs across multiple dimensions including accuracy, latency, relevance, and cost. The workspace supports batch testing with CSV upload and exports comparison matrices for further analysis.</w:t>
      </w:r>
    </w:p>
    <w:p>
      <w:pPr>
        <w:pStyle w:val="Heading2"/>
      </w:pPr>
      <w:r>
        <w:t xml:space="preserve">7.4 Report Viewer</w:t>
      </w:r>
    </w:p>
    <w:p>
      <w:pPr>
        <w:pStyle w:val="BodyText"/>
      </w:pPr>
      <w:r>
        <w:t xml:space="preserve">The report viewer presents generated assessments with interactive navigation, collapsible sections, and export options. Users can add comments, share reports with team members, and track implementation progress against recommendations. The interface supports print-optimized layouts and responsive viewing on all devices.</w:t>
      </w:r>
    </w:p>
    <w:p>
      <w:r>
        <w:br w:type="page"/>
      </w:r>
    </w:p>
    <w:p>
      <w:pPr>
        <w:pStyle w:val="Heading1"/>
      </w:pPr>
      <w:r>
        <w:t xml:space="preserve">8. Development &amp; Deployment Strategy</w:t>
      </w:r>
    </w:p>
    <w:p>
      <w:pPr>
        <w:pStyle w:val="Heading2"/>
      </w:pPr>
      <w:r>
        <w:t xml:space="preserve">8.1 Development Approach with AWS Kiro</w:t>
      </w:r>
    </w:p>
    <w:p>
      <w:pPr>
        <w:pStyle w:val="BodyText"/>
      </w:pPr>
      <w:r>
        <w:t xml:space="preserve">The application will be developed using AWS Kiro, an AI-powered IDE that accelerates development through intelligent code generation and suggestions. Kiro enhances productivity by understanding project context and generating Next.js components, API routes, and AWS integration code. The tool assists with debugging, optimization, and adherence to best practices throughout the development lifecycle.</w:t>
      </w:r>
    </w:p>
    <w:p>
      <w:pPr>
        <w:pStyle w:val="Heading2"/>
      </w:pPr>
      <w:r>
        <w:t xml:space="preserve">8.2 Deployment Architecture</w:t>
      </w:r>
    </w:p>
    <w:p>
      <w:pPr>
        <w:pStyle w:val="BodyText"/>
      </w:pPr>
      <w:r>
        <w:t xml:space="preserve">The Next.js application will be deployed on AWS using a serverless architecture for optimal scalability and cost efficiency. Static assets are served through Amazon CloudFront CDN for global performance. API routes leverage AWS Lambda for serverless compute with automatic scaling. The application uses AWS Amplify for streamlined deployment, CI/CD integration, and environment management.</w:t>
      </w:r>
    </w:p>
    <w:p>
      <w:pPr>
        <w:pStyle w:val="Heading2"/>
      </w:pPr>
      <w:r>
        <w:t xml:space="preserve">8.3 Security &amp; Compliance</w:t>
      </w:r>
    </w:p>
    <w:p>
      <w:pPr>
        <w:pStyle w:val="BodyText"/>
      </w:pPr>
      <w:r>
        <w:t xml:space="preserve">The platform implements comprehensive security measures including AWS Cognito for user authentication and authorization, encryption at rest for DynamoDB and S3, HTTPS/TLS for all data in transit, and AWS WAF for web application firewall protection. IAM roles follow the principle of least privilege, and CloudWatch monitors security events and anomalies. The architecture supports SOC 2, ISO 27001, and GDPR compliance requirements.</w:t>
      </w:r>
    </w:p>
    <w:p>
      <w:r>
        <w:br w:type="page"/>
      </w:r>
    </w:p>
    <w:p>
      <w:pPr>
        <w:pStyle w:val="Heading1"/>
      </w:pPr>
      <w:r>
        <w:t xml:space="preserve">9. Implementation Phases</w:t>
      </w:r>
    </w:p>
    <w:p>
      <w:pPr>
        <w:pStyle w:val="Heading2"/>
      </w:pPr>
      <w:r>
        <w:t xml:space="preserve">Phase 1: Foundation (Weeks 1-3)</w:t>
      </w:r>
    </w:p>
    <w:p>
      <w:pPr>
        <w:pStyle w:val="ListParagraph"/>
        <w:numPr>
          <w:ilvl w:val="0"/>
          <w:numId w:val="2"/>
        </w:numPr>
      </w:pPr>
      <w:r>
        <w:t xml:space="preserve">Set up Next.js project with TypeScript and TailwindCSS</w:t>
      </w:r>
    </w:p>
    <w:p>
      <w:pPr>
        <w:pStyle w:val="ListParagraph"/>
        <w:numPr>
          <w:ilvl w:val="0"/>
          <w:numId w:val="2"/>
        </w:numPr>
      </w:pPr>
      <w:r>
        <w:t xml:space="preserve">Configure AWS services (Cognito, DynamoDB, S3, Bedrock)</w:t>
      </w:r>
    </w:p>
    <w:p>
      <w:pPr>
        <w:pStyle w:val="ListParagraph"/>
        <w:numPr>
          <w:ilvl w:val="0"/>
          <w:numId w:val="2"/>
        </w:numPr>
      </w:pPr>
      <w:r>
        <w:t xml:space="preserve">Implement authentication and user management</w:t>
      </w:r>
    </w:p>
    <w:p>
      <w:pPr>
        <w:pStyle w:val="ListParagraph"/>
        <w:numPr>
          <w:ilvl w:val="0"/>
          <w:numId w:val="2"/>
        </w:numPr>
      </w:pPr>
      <w:r>
        <w:t xml:space="preserve">Create base UI components and design system</w:t>
      </w:r>
    </w:p>
    <w:p>
      <w:pPr>
        <w:pStyle w:val="Heading2"/>
      </w:pPr>
      <w:r>
        <w:t xml:space="preserve">Phase 2: Core Features (Weeks 4-7)</w:t>
      </w:r>
    </w:p>
    <w:p>
      <w:pPr>
        <w:pStyle w:val="ListParagraph"/>
        <w:numPr>
          <w:ilvl w:val="0"/>
          <w:numId w:val="2"/>
        </w:numPr>
      </w:pPr>
      <w:r>
        <w:t xml:space="preserve">Build questionnaire engine with validation</w:t>
      </w:r>
    </w:p>
    <w:p>
      <w:pPr>
        <w:pStyle w:val="ListParagraph"/>
        <w:numPr>
          <w:ilvl w:val="0"/>
          <w:numId w:val="2"/>
        </w:numPr>
      </w:pPr>
      <w:r>
        <w:t xml:space="preserve">Implement progress tracking and state management</w:t>
      </w:r>
    </w:p>
    <w:p>
      <w:pPr>
        <w:pStyle w:val="ListParagraph"/>
        <w:numPr>
          <w:ilvl w:val="0"/>
          <w:numId w:val="2"/>
        </w:numPr>
      </w:pPr>
      <w:r>
        <w:t xml:space="preserve">Develop model evaluation workspace</w:t>
      </w:r>
    </w:p>
    <w:p>
      <w:pPr>
        <w:pStyle w:val="ListParagraph"/>
        <w:numPr>
          <w:ilvl w:val="0"/>
          <w:numId w:val="2"/>
        </w:numPr>
      </w:pPr>
      <w:r>
        <w:t xml:space="preserve">Create assessment dashboard and navigation</w:t>
      </w:r>
    </w:p>
    <w:p>
      <w:pPr>
        <w:pStyle w:val="Heading2"/>
      </w:pPr>
      <w:r>
        <w:t xml:space="preserve">Phase 3: AI Integration (Weeks 8-10)</w:t>
      </w:r>
    </w:p>
    <w:p>
      <w:pPr>
        <w:pStyle w:val="ListParagraph"/>
        <w:numPr>
          <w:ilvl w:val="0"/>
          <w:numId w:val="2"/>
        </w:numPr>
      </w:pPr>
      <w:r>
        <w:t xml:space="preserve">Integrate AWS Bedrock for report generation</w:t>
      </w:r>
    </w:p>
    <w:p>
      <w:pPr>
        <w:pStyle w:val="ListParagraph"/>
        <w:numPr>
          <w:ilvl w:val="0"/>
          <w:numId w:val="2"/>
        </w:numPr>
      </w:pPr>
      <w:r>
        <w:t xml:space="preserve">Implement model comparison and testing features</w:t>
      </w:r>
    </w:p>
    <w:p>
      <w:pPr>
        <w:pStyle w:val="ListParagraph"/>
        <w:numPr>
          <w:ilvl w:val="0"/>
          <w:numId w:val="2"/>
        </w:numPr>
      </w:pPr>
      <w:r>
        <w:t xml:space="preserve">Build ROI calculation engine</w:t>
      </w:r>
    </w:p>
    <w:p>
      <w:pPr>
        <w:pStyle w:val="ListParagraph"/>
        <w:numPr>
          <w:ilvl w:val="0"/>
          <w:numId w:val="2"/>
        </w:numPr>
      </w:pPr>
      <w:r>
        <w:t xml:space="preserve">Develop intelligent recommendation system</w:t>
      </w:r>
    </w:p>
    <w:p>
      <w:pPr>
        <w:pStyle w:val="Heading2"/>
      </w:pPr>
      <w:r>
        <w:t xml:space="preserve">Phase 4: Reporting &amp; Polish (Weeks 11-12)</w:t>
      </w:r>
    </w:p>
    <w:p>
      <w:pPr>
        <w:pStyle w:val="ListParagraph"/>
        <w:numPr>
          <w:ilvl w:val="0"/>
          <w:numId w:val="2"/>
        </w:numPr>
      </w:pPr>
      <w:r>
        <w:t xml:space="preserve">Implement multi-format report generation</w:t>
      </w:r>
    </w:p>
    <w:p>
      <w:pPr>
        <w:pStyle w:val="ListParagraph"/>
        <w:numPr>
          <w:ilvl w:val="0"/>
          <w:numId w:val="2"/>
        </w:numPr>
      </w:pPr>
      <w:r>
        <w:t xml:space="preserve">Create interactive report viewer</w:t>
      </w:r>
    </w:p>
    <w:p>
      <w:pPr>
        <w:pStyle w:val="ListParagraph"/>
        <w:numPr>
          <w:ilvl w:val="0"/>
          <w:numId w:val="2"/>
        </w:numPr>
      </w:pPr>
      <w:r>
        <w:t xml:space="preserve">Performance optimization and testing</w:t>
      </w:r>
    </w:p>
    <w:p>
      <w:pPr>
        <w:pStyle w:val="ListParagraph"/>
        <w:numPr>
          <w:ilvl w:val="0"/>
          <w:numId w:val="2"/>
        </w:numPr>
      </w:pPr>
      <w:r>
        <w:t xml:space="preserve">User acceptance testing and refinements</w:t>
      </w:r>
    </w:p>
    <w:p>
      <w:r>
        <w:br w:type="page"/>
      </w:r>
    </w:p>
    <w:p>
      <w:pPr>
        <w:pStyle w:val="Heading1"/>
      </w:pPr>
      <w:r>
        <w:t xml:space="preserve">10. Conclusion</w:t>
      </w:r>
    </w:p>
    <w:p>
      <w:pPr>
        <w:pStyle w:val="BodyText"/>
      </w:pPr>
      <w:r>
        <w:t xml:space="preserve">The RAPID Assessment Platform represents a comprehensive solution for organizations embarking on their GenAI journey or migrating existing applications to AWS. By combining structured assessments, intelligent analysis, and actionable recommendations, the platform accelerates decision-making and reduces implementation risk. The use of AWS Kiro for development, combined with AWS Bedrock for AI capabilities, ensures rapid delivery of a production-ready solution that scales with organizational needs. This design document provides the foundation for building a robust, user-friendly platform that transforms complex GenAI assessments into clear, actionable roadmaps.</w:t>
      </w:r>
    </w:p>
    <w:p>
      <w:pPr>
        <w:spacing w:before="360"/>
        <w:jc w:val="center"/>
      </w:pPr>
      <w:r>
        <w:rPr>
          <w:i/>
          <w:iCs/>
          <w:color w:val="7F8C8D"/>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2C3E5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34495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4495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7F8C8D"/>
      <w:sz w:val="26"/>
      <w:szCs w:val="26"/>
    </w:rPr>
  </w:style>
  <w:style w:type="paragraph" w:styleId="BodyText">
    <w:name w:val="Body Text"/>
    <w:basedOn w:val="Normal"/>
    <w:pPr>
      <w:spacing w:before="120" w:after="120"/>
    </w:pPr>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2026-01-03T16:09:21.945Z</dcterms:created>
  <dcterms:modified xsi:type="dcterms:W3CDTF">2026-01-03T16:09:21.946Z</dcterms:modified>
</cp:coreProperties>
</file>

<file path=docProps/custom.xml><?xml version="1.0" encoding="utf-8"?>
<Properties xmlns="http://schemas.openxmlformats.org/officeDocument/2006/custom-properties" xmlns:vt="http://schemas.openxmlformats.org/officeDocument/2006/docPropsVTypes"/>
</file>