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E131A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54448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nav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544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color w:val="F3F5F7"/>
                <w:sz w:val="32"/>
              </w:rPr>
              <w:t>EU Cyber Resilience Act (CRA) Readiness Self-Check</w:t>
            </w:r>
          </w:p>
          <w:p>
            <w:r>
              <w:rPr>
                <w:color w:val="2B9BF4"/>
                <w:sz w:val="19"/>
              </w:rPr>
              <w:t>Manufacturers, importers, and distributors of products with digital elements sold in the EU</w:t>
            </w:r>
          </w:p>
        </w:tc>
      </w:tr>
    </w:tbl>
    <w:p/>
    <w:p>
      <w:r>
        <w:t>Readiness checks for Regulation (EU) 2024/2847. Vulnerability and incident reporting obligations have applied since September 11, 2026; essential requirements, conformity assessment, and CE marking apply from December 11, 2027.</w:t>
      </w:r>
    </w:p>
    <w:p>
      <w:r>
        <w:rPr>
          <w:sz w:val="18"/>
        </w:rPr>
        <w:t>Organization: ____________________    Completed by: ____________________    Date: ____________</w:t>
      </w:r>
    </w:p>
    <w:p>
      <w:r>
        <w:rPr>
          <w:b/>
          <w:color w:val="1A6FD1"/>
          <w:sz w:val="24"/>
        </w:rPr>
        <w:t>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CRA-01  Inventory all products with digital elements placed on the EU market, including software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CRA Art. 2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Product inventory with EU market flag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CRA-02  Classify each product (default, important Class I/II, or critical) to determine the conformity route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CRA Art. 7–8; Annexes III–IV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Classification record</w:t>
            </w:r>
          </w:p>
        </w:tc>
      </w:tr>
    </w:tbl>
    <w:p/>
    <w:p>
      <w:r>
        <w:rPr>
          <w:b/>
          <w:color w:val="1A6FD1"/>
          <w:sz w:val="24"/>
        </w:rPr>
        <w:t>Reporting (live now)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CRA-03  Report actively exploited vulnerabilities: 24-hour early warning, 72-hour notification, final report within 14 days of a fix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CRA Art. 14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Reporting runbook; ENISA platform access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CRA-04  Report severe incidents: 24-hour early warning, 72-hour notification, final report within one month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CRA Art. 14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Incident reporting procedure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CRA-05  Inform affected users about vulnerabilities and incidents and the mitigations available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CRA Art. 14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User notification templates</w:t>
            </w:r>
          </w:p>
        </w:tc>
      </w:tr>
    </w:tbl>
    <w:p/>
    <w:p>
      <w:r>
        <w:rPr>
          <w:b/>
          <w:color w:val="1A6FD1"/>
          <w:sz w:val="24"/>
        </w:rPr>
        <w:t>Vulnerability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CRA-06  Publish a coordinated vulnerability disclosure policy and a contact point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CRA Annex I Part II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CVD policy URL; security.txt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CRA-07  Produce and maintain a software bill of materials (SBOM) for each product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CRA Annex I Part II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SBOMs (e.g., SPDX or CycloneDX)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CRA-08  Deliver security updates free of charge for the support period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CRA Art. 13; Annex I Part II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Update policy; support period statement</w:t>
            </w:r>
          </w:p>
        </w:tc>
      </w:tr>
    </w:tbl>
    <w:p/>
    <w:p>
      <w:r>
        <w:rPr>
          <w:b/>
          <w:color w:val="1A6FD1"/>
          <w:sz w:val="24"/>
        </w:rPr>
        <w:t>Essential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CRA-09  Design to secure-by-default configurations with no known exploitable vulnerabilities at release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CRA Annex I Part I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Secure development lifecycle records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CRA-10  Protect confidentiality and integrity of data, and minimize attack surface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CRA Annex I Part I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Threat models; test results</w:t>
            </w:r>
          </w:p>
        </w:tc>
      </w:tr>
    </w:tbl>
    <w:p/>
    <w:p>
      <w:r>
        <w:rPr>
          <w:b/>
          <w:color w:val="1A6FD1"/>
          <w:sz w:val="24"/>
        </w:rPr>
        <w:t>Documentation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CRA-11  Prepare technical documentation and the EU declaration of conformity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CRA Art. 31; Annex VII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Technical file</w:t>
            </w:r>
          </w:p>
        </w:tc>
      </w:tr>
    </w:tbl>
    <w:p/>
    <w:p>
      <w:r>
        <w:rPr>
          <w:b/>
          <w:color w:val="1A6FD1"/>
          <w:sz w:val="24"/>
        </w:rPr>
        <w:t>Conformity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CRA-12  Plan the conformity assessment route and CE marking ahead of December 11, 2027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CRA Art. 32; Art. 30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Conformity plan; notified body contact</w:t>
            </w:r>
          </w:p>
        </w:tc>
      </w:tr>
    </w:tbl>
    <w:p/>
    <w:p>
      <w:r>
        <w:rPr>
          <w:b/>
          <w:color w:val="1A6FD1"/>
          <w:sz w:val="24"/>
        </w:rPr>
        <w:t>Supply Chain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CRA-13  Exercise due diligence on third-party and open-source components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CRA Art. 13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Component review records</w:t>
            </w:r>
          </w:p>
        </w:tc>
      </w:tr>
    </w:tbl>
    <w:p/>
    <w:p>
      <w:r>
        <w:rPr>
          <w:i/>
          <w:sz w:val="16"/>
        </w:rPr>
        <w:t>Readiness self-check for general guidance only. Not legal advice and not a formal assessment or certification. Confirm requirements against official sources.</w:t>
      </w:r>
    </w:p>
    <w:sectPr w:rsidR="00FC693F" w:rsidRPr="0006063C" w:rsidSect="00034616">
      <w:footerReference w:type="default" r:id="rId10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E78"/>
        <w:sz w:val="15"/>
      </w:rPr>
      <w:t>Nexus Security Advisors | nexussecurityadvisors.com | info@nexussecurityadvisors.com | v1.0, reviewed 2026-10-23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