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E131A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5444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av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44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F3F5F7"/>
                <w:sz w:val="32"/>
              </w:rPr>
              <w:t>SOC 2 Readiness Roadmap &amp; Self-Check</w:t>
            </w:r>
          </w:p>
          <w:p>
            <w:r>
              <w:rPr>
                <w:color w:val="2B9BF4"/>
                <w:sz w:val="19"/>
              </w:rPr>
              <w:t>SaaS companies and service providers facing customer security reviews</w:t>
            </w:r>
          </w:p>
        </w:tc>
      </w:tr>
    </w:tbl>
    <w:p/>
    <w:p>
      <w:r>
        <w:t>Step-by-step path to a SOC 2 report under the AICPA Trust Services Criteria. SOC 1 reports on controls relevant to customers' financial reporting (SSAE 18, AT-C 320); SOC 2 reports on security, availability, processing integrity, confidentiality, and privacy (AT-C 205); SOC 3 is a public summary of a SOC 2. A Type I report tests control design at a point in time; a Type II tests operating effectiveness over an observation period, commonly 3 to 12 months. Only a licensed CPA firm can issue the report.</w:t>
      </w:r>
    </w:p>
    <w:p>
      <w:r>
        <w:rPr>
          <w:sz w:val="18"/>
        </w:rPr>
        <w:t>Organization: ____________________    Completed by: ____________________    Date: ____________</w:t>
      </w:r>
    </w:p>
    <w:p>
      <w:r>
        <w:rPr>
          <w:b/>
          <w:color w:val="1A6FD1"/>
          <w:sz w:val="24"/>
        </w:rPr>
        <w:t>Step 1: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SOC2-01  Decide which report you need (SOC 1, SOC 2, or SOC 3) based on what customers are asking for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AICPA SOC suite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Customer requirements list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SOC2-02  Define scope: services, systems, people, data, and locations in the system description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SOC 2 description criteria (DC 200)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Draft system description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SOC2-03  Select Trust Services Criteria categories (Security is required; add Availability, Confidentiality, Processing Integrity, Privacy as needed)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AICPA TSC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Category decision memo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SOC2-04  Choose Type I (design, point in time) or Type II (operating effectiveness over a period)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AICPA SOC 2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Report type decision; target dates</w:t>
            </w:r>
          </w:p>
        </w:tc>
      </w:tr>
    </w:tbl>
    <w:p/>
    <w:p>
      <w:r>
        <w:rPr>
          <w:b/>
          <w:color w:val="1A6FD1"/>
          <w:sz w:val="24"/>
        </w:rPr>
        <w:t>Step 2: Assess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SOC2-05  Run a readiness / gap assessment against the criteria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AICPA TSC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Gap assessment report</w:t>
            </w:r>
          </w:p>
        </w:tc>
      </w:tr>
    </w:tbl>
    <w:p/>
    <w:p>
      <w:r>
        <w:rPr>
          <w:b/>
          <w:color w:val="1A6FD1"/>
          <w:sz w:val="24"/>
        </w:rPr>
        <w:t>Step 3: Build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SOC2-06  Control environment: board/management oversight, code of conduct, background checks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CC1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Org chart; policies; HR records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SOC2-07  Communication and information: security policies published and acknowledged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CC2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Policy acknowledgements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SOC2-08  Risk assessment: annual risk assessment including fraud and vendor risk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CC3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Risk register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SOC2-09  Monitoring activities: ongoing control monitoring and internal review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CC4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Control monitoring evidence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SOC2-10  Control activities: documented controls mapped to risks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CC5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Control matrix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SOC2-11  Logical and physical access: MFA, least privilege, access reviews, encryption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CC6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Access review records; MFA evidence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SOC2-12  System operations: logging, monitoring, vulnerability management, incident response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CC7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SIEM alerts; scan reports; IR plan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SOC2-13  Change management: reviewed, tested, and approved changes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CC8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Change tickets; code review records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SOC2-14  Risk mitigation: vendor management and business continuity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CC9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Vendor reviews; BCP/DR test</w:t>
            </w:r>
          </w:p>
        </w:tc>
      </w:tr>
    </w:tbl>
    <w:p/>
    <w:p>
      <w:r>
        <w:rPr>
          <w:b/>
          <w:color w:val="1A6FD1"/>
          <w:sz w:val="24"/>
        </w:rPr>
        <w:t>Step 4: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SOC2-15  Automate evidence collection and assign a control owner for each control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Best practice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Evidence repository or compliance platform</w:t>
            </w:r>
          </w:p>
        </w:tc>
      </w:tr>
    </w:tbl>
    <w:p/>
    <w:p>
      <w:r>
        <w:rPr>
          <w:b/>
          <w:color w:val="1A6FD1"/>
          <w:sz w:val="24"/>
        </w:rPr>
        <w:t>Step 5: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SOC2-16  Engage a licensed CPA firm and agree on the audit period and timeline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AICPA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Engagement letter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SOC2-17  Complete the Type I or Type II examination and remediate any exceptions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AICPA SOC 2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Final SOC 2 report</w:t>
            </w:r>
          </w:p>
        </w:tc>
      </w:tr>
    </w:tbl>
    <w:p/>
    <w:p>
      <w:r>
        <w:rPr>
          <w:b/>
          <w:color w:val="1A6FD1"/>
          <w:sz w:val="24"/>
        </w:rPr>
        <w:t>Step 6: Maintain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SOC2-18  Renew annually; issue bridge letters to customers between report periods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Best practice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Renewal plan; bridge letter template</w:t>
            </w:r>
          </w:p>
        </w:tc>
      </w:tr>
    </w:tbl>
    <w:p/>
    <w:p>
      <w:r>
        <w:rPr>
          <w:i/>
          <w:sz w:val="16"/>
        </w:rPr>
        <w:t>Readiness self-check for general guidance only. Not legal advice and not a formal assessment or certification. Confirm requirements against official sources.</w:t>
      </w:r>
    </w:p>
    <w:sectPr w:rsidR="00FC693F" w:rsidRPr="0006063C" w:rsidSect="00034616"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E78"/>
        <w:sz w:val="15"/>
      </w:rPr>
      <w:t>Nexus Security Advisors | nexussecurityadvisors.com | info@nexussecurityadvisors.com | v1.0, reviewed 2026-10-23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