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E131A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5444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nav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44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color w:val="F3F5F7"/>
                <w:sz w:val="32"/>
              </w:rPr>
              <w:t>HIPAA Security Rule &amp; 405(d) Readiness Self-Check</w:t>
            </w:r>
          </w:p>
          <w:p>
            <w:r>
              <w:rPr>
                <w:color w:val="2B9BF4"/>
                <w:sz w:val="19"/>
              </w:rPr>
              <w:t>Healthcare providers, health plans, and business associates handling ePHI</w:t>
            </w:r>
          </w:p>
        </w:tc>
      </w:tr>
    </w:tbl>
    <w:p/>
    <w:p>
      <w:r>
        <w:t>Maps the current HIPAA Security Rule (45 CFR Part 164, Subpart C) and the HHS 405(d) Health Industry Cybersecurity Practices (HICP). A proposed Security Rule update (Jan 2025) is not yet final; items marked 'Proposed rule' show where requirements are heading.</w:t>
      </w:r>
    </w:p>
    <w:p>
      <w:r>
        <w:rPr>
          <w:sz w:val="18"/>
        </w:rPr>
        <w:t>Organization: ____________________    Completed by: ____________________    Date: ____________</w:t>
      </w:r>
    </w:p>
    <w:p>
      <w:r>
        <w:rPr>
          <w:b/>
          <w:color w:val="1A6FD1"/>
          <w:sz w:val="24"/>
        </w:rPr>
        <w:t>Administrative Safeguards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HIPAA-01  Conduct an accurate, thorough risk analysis of risks to ePHI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45 CFR 164.308(a)(1)(ii)(A)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Current risk analysis report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HIPAA-02  Implement risk management measures to reduce risks to reasonable levels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45 CFR 164.308(a)(1)(ii)(B)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Risk treatment plan with owners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HIPAA-03  Designate a security official responsible for the security program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45 CFR 164.308(a)(2)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Appointment letter / job description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HIPAA-04  Provide security awareness and training for all workforce members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45 CFR 164.308(a)(5)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Training records; phishing simulation results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HIPAA-05  Maintain security incident procedures to identify, respond to, and document incidents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45 CFR 164.308(a)(6)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Incident response plan; incident log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HIPAA-06  Maintain a contingency plan: data backup, disaster recovery, and emergency-mode operations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45 CFR 164.308(a)(7)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Backup reports; DR test results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HIPAA-07  Execute business associate agreements with vendors that handle ePHI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45 CFR 164.308(b); 164.314(a)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BAA inventory</w:t>
            </w:r>
          </w:p>
        </w:tc>
      </w:tr>
    </w:tbl>
    <w:p/>
    <w:p>
      <w:r>
        <w:rPr>
          <w:b/>
          <w:color w:val="1A6FD1"/>
          <w:sz w:val="24"/>
        </w:rPr>
        <w:t>Physical Safeguards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HIPAA-08  Limit physical access to facilities and systems containing ePHI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45 CFR 164.310(a)(1)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Facility access procedures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HIPAA-09  Control the receipt, removal, disposal, and reuse of devices and media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45 CFR 164.310(d)(1)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Device/media disposal records</w:t>
            </w:r>
          </w:p>
        </w:tc>
      </w:tr>
    </w:tbl>
    <w:p/>
    <w:p>
      <w:r>
        <w:rPr>
          <w:b/>
          <w:color w:val="1A6FD1"/>
          <w:sz w:val="24"/>
        </w:rPr>
        <w:t>Technical Safeguards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HIPAA-10  Assign unique user IDs and implement access controls and automatic logoff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45 CFR 164.312(a)(1)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IAM configuration; access reviews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HIPAA-11  Encrypt ePHI at rest where reasonable and appropriate (required under the proposed rule)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45 CFR 164.312(a)(2)(iv); Proposed rule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Disk/database encryption evidence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HIPAA-12  Record and examine activity in systems containing ePHI (audit controls)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45 CFR 164.312(b)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Audit log configuration; review records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HIPAA-13  Verify the identity of persons or entities seeking access; use MFA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45 CFR 164.312(d); Proposed rule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MFA coverage report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HIPAA-14  Protect ePHI in transit with encryption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45 CFR 164.312(e)(1)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TLS configuration; secure email settings</w:t>
            </w:r>
          </w:p>
        </w:tc>
      </w:tr>
    </w:tbl>
    <w:p/>
    <w:p>
      <w:r>
        <w:rPr>
          <w:b/>
          <w:color w:val="1A6FD1"/>
          <w:sz w:val="24"/>
        </w:rPr>
        <w:t>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HIPAA-15  Keep written policies and procedures and retain documentation for six years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45 CFR 164.316(b)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Policy library with version history</w:t>
            </w:r>
          </w:p>
        </w:tc>
      </w:tr>
    </w:tbl>
    <w:p/>
    <w:p>
      <w:r>
        <w:rPr>
          <w:b/>
          <w:color w:val="1A6FD1"/>
          <w:sz w:val="24"/>
        </w:rPr>
        <w:t>Proposed Rule Readiness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HIPAA-16  Maintain a written technology asset inventory and network map for systems touching ePHI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Proposed rule (Jan 2025)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Asset inventory; network map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HIPAA-17  Run vulnerability scans at least every 6 months and penetration tests every 12 months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Proposed rule (Jan 2025)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Scan and pen test reports</w:t>
            </w:r>
          </w:p>
        </w:tc>
      </w:tr>
    </w:tbl>
    <w:p/>
    <w:p>
      <w:r>
        <w:rPr>
          <w:b/>
          <w:color w:val="1A6FD1"/>
          <w:sz w:val="24"/>
        </w:rPr>
        <w:t>405(d) HICP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HIPAA-18  Email protection, endpoint protection, and access management (HICP practices 1–3)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HHS 405(d) HICP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Email filtering/DMARC; EDR coverage; IAM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HIPAA-19  Asset, network, and vulnerability management, including network-connected medical devices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HHS 405(d) HICP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Inventory; segmentation; medical device list</w:t>
            </w:r>
          </w:p>
        </w:tc>
      </w:tr>
    </w:tbl>
    <w:p/>
    <w:p>
      <w:r>
        <w:rPr>
          <w:i/>
          <w:sz w:val="16"/>
        </w:rPr>
        <w:t>Readiness self-check for general guidance only. Not legal advice and not a formal assessment or certification. Confirm requirements against official sources.</w:t>
      </w:r>
    </w:p>
    <w:sectPr w:rsidR="00FC693F" w:rsidRPr="0006063C" w:rsidSect="00034616"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E78"/>
        <w:sz w:val="15"/>
      </w:rPr>
      <w:t>Nexus Security Advisors | nexussecurityadvisors.com | info@nexussecurityadvisors.com | v1.0, reviewed 2026-10-23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