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E131A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28800" cy="5444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navy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4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F3F5F7"/>
                <w:sz w:val="32"/>
              </w:rPr>
              <w:t>Cyber Insurance Readiness Self-Check</w:t>
            </w:r>
          </w:p>
          <w:p>
            <w:r>
              <w:rPr>
                <w:color w:val="2B9BF4"/>
                <w:sz w:val="19"/>
              </w:rPr>
              <w:t>Organizations applying for or renewing cyber insurance</w:t>
            </w:r>
          </w:p>
        </w:tc>
      </w:tr>
    </w:tbl>
    <w:p/>
    <w:p>
      <w:r>
        <w:t>Controls insurers most commonly ask about on applications and renewals, mapped to CIS Critical Security Controls v8. Answer applications accurately: misstatements can jeopardize coverage.</w:t>
      </w:r>
    </w:p>
    <w:p>
      <w:r>
        <w:rPr>
          <w:sz w:val="18"/>
        </w:rPr>
        <w:t>Organization: ____________________    Completed by: ____________________    Date: ____________</w:t>
      </w:r>
    </w:p>
    <w:p>
      <w:r>
        <w:rPr>
          <w:b/>
          <w:color w:val="1A6FD1"/>
          <w:sz w:val="24"/>
        </w:rPr>
        <w:t>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INSURANCE-01  MFA for all email access, including webmail and mobile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6 (6.3)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MFA enforcement report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INSURANCE-02  MFA for all remote network access (VPN, remote desktop, remote management tools)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6 (6.4)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Remote access configuration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INSURANCE-03  MFA and separate accounts for privileged/administrative access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6 (6.5); Control 5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Admin account list; PAM evidence</w:t>
            </w:r>
          </w:p>
        </w:tc>
      </w:tr>
    </w:tbl>
    <w:p/>
    <w:p>
      <w:r>
        <w:rPr>
          <w:b/>
          <w:color w:val="1A6FD1"/>
          <w:sz w:val="24"/>
        </w:rPr>
        <w:t>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INSURANCE-04  Endpoint detection and response (EDR) on all servers and workstations, with 24/7 monitoring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10; Control 13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EDR coverage report; MDR contract</w:t>
            </w:r>
          </w:p>
        </w:tc>
      </w:tr>
    </w:tbl>
    <w:p/>
    <w:p>
      <w:r>
        <w:rPr>
          <w:b/>
          <w:color w:val="1A6FD1"/>
          <w:sz w:val="24"/>
        </w:rPr>
        <w:t>Backups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INSURANCE-05  Backups that are offline, immutable, or isolated, encrypted, and tested for restore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11 (11.4)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Backup architecture; restore test results</w:t>
            </w:r>
          </w:p>
        </w:tc>
      </w:tr>
    </w:tbl>
    <w:p/>
    <w:p>
      <w:r>
        <w:rPr>
          <w:b/>
          <w:color w:val="1A6FD1"/>
          <w:sz w:val="24"/>
        </w:rPr>
        <w:t>Vulnerabilities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INSURANCE-06  Patch critical and internet-facing vulnerabilities on a defined timeline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7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Patch SLAs; compliance reports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INSURANCE-07  Isolate or retire end-of-life systems and software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2; Control 12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EOL inventory; segmentation</w:t>
            </w:r>
          </w:p>
        </w:tc>
      </w:tr>
    </w:tbl>
    <w:p/>
    <w:p>
      <w:r>
        <w:rPr>
          <w:b/>
          <w:color w:val="1A6FD1"/>
          <w:sz w:val="24"/>
        </w:rPr>
        <w:t>Email &amp; Web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INSURANCE-08  Email filtering, attachment sandboxing, and SPF/DKIM/DMARC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9 (9.5)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Email security configuration; DMARC record</w:t>
            </w:r>
          </w:p>
        </w:tc>
      </w:tr>
    </w:tbl>
    <w:p/>
    <w:p>
      <w:r>
        <w:rPr>
          <w:b/>
          <w:color w:val="1A6FD1"/>
          <w:sz w:val="24"/>
        </w:rPr>
        <w:t>People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INSURANCE-09  Security awareness training and phishing simulations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14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Training and simulation metrics</w:t>
            </w:r>
          </w:p>
        </w:tc>
      </w:tr>
    </w:tbl>
    <w:p/>
    <w:p>
      <w:r>
        <w:rPr>
          <w:b/>
          <w:color w:val="1A6FD1"/>
          <w:sz w:val="24"/>
        </w:rPr>
        <w:t>Fraud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INSURANCE-10  Out-of-band verification for wire transfers and payment-detail changes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Funds transfer fraud controls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Payment verification procedure</w:t>
            </w:r>
          </w:p>
        </w:tc>
      </w:tr>
    </w:tbl>
    <w:p/>
    <w:p>
      <w:r>
        <w:rPr>
          <w:b/>
          <w:color w:val="1A6FD1"/>
          <w:sz w:val="24"/>
        </w:rPr>
        <w:t>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INSURANCE-11  Written incident response plan, tested with a tabletop exercise at least annually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17</w:t>
            </w:r>
          </w:p>
        </w:tc>
        <w:tc>
          <w:tcPr>
            <w:tcW w:type="dxa" w:w="964"/>
          </w:tcPr>
          <w:p>
            <w:r>
              <w:rPr>
                <w:b/>
                <w:color w:val="C2384B"/>
                <w:sz w:val="18"/>
              </w:rPr>
              <w:t>High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IR plan; tabletop after-action report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INSURANCE-12  Know your insurer's breach hotline and panel vendors (forensics, legal) before an incident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Policy terms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Contact sheet in IR plan</w:t>
            </w:r>
          </w:p>
        </w:tc>
      </w:tr>
    </w:tbl>
    <w:p/>
    <w:p>
      <w:r>
        <w:rPr>
          <w:b/>
          <w:color w:val="1A6FD1"/>
          <w:sz w:val="24"/>
        </w:rPr>
        <w:t>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INSURANCE-13  Centralized logging with defined retention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8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Log retention settings</w:t>
            </w:r>
          </w:p>
        </w:tc>
      </w:tr>
    </w:tbl>
    <w:p/>
    <w:p>
      <w:r>
        <w:rPr>
          <w:b/>
          <w:color w:val="1A6FD1"/>
          <w:sz w:val="24"/>
        </w:rPr>
        <w:t>Assets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INSURANCE-14  Maintain an inventory of hardware, software, and where sensitive data lives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Controls 1, 2, 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Asset and data inventories</w:t>
            </w:r>
          </w:p>
        </w:tc>
      </w:tr>
    </w:tbl>
    <w:p/>
    <w:p>
      <w:r>
        <w:rPr>
          <w:b/>
          <w:color w:val="1A6FD1"/>
          <w:sz w:val="24"/>
        </w:rPr>
        <w:t>Vendors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INSURANCE-15  Assess and contractually manage third-party and MSP access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15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Vendor risk reviews; contract clauses</w:t>
            </w:r>
          </w:p>
        </w:tc>
      </w:tr>
    </w:tbl>
    <w:p/>
    <w:p>
      <w:r>
        <w:rPr>
          <w:b/>
          <w:color w:val="1A6FD1"/>
          <w:sz w:val="24"/>
        </w:rPr>
        <w:t>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510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☐</w:t>
            </w:r>
          </w:p>
        </w:tc>
        <w:tc>
          <w:tcPr>
            <w:tcW w:type="dxa" w:w="4195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2041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Reference</w:t>
            </w:r>
          </w:p>
        </w:tc>
        <w:tc>
          <w:tcPr>
            <w:tcW w:type="dxa" w:w="96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94"/>
            <w:shd w:val="clear" w:color="auto" w:fill="152A45"/>
          </w:tcPr>
          <w:p>
            <w:r>
              <w:rPr>
                <w:b/>
                <w:color w:val="FFFFFF"/>
                <w:sz w:val="18"/>
              </w:rPr>
              <w:t>Evidence / Notes</w:t>
            </w:r>
          </w:p>
        </w:tc>
      </w:tr>
      <w:tr>
        <w:tc>
          <w:tcPr>
            <w:tcW w:type="dxa" w:w="510"/>
          </w:tcPr>
          <w:p>
            <w:r>
              <w:rPr>
                <w:sz w:val="18"/>
              </w:rPr>
              <w:t>☐</w:t>
            </w:r>
          </w:p>
        </w:tc>
        <w:tc>
          <w:tcPr>
            <w:tcW w:type="dxa" w:w="4195"/>
          </w:tcPr>
          <w:p>
            <w:r>
              <w:rPr>
                <w:sz w:val="18"/>
              </w:rPr>
              <w:t>INSURANCE-16  Encrypt laptops and mobile devices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CIS Control 3</w:t>
            </w:r>
          </w:p>
        </w:tc>
        <w:tc>
          <w:tcPr>
            <w:tcW w:type="dxa" w:w="96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Disk encryption compliance</w:t>
            </w:r>
          </w:p>
        </w:tc>
      </w:tr>
    </w:tbl>
    <w:p/>
    <w:p>
      <w:r>
        <w:rPr>
          <w:i/>
          <w:sz w:val="16"/>
        </w:rPr>
        <w:t>Readiness self-check for general guidance only. Not legal advice and not a formal assessment or certification. Confirm requirements against official sources.</w:t>
      </w:r>
    </w:p>
    <w:sectPr w:rsidR="00FC693F" w:rsidRPr="0006063C" w:rsidSect="00034616">
      <w:footerReference w:type="default" r:id="rId10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66E78"/>
        <w:sz w:val="15"/>
      </w:rPr>
      <w:t>Nexus Security Advisors | nexussecurityadvisors.com | info@nexussecurityadvisors.com | v1.0, reviewed 2026-10-23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