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Smlouva o zpracování osobních údajů</w:t>
      </w:r>
    </w:p>
    <w:p>
      <w:pPr>
        <w:spacing w:after="240"/>
      </w:pPr>
      <w:r>
        <w:rPr>
          <w:color w:val="595959"/>
        </w:rPr>
        <w:t xml:space="preserve">podle čl. 28 nařízení (EU) 2016/679 (GDPR) — podpora a údržba systému LexisLocal</w:t>
      </w:r>
    </w:p>
    <w:p>
      <w:pPr>
        <w:pBdr>
          <w:left w:val="single" w:color="7F7F7F" w:sz="18" w:space="6"/>
        </w:pBdr>
        <w:shd w:fill="F2F2F2" w:color="auto" w:val="clear"/>
        <w:spacing w:after="160" w:before="120"/>
        <w:ind w:left="120"/>
      </w:pPr>
      <w:r>
        <w:rPr>
          <w:i/>
          <w:iCs/>
          <w:color w:val="444444"/>
          <w:sz w:val="19"/>
          <w:szCs w:val="19"/>
        </w:rPr>
        <w:t xml:space="preserve">Kdy je smlouva potřeba: LexisLocal běží na počítači kanceláře a dodavatel k datům běžně přístup nemá — v takovém případě zpracovatelem není. Smlouvu uzavřete, pokud dodavatel zajišťuje instalaci, podporu, aktualizace nebo obnovu ze zálohy a může se přitom k osobním údajům dostat (např. vzdálená podpora na obrazovce, ladění chyby nad daty). Tento dokument je návrh připravený dodavatelem softwaru podle toho, jak LexisLocal 1.2 skutečně funguje. Není to právní rada. Před použitím ho musí zkontrolovat a přizpůsobit advokát (zejména lhůty, právní základy a vztah k předpisům ČAK). Místa označená </w:t>
      </w:r>
      <w:r>
        <w:rPr>
          <w:i/>
          <w:iCs/>
          <w:color w:val="444444"/>
          <w:sz w:val="19"/>
          <w:szCs w:val="19"/>
          <w:highlight w:val="yellow"/>
        </w:rPr>
        <w:t xml:space="preserve">[doplnit: …]</w:t>
      </w:r>
      <w:r>
        <w:rPr>
          <w:i/>
          <w:iCs/>
          <w:color w:val="444444"/>
          <w:sz w:val="19"/>
          <w:szCs w:val="19"/>
        </w:rPr>
        <w:t xml:space="preserve"> vyplní kancelář.</w:t>
      </w:r>
    </w:p>
    <w:p>
      <w:pPr>
        <w:pStyle w:val="Heading1"/>
      </w:pPr>
      <w:r>
        <w:t xml:space="preserve">1. Smluvní strany</w:t>
      </w:r>
    </w:p>
    <w:p>
      <w:pPr>
        <w:spacing w:after="120"/>
      </w:pPr>
      <w:r>
        <w:rPr>
          <w:b/>
          <w:bCs/>
        </w:rPr>
        <w:t xml:space="preserve">Správce:</w:t>
      </w:r>
      <w:r>
        <w:t xml:space="preserve"> </w:t>
      </w:r>
      <w:r>
        <w:rPr>
          <w:highlight w:val="yellow"/>
        </w:rPr>
        <w:t xml:space="preserve">[doplnit: název kanceláře / advokáta, sídlo, IČO]</w:t>
      </w:r>
      <w:r>
        <w:t xml:space="preserve"> (dále „kancelář“)</w:t>
      </w:r>
    </w:p>
    <w:p>
      <w:pPr>
        <w:spacing w:after="120"/>
      </w:pPr>
      <w:r>
        <w:rPr>
          <w:b/>
          <w:bCs/>
        </w:rPr>
        <w:t xml:space="preserve">Zpracovatel:</w:t>
      </w:r>
      <w:r>
        <w:t xml:space="preserve"> NexusSync Systems s.r.o., </w:t>
      </w:r>
      <w:r>
        <w:rPr>
          <w:highlight w:val="yellow"/>
        </w:rPr>
        <w:t xml:space="preserve">[doplnit: sídlo, IČO]</w:t>
      </w:r>
      <w:r>
        <w:t xml:space="preserve"> (dále „dodavatel“)</w:t>
      </w:r>
    </w:p>
    <w:p>
      <w:pPr>
        <w:pStyle w:val="Heading1"/>
      </w:pPr>
      <w:r>
        <w:t xml:space="preserve">2. Předmět a účel</w:t>
      </w:r>
    </w:p>
    <w:p>
      <w:pPr>
        <w:spacing w:after="120"/>
      </w:pPr>
      <w:r>
        <w:t xml:space="preserve">Dodavatel pro kancelář zajišťuje instalaci, provoz, aktualizace a technickou podporu systému LexisLocal podle smlouvy </w:t>
      </w:r>
      <w:r>
        <w:rPr>
          <w:highlight w:val="yellow"/>
        </w:rPr>
        <w:t xml:space="preserve">[doplnit: označení hlavní smlouvy / licenčních podmínek]</w:t>
      </w:r>
      <w:r>
        <w:t xml:space="preserve"> (dále „hlavní smlouva“). Při těchto činnostech může dodavatel nahodile přijít do styku s osobními údaji, které kancelář v systému zpracovává. Tato smlouva upravuje podmínky takového zpracování.</w:t>
      </w:r>
    </w:p>
    <w:p>
      <w:pPr>
        <w:spacing w:after="120"/>
      </w:pPr>
      <w:r>
        <w:t xml:space="preserve">Dodavatel zpracovává osobní údaje </w:t>
      </w:r>
      <w:r>
        <w:rPr>
          <w:b/>
          <w:bCs/>
        </w:rPr>
        <w:t xml:space="preserve">výhradně</w:t>
      </w:r>
      <w:r>
        <w:t xml:space="preserve"> za účelem plnění hlavní smlouvy a jen v nezbytném rozsahu; k jiným účelům (vlastním, analytickým, k tréninku modelů AI) je nesmí použít.</w:t>
      </w:r>
    </w:p>
    <w:p>
      <w:pPr>
        <w:pStyle w:val="Heading1"/>
      </w:pPr>
      <w:r>
        <w:t xml:space="preserve">3. Povaha zpracování, údaje a subjekty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426"/>
      </w:tblGrid>
      <w:tr>
        <w:trPr>
          <w:tblHeader/>
        </w:trPr>
        <w:tc>
          <w:tcPr>
            <w:tcW w:type="dxa" w:w="2600"/>
            <w:shd w:fill="DCE6F0" w:color="auto" w:val="clear"/>
            <w:tcMar>
              <w:top w:type="dxa" w:w="60"/>
              <w:left w:type="dxa" w:w="100"/>
              <w:bottom w:type="dxa" w:w="60"/>
              <w:right w:type="dxa" w:w="100"/>
            </w:tcMar>
          </w:tcPr>
          <w:p>
            <w:r>
              <w:rPr>
                <w:b/>
                <w:bCs/>
                <w:sz w:val="19"/>
                <w:szCs w:val="19"/>
              </w:rPr>
              <w:t xml:space="preserve">Oblast</w:t>
            </w:r>
          </w:p>
        </w:tc>
        <w:tc>
          <w:tcPr>
            <w:tcW w:type="dxa" w:w="6426"/>
            <w:shd w:fill="DCE6F0" w:color="auto" w:val="clear"/>
            <w:tcMar>
              <w:top w:type="dxa" w:w="60"/>
              <w:left w:type="dxa" w:w="100"/>
              <w:bottom w:type="dxa" w:w="60"/>
              <w:right w:type="dxa" w:w="100"/>
            </w:tcMar>
          </w:tcPr>
          <w:p>
            <w:r>
              <w:rPr>
                <w:b/>
                <w:bCs/>
                <w:sz w:val="19"/>
                <w:szCs w:val="19"/>
              </w:rPr>
              <w:t xml:space="preserve">Popis</w:t>
            </w:r>
          </w:p>
        </w:tc>
      </w:tr>
      <w:tr>
        <w:tc>
          <w:tcPr>
            <w:tcW w:type="dxa" w:w="2600"/>
            <w:tcMar>
              <w:top w:type="dxa" w:w="60"/>
              <w:left w:type="dxa" w:w="100"/>
              <w:bottom w:type="dxa" w:w="60"/>
              <w:right w:type="dxa" w:w="100"/>
            </w:tcMar>
          </w:tcPr>
          <w:p>
            <w:r>
              <w:rPr>
                <w:b w:val="false"/>
                <w:bCs w:val="false"/>
                <w:sz w:val="19"/>
                <w:szCs w:val="19"/>
              </w:rPr>
              <w:t xml:space="preserve">Činnosti</w:t>
            </w:r>
          </w:p>
        </w:tc>
        <w:tc>
          <w:tcPr>
            <w:tcW w:type="dxa" w:w="6426"/>
            <w:tcMar>
              <w:top w:type="dxa" w:w="60"/>
              <w:left w:type="dxa" w:w="100"/>
              <w:bottom w:type="dxa" w:w="60"/>
              <w:right w:type="dxa" w:w="100"/>
            </w:tcMar>
          </w:tcPr>
          <w:p>
            <w:r>
              <w:rPr>
                <w:b w:val="false"/>
                <w:bCs w:val="false"/>
                <w:sz w:val="19"/>
                <w:szCs w:val="19"/>
              </w:rPr>
              <w:t xml:space="preserve">instalace a nastavení; diagnostika a oprava chyb; aktualizace; obnova ze zálohy; zkušební běh po aktualizaci — vždy na pokyn kanceláře</w:t>
            </w:r>
          </w:p>
        </w:tc>
      </w:tr>
      <w:tr>
        <w:tc>
          <w:tcPr>
            <w:tcW w:type="dxa" w:w="2600"/>
            <w:tcMar>
              <w:top w:type="dxa" w:w="60"/>
              <w:left w:type="dxa" w:w="100"/>
              <w:bottom w:type="dxa" w:w="60"/>
              <w:right w:type="dxa" w:w="100"/>
            </w:tcMar>
          </w:tcPr>
          <w:p>
            <w:r>
              <w:rPr>
                <w:b w:val="false"/>
                <w:bCs w:val="false"/>
                <w:sz w:val="19"/>
                <w:szCs w:val="19"/>
              </w:rPr>
              <w:t xml:space="preserve">Způsob přístupu</w:t>
            </w:r>
          </w:p>
        </w:tc>
        <w:tc>
          <w:tcPr>
            <w:tcW w:type="dxa" w:w="6426"/>
            <w:tcMar>
              <w:top w:type="dxa" w:w="60"/>
              <w:left w:type="dxa" w:w="100"/>
              <w:bottom w:type="dxa" w:w="60"/>
              <w:right w:type="dxa" w:w="100"/>
            </w:tcMar>
          </w:tcPr>
          <w:p>
            <w:r>
              <w:rPr>
                <w:b w:val="false"/>
                <w:bCs w:val="false"/>
                <w:sz w:val="19"/>
                <w:szCs w:val="19"/>
              </w:rPr>
              <w:t xml:space="preserve">na místě, nebo vzdáleně jen po předchozím souhlasu kanceláře pro konkrétní zásah (sdílení obrazovky / dočasný přístup přes VPN kanceláře); přístup se ukončí po skončení zásahu</w:t>
            </w:r>
          </w:p>
        </w:tc>
      </w:tr>
      <w:tr>
        <w:tc>
          <w:tcPr>
            <w:tcW w:type="dxa" w:w="2600"/>
            <w:tcMar>
              <w:top w:type="dxa" w:w="60"/>
              <w:left w:type="dxa" w:w="100"/>
              <w:bottom w:type="dxa" w:w="60"/>
              <w:right w:type="dxa" w:w="100"/>
            </w:tcMar>
          </w:tcPr>
          <w:p>
            <w:r>
              <w:rPr>
                <w:b w:val="false"/>
                <w:bCs w:val="false"/>
                <w:sz w:val="19"/>
                <w:szCs w:val="19"/>
              </w:rPr>
              <w:t xml:space="preserve">Kategorie subjektů</w:t>
            </w:r>
          </w:p>
        </w:tc>
        <w:tc>
          <w:tcPr>
            <w:tcW w:type="dxa" w:w="6426"/>
            <w:tcMar>
              <w:top w:type="dxa" w:w="60"/>
              <w:left w:type="dxa" w:w="100"/>
              <w:bottom w:type="dxa" w:w="60"/>
              <w:right w:type="dxa" w:w="100"/>
            </w:tcMar>
          </w:tcPr>
          <w:p>
            <w:r>
              <w:rPr>
                <w:b w:val="false"/>
                <w:bCs w:val="false"/>
                <w:sz w:val="19"/>
                <w:szCs w:val="19"/>
              </w:rPr>
              <w:t xml:space="preserve">klienti kanceláře a jejich zástupci, protistrany a další účastníci řízení, svědci, zaměstnanci a spolupracovníci kanceláře</w:t>
            </w:r>
          </w:p>
        </w:tc>
      </w:tr>
      <w:tr>
        <w:tc>
          <w:tcPr>
            <w:tcW w:type="dxa" w:w="2600"/>
            <w:tcMar>
              <w:top w:type="dxa" w:w="60"/>
              <w:left w:type="dxa" w:w="100"/>
              <w:bottom w:type="dxa" w:w="60"/>
              <w:right w:type="dxa" w:w="100"/>
            </w:tcMar>
          </w:tcPr>
          <w:p>
            <w:r>
              <w:rPr>
                <w:b w:val="false"/>
                <w:bCs w:val="false"/>
                <w:sz w:val="19"/>
                <w:szCs w:val="19"/>
              </w:rPr>
              <w:t xml:space="preserve">Kategorie údajů</w:t>
            </w:r>
          </w:p>
        </w:tc>
        <w:tc>
          <w:tcPr>
            <w:tcW w:type="dxa" w:w="6426"/>
            <w:tcMar>
              <w:top w:type="dxa" w:w="60"/>
              <w:left w:type="dxa" w:w="100"/>
              <w:bottom w:type="dxa" w:w="60"/>
              <w:right w:type="dxa" w:w="100"/>
            </w:tcMar>
          </w:tcPr>
          <w:p>
            <w:r>
              <w:rPr>
                <w:b w:val="false"/>
                <w:bCs w:val="false"/>
                <w:sz w:val="19"/>
                <w:szCs w:val="19"/>
              </w:rPr>
              <w:t xml:space="preserve">identifikační a kontaktní údaje, údaje ze spisů a dokumentů, údaje z AML identifikace, fakturační údaje, auditní záznamy o práci uživatelů</w:t>
            </w:r>
          </w:p>
        </w:tc>
      </w:tr>
      <w:tr>
        <w:tc>
          <w:tcPr>
            <w:tcW w:type="dxa" w:w="2600"/>
            <w:tcMar>
              <w:top w:type="dxa" w:w="60"/>
              <w:left w:type="dxa" w:w="100"/>
              <w:bottom w:type="dxa" w:w="60"/>
              <w:right w:type="dxa" w:w="100"/>
            </w:tcMar>
          </w:tcPr>
          <w:p>
            <w:r>
              <w:rPr>
                <w:b w:val="false"/>
                <w:bCs w:val="false"/>
                <w:sz w:val="19"/>
                <w:szCs w:val="19"/>
              </w:rPr>
              <w:t xml:space="preserve">Zvláštní kategorie</w:t>
            </w:r>
          </w:p>
        </w:tc>
        <w:tc>
          <w:tcPr>
            <w:tcW w:type="dxa" w:w="6426"/>
            <w:tcMar>
              <w:top w:type="dxa" w:w="60"/>
              <w:left w:type="dxa" w:w="100"/>
              <w:bottom w:type="dxa" w:w="60"/>
              <w:right w:type="dxa" w:w="100"/>
            </w:tcMar>
          </w:tcPr>
          <w:p>
            <w:r>
              <w:rPr>
                <w:b w:val="false"/>
                <w:bCs w:val="false"/>
                <w:sz w:val="19"/>
                <w:szCs w:val="19"/>
              </w:rPr>
              <w:t xml:space="preserve">mohou se vyskytnout ve spisech (zdravotní údaje, údaje o rozsudcích v trestních věcech — čl. 9 a 10 GDPR); dodavatel s nimi aktivně nepracuje</w:t>
            </w:r>
          </w:p>
        </w:tc>
      </w:tr>
      <w:tr>
        <w:tc>
          <w:tcPr>
            <w:tcW w:type="dxa" w:w="2600"/>
            <w:tcMar>
              <w:top w:type="dxa" w:w="60"/>
              <w:left w:type="dxa" w:w="100"/>
              <w:bottom w:type="dxa" w:w="60"/>
              <w:right w:type="dxa" w:w="100"/>
            </w:tcMar>
          </w:tcPr>
          <w:p>
            <w:r>
              <w:rPr>
                <w:b w:val="false"/>
                <w:bCs w:val="false"/>
                <w:sz w:val="19"/>
                <w:szCs w:val="19"/>
              </w:rPr>
              <w:t xml:space="preserve">Doba</w:t>
            </w:r>
          </w:p>
        </w:tc>
        <w:tc>
          <w:tcPr>
            <w:tcW w:type="dxa" w:w="6426"/>
            <w:tcMar>
              <w:top w:type="dxa" w:w="60"/>
              <w:left w:type="dxa" w:w="100"/>
              <w:bottom w:type="dxa" w:w="60"/>
              <w:right w:type="dxa" w:w="100"/>
            </w:tcMar>
          </w:tcPr>
          <w:p>
            <w:r>
              <w:rPr>
                <w:b w:val="false"/>
                <w:bCs w:val="false"/>
                <w:sz w:val="19"/>
                <w:szCs w:val="19"/>
              </w:rPr>
              <w:t xml:space="preserve">po dobu účinnosti hlavní smlouvy</w:t>
            </w:r>
          </w:p>
        </w:tc>
      </w:tr>
    </w:tbl>
    <w:p>
      <w:pPr>
        <w:spacing w:after="120"/>
      </w:pPr>
    </w:p>
    <w:p>
      <w:pPr>
        <w:pStyle w:val="Heading1"/>
      </w:pPr>
      <w:r>
        <w:t xml:space="preserve">4. Povinnosti dodavatele</w:t>
      </w:r>
    </w:p>
    <w:p>
      <w:pPr>
        <w:pStyle w:val="ListParagraph"/>
        <w:numPr>
          <w:ilvl w:val="0"/>
          <w:numId w:val="2"/>
        </w:numPr>
        <w:spacing w:after="60"/>
      </w:pPr>
      <w:r>
        <w:t xml:space="preserve">Zpracovávat osobní údaje jen na doložené pokyny kanceláře, včetně předávání do třetích zemí. Pokud by pokyn podle dodavatele porušoval předpisy, kancelář na to neprodleně upozorní.</w:t>
      </w:r>
    </w:p>
    <w:p>
      <w:pPr>
        <w:pStyle w:val="ListParagraph"/>
        <w:numPr>
          <w:ilvl w:val="0"/>
          <w:numId w:val="2"/>
        </w:numPr>
        <w:spacing w:after="60"/>
      </w:pPr>
      <w:r>
        <w:t xml:space="preserve">Zajistit, aby osoby, které se zpracováním přijdou do styku, byly zavázány mlčenlivostí; mlčenlivost trvá i po skončení smlouvy. Dodavatel bere na vědomí, že údaje ve spisech podléhají povinnosti mlčenlivosti advokáta podle § 21 zákona o advokacii </w:t>
      </w:r>
      <w:r>
        <w:rPr>
          <w:highlight w:val="yellow"/>
        </w:rPr>
        <w:t xml:space="preserve">[doplnit: ověřit rozsah povinnosti osob, které se podílejí na poskytování služeb, § 21 odst. 9]</w:t>
      </w:r>
      <w:r>
        <w:t xml:space="preserve">.</w:t>
      </w:r>
    </w:p>
    <w:p>
      <w:pPr>
        <w:pStyle w:val="ListParagraph"/>
        <w:numPr>
          <w:ilvl w:val="0"/>
          <w:numId w:val="2"/>
        </w:numPr>
        <w:spacing w:after="60"/>
      </w:pPr>
      <w:r>
        <w:t xml:space="preserve">Přijmout technická a organizační opatření podle čl. 32 GDPR (příloha 1).</w:t>
      </w:r>
    </w:p>
    <w:p>
      <w:pPr>
        <w:pStyle w:val="ListParagraph"/>
        <w:numPr>
          <w:ilvl w:val="0"/>
          <w:numId w:val="2"/>
        </w:numPr>
        <w:spacing w:after="60"/>
      </w:pPr>
      <w:r>
        <w:t xml:space="preserve">Nezapojit dalšího zpracovatele bez předchozího písemného souhlasu kanceláře. Ke dni podpisu dodavatel žádné další zpracovatele nevyužívá.</w:t>
      </w:r>
    </w:p>
    <w:p>
      <w:pPr>
        <w:pStyle w:val="ListParagraph"/>
        <w:numPr>
          <w:ilvl w:val="0"/>
          <w:numId w:val="2"/>
        </w:numPr>
        <w:spacing w:after="60"/>
      </w:pPr>
      <w:r>
        <w:t xml:space="preserve">Pomáhat kanceláři vhodnými opatřeními při vyřizování žádostí subjektů údajů (přístup, oprava, výmaz, omezení, přenositelnost, námitka).</w:t>
      </w:r>
    </w:p>
    <w:p>
      <w:pPr>
        <w:pStyle w:val="ListParagraph"/>
        <w:numPr>
          <w:ilvl w:val="0"/>
          <w:numId w:val="2"/>
        </w:numPr>
        <w:spacing w:after="60"/>
      </w:pPr>
      <w:r>
        <w:t xml:space="preserve">Pomáhat kanceláři při plnění povinností podle čl. 32 až 36 GDPR (zabezpečení, ohlašování porušení, posouzení vlivu, předchozí konzultace).</w:t>
      </w:r>
    </w:p>
    <w:p>
      <w:pPr>
        <w:pStyle w:val="ListParagraph"/>
        <w:numPr>
          <w:ilvl w:val="0"/>
          <w:numId w:val="2"/>
        </w:numPr>
        <w:spacing w:after="60"/>
      </w:pPr>
      <w:r>
        <w:t xml:space="preserve">Po skončení poskytování služeb vymazat nebo vrátit všechny osobní údaje (včetně kopií pořízených při diagnostice) podle rozhodnutí kanceláře, pokud předpis neukládá jejich uložení.</w:t>
      </w:r>
    </w:p>
    <w:p>
      <w:pPr>
        <w:pStyle w:val="ListParagraph"/>
        <w:numPr>
          <w:ilvl w:val="0"/>
          <w:numId w:val="2"/>
        </w:numPr>
        <w:spacing w:after="60"/>
      </w:pPr>
      <w:r>
        <w:t xml:space="preserve">Poskytnout kanceláři informace potřebné k doložení splnění povinností a umožnit audity a kontroly prováděné kanceláří nebo pověřeným auditorem.</w:t>
      </w:r>
    </w:p>
    <w:p>
      <w:pPr>
        <w:pStyle w:val="Heading1"/>
      </w:pPr>
      <w:r>
        <w:t xml:space="preserve">5. Porušení zabezpečení</w:t>
      </w:r>
    </w:p>
    <w:p>
      <w:pPr>
        <w:spacing w:after="120"/>
      </w:pPr>
      <w:r>
        <w:t xml:space="preserve">Dodavatel ohlásí kanceláři porušení zabezpečení osobních údajů, o kterém se dozví, </w:t>
      </w:r>
      <w:r>
        <w:rPr>
          <w:b/>
          <w:bCs/>
        </w:rPr>
        <w:t xml:space="preserve">bez zbytečného odkladu, nejpozději do 24 hodin</w:t>
      </w:r>
      <w:r>
        <w:t xml:space="preserve">, a poskytne informace podle čl. 33 odst. 3 GDPR v rozsahu, v jakém je má k dispozici. Ohlášení dozorovému úřadu a subjektům údajů je věcí kanceláře.</w:t>
      </w:r>
    </w:p>
    <w:p>
      <w:pPr>
        <w:pStyle w:val="Heading1"/>
      </w:pPr>
      <w:r>
        <w:t xml:space="preserve">6. Předávání mimo EU</w:t>
      </w:r>
    </w:p>
    <w:p>
      <w:pPr>
        <w:spacing w:after="120"/>
      </w:pPr>
      <w:r>
        <w:t xml:space="preserve">Dodavatel osobní údaje mimo Evropský hospodářský prostor nepředává. LexisLocal ve výchozím nastavení zpracovává data jen na zařízení kanceláře; volitelné cloudové služby (např. jazykový model v cloudu, CODEXIS AI) zapíná a smluvně zajišťuje kancelář sama a nejsou předmětem této smlouvy.</w:t>
      </w:r>
    </w:p>
    <w:p>
      <w:pPr>
        <w:pStyle w:val="Heading1"/>
      </w:pPr>
      <w:r>
        <w:t xml:space="preserve">7. Závěrečná ustanovení</w:t>
      </w:r>
    </w:p>
    <w:p>
      <w:pPr>
        <w:spacing w:after="120"/>
      </w:pPr>
      <w:r>
        <w:t xml:space="preserve">Smlouva nabývá účinnosti dnem podpisu a trvá po dobu účinnosti hlavní smlouvy. Povinnosti mlčenlivosti a výmazu trvají i po jejím skončení. Změny jen písemně. Smlouva je vyhotovena ve dvou stejnopisech.</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Pr>
          <w:p>
            <w:pPr>
              <w:spacing w:after="600" w:before="360"/>
            </w:pPr>
            <w:r>
              <w:t xml:space="preserve">V </w:t>
            </w:r>
            <w:r>
              <w:rPr>
                <w:highlight w:val="yellow"/>
              </w:rPr>
              <w:t xml:space="preserve">[doplnit: místo]</w:t>
            </w:r>
            <w:r>
              <w:t xml:space="preserve"> dne </w:t>
            </w:r>
            <w:r>
              <w:rPr>
                <w:highlight w:val="yellow"/>
              </w:rPr>
              <w:t xml:space="preserve">[doplnit: datum]</w:t>
            </w:r>
          </w:p>
          <w:p>
            <w:r>
              <w:t xml:space="preserve">……………………………………</w:t>
            </w:r>
          </w:p>
          <w:p>
            <w:r>
              <w:rPr>
                <w:b/>
                <w:bCs/>
              </w:rPr>
              <w:t xml:space="preserve">Za kancelář (správce)</w:t>
            </w:r>
          </w:p>
          <w:p>
            <w:r>
              <w:rPr>
                <w:highlight w:val="yellow"/>
              </w:rPr>
              <w:t xml:space="preserve">[doplnit: jméno, funkce]</w:t>
            </w:r>
          </w:p>
        </w:tc>
        <w:tc>
          <w:tcPr>
            <w:tcW w:type="dxa" w:w="4513"/>
          </w:tcPr>
          <w:p>
            <w:pPr>
              <w:spacing w:after="600" w:before="360"/>
            </w:pPr>
            <w:r>
              <w:t xml:space="preserve">V </w:t>
            </w:r>
            <w:r>
              <w:rPr>
                <w:highlight w:val="yellow"/>
              </w:rPr>
              <w:t xml:space="preserve">[doplnit: místo]</w:t>
            </w:r>
            <w:r>
              <w:t xml:space="preserve"> dne </w:t>
            </w:r>
            <w:r>
              <w:rPr>
                <w:highlight w:val="yellow"/>
              </w:rPr>
              <w:t xml:space="preserve">[doplnit: datum]</w:t>
            </w:r>
          </w:p>
          <w:p>
            <w:r>
              <w:t xml:space="preserve">……………………………………</w:t>
            </w:r>
          </w:p>
          <w:p>
            <w:r>
              <w:rPr>
                <w:b/>
                <w:bCs/>
              </w:rPr>
              <w:t xml:space="preserve">Za dodavatele (zpracovatele)</w:t>
            </w:r>
          </w:p>
          <w:p>
            <w:r>
              <w:rPr>
                <w:highlight w:val="yellow"/>
              </w:rPr>
              <w:t xml:space="preserve">[doplnit: jméno, funkce]</w:t>
            </w:r>
          </w:p>
        </w:tc>
      </w:tr>
    </w:tbl>
    <w:p>
      <w:pPr>
        <w:pStyle w:val="Heading1"/>
      </w:pPr>
      <w:r>
        <w:t xml:space="preserve">Příloha 1 — technická a organizační opatření</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500"/>
        <w:gridCol w:w="6526"/>
      </w:tblGrid>
      <w:tr>
        <w:trPr>
          <w:tblHeader/>
        </w:trPr>
        <w:tc>
          <w:tcPr>
            <w:tcW w:type="dxa" w:w="2500"/>
            <w:shd w:fill="DCE6F0" w:color="auto" w:val="clear"/>
            <w:tcMar>
              <w:top w:type="dxa" w:w="60"/>
              <w:left w:type="dxa" w:w="100"/>
              <w:bottom w:type="dxa" w:w="60"/>
              <w:right w:type="dxa" w:w="100"/>
            </w:tcMar>
          </w:tcPr>
          <w:p>
            <w:r>
              <w:rPr>
                <w:b/>
                <w:bCs/>
                <w:sz w:val="19"/>
                <w:szCs w:val="19"/>
              </w:rPr>
              <w:t xml:space="preserve">Opatření</w:t>
            </w:r>
          </w:p>
        </w:tc>
        <w:tc>
          <w:tcPr>
            <w:tcW w:type="dxa" w:w="6526"/>
            <w:shd w:fill="DCE6F0" w:color="auto" w:val="clear"/>
            <w:tcMar>
              <w:top w:type="dxa" w:w="60"/>
              <w:left w:type="dxa" w:w="100"/>
              <w:bottom w:type="dxa" w:w="60"/>
              <w:right w:type="dxa" w:w="100"/>
            </w:tcMar>
          </w:tcPr>
          <w:p>
            <w:r>
              <w:rPr>
                <w:b/>
                <w:bCs/>
                <w:sz w:val="19"/>
                <w:szCs w:val="19"/>
              </w:rPr>
              <w:t xml:space="preserve">Jak je zajištěno v LexisLocalu / u dodavatele</w:t>
            </w:r>
          </w:p>
        </w:tc>
      </w:tr>
      <w:tr>
        <w:tc>
          <w:tcPr>
            <w:tcW w:type="dxa" w:w="2500"/>
            <w:tcMar>
              <w:top w:type="dxa" w:w="60"/>
              <w:left w:type="dxa" w:w="100"/>
              <w:bottom w:type="dxa" w:w="60"/>
              <w:right w:type="dxa" w:w="100"/>
            </w:tcMar>
          </w:tcPr>
          <w:p>
            <w:r>
              <w:rPr>
                <w:b w:val="false"/>
                <w:bCs w:val="false"/>
                <w:sz w:val="19"/>
                <w:szCs w:val="19"/>
              </w:rPr>
              <w:t xml:space="preserve">Lokální zpracování</w:t>
            </w:r>
          </w:p>
        </w:tc>
        <w:tc>
          <w:tcPr>
            <w:tcW w:type="dxa" w:w="6526"/>
            <w:tcMar>
              <w:top w:type="dxa" w:w="60"/>
              <w:left w:type="dxa" w:w="100"/>
              <w:bottom w:type="dxa" w:w="60"/>
              <w:right w:type="dxa" w:w="100"/>
            </w:tcMar>
          </w:tcPr>
          <w:p>
            <w:r>
              <w:rPr>
                <w:b w:val="false"/>
                <w:bCs w:val="false"/>
                <w:sz w:val="19"/>
                <w:szCs w:val="19"/>
              </w:rPr>
              <w:t xml:space="preserve">data i jazykové modely běží na počítači kanceláře; režim „jen lokálně“ (LEXIS_PILOT_LOCAL_ONLY=1) technicky zakáže cloudové AI</w:t>
            </w:r>
          </w:p>
        </w:tc>
      </w:tr>
      <w:tr>
        <w:tc>
          <w:tcPr>
            <w:tcW w:type="dxa" w:w="2500"/>
            <w:tcMar>
              <w:top w:type="dxa" w:w="60"/>
              <w:left w:type="dxa" w:w="100"/>
              <w:bottom w:type="dxa" w:w="60"/>
              <w:right w:type="dxa" w:w="100"/>
            </w:tcMar>
          </w:tcPr>
          <w:p>
            <w:r>
              <w:rPr>
                <w:b w:val="false"/>
                <w:bCs w:val="false"/>
                <w:sz w:val="19"/>
                <w:szCs w:val="19"/>
              </w:rPr>
              <w:t xml:space="preserve">Šifrování</w:t>
            </w:r>
          </w:p>
        </w:tc>
        <w:tc>
          <w:tcPr>
            <w:tcW w:type="dxa" w:w="6526"/>
            <w:tcMar>
              <w:top w:type="dxa" w:w="60"/>
              <w:left w:type="dxa" w:w="100"/>
              <w:bottom w:type="dxa" w:w="60"/>
              <w:right w:type="dxa" w:w="100"/>
            </w:tcMar>
          </w:tcPr>
          <w:p>
            <w:r>
              <w:rPr>
                <w:b w:val="false"/>
                <w:bCs w:val="false"/>
                <w:sz w:val="19"/>
                <w:szCs w:val="19"/>
              </w:rPr>
              <w:t xml:space="preserve">databáze a znalostní báze šifrované (AES-256-GCM), klíč uložený mimo datovou složku; doporučeno šifrování disku (FileVault)</w:t>
            </w:r>
          </w:p>
        </w:tc>
      </w:tr>
      <w:tr>
        <w:tc>
          <w:tcPr>
            <w:tcW w:type="dxa" w:w="2500"/>
            <w:tcMar>
              <w:top w:type="dxa" w:w="60"/>
              <w:left w:type="dxa" w:w="100"/>
              <w:bottom w:type="dxa" w:w="60"/>
              <w:right w:type="dxa" w:w="100"/>
            </w:tcMar>
          </w:tcPr>
          <w:p>
            <w:r>
              <w:rPr>
                <w:b w:val="false"/>
                <w:bCs w:val="false"/>
                <w:sz w:val="19"/>
                <w:szCs w:val="19"/>
              </w:rPr>
              <w:t xml:space="preserve">Řízení přístupu</w:t>
            </w:r>
          </w:p>
        </w:tc>
        <w:tc>
          <w:tcPr>
            <w:tcW w:type="dxa" w:w="6526"/>
            <w:tcMar>
              <w:top w:type="dxa" w:w="60"/>
              <w:left w:type="dxa" w:w="100"/>
              <w:bottom w:type="dxa" w:w="60"/>
              <w:right w:type="dxa" w:w="100"/>
            </w:tcMar>
          </w:tcPr>
          <w:p>
            <w:r>
              <w:rPr>
                <w:b w:val="false"/>
                <w:bCs w:val="false"/>
                <w:sz w:val="19"/>
                <w:szCs w:val="19"/>
              </w:rPr>
              <w:t xml:space="preserve">firemní režim: vlastní účty a role, spis má vlastníka a sdílení; API token a TLS při síťovém provozu</w:t>
            </w:r>
          </w:p>
        </w:tc>
      </w:tr>
      <w:tr>
        <w:tc>
          <w:tcPr>
            <w:tcW w:type="dxa" w:w="2500"/>
            <w:tcMar>
              <w:top w:type="dxa" w:w="60"/>
              <w:left w:type="dxa" w:w="100"/>
              <w:bottom w:type="dxa" w:w="60"/>
              <w:right w:type="dxa" w:w="100"/>
            </w:tcMar>
          </w:tcPr>
          <w:p>
            <w:r>
              <w:rPr>
                <w:b w:val="false"/>
                <w:bCs w:val="false"/>
                <w:sz w:val="19"/>
                <w:szCs w:val="19"/>
              </w:rPr>
              <w:t xml:space="preserve">Auditní stopa</w:t>
            </w:r>
          </w:p>
        </w:tc>
        <w:tc>
          <w:tcPr>
            <w:tcW w:type="dxa" w:w="6526"/>
            <w:tcMar>
              <w:top w:type="dxa" w:w="60"/>
              <w:left w:type="dxa" w:w="100"/>
              <w:bottom w:type="dxa" w:w="60"/>
              <w:right w:type="dxa" w:w="100"/>
            </w:tcMar>
          </w:tcPr>
          <w:p>
            <w:r>
              <w:rPr>
                <w:b w:val="false"/>
                <w:bCs w:val="false"/>
                <w:sz w:val="19"/>
                <w:szCs w:val="19"/>
              </w:rPr>
              <w:t xml:space="preserve">záznam úkonů včetně čtení spisů (kdo, kdy), export; šifrovaný archiv</w:t>
            </w:r>
          </w:p>
        </w:tc>
      </w:tr>
      <w:tr>
        <w:tc>
          <w:tcPr>
            <w:tcW w:type="dxa" w:w="2500"/>
            <w:tcMar>
              <w:top w:type="dxa" w:w="60"/>
              <w:left w:type="dxa" w:w="100"/>
              <w:bottom w:type="dxa" w:w="60"/>
              <w:right w:type="dxa" w:w="100"/>
            </w:tcMar>
          </w:tcPr>
          <w:p>
            <w:r>
              <w:rPr>
                <w:b w:val="false"/>
                <w:bCs w:val="false"/>
                <w:sz w:val="19"/>
                <w:szCs w:val="19"/>
              </w:rPr>
              <w:t xml:space="preserve">Zálohy</w:t>
            </w:r>
          </w:p>
        </w:tc>
        <w:tc>
          <w:tcPr>
            <w:tcW w:type="dxa" w:w="6526"/>
            <w:tcMar>
              <w:top w:type="dxa" w:w="60"/>
              <w:left w:type="dxa" w:w="100"/>
              <w:bottom w:type="dxa" w:w="60"/>
              <w:right w:type="dxa" w:w="100"/>
            </w:tcMar>
          </w:tcPr>
          <w:p>
            <w:r>
              <w:rPr>
                <w:b w:val="false"/>
                <w:bCs w:val="false"/>
                <w:sz w:val="19"/>
                <w:szCs w:val="19"/>
              </w:rPr>
              <w:t xml:space="preserve">záloha se zkouškou obnovy (backup.js); záloha obsahuje klíč → jen na šifrovaný disk</w:t>
            </w:r>
          </w:p>
        </w:tc>
      </w:tr>
      <w:tr>
        <w:tc>
          <w:tcPr>
            <w:tcW w:type="dxa" w:w="2500"/>
            <w:tcMar>
              <w:top w:type="dxa" w:w="60"/>
              <w:left w:type="dxa" w:w="100"/>
              <w:bottom w:type="dxa" w:w="60"/>
              <w:right w:type="dxa" w:w="100"/>
            </w:tcMar>
          </w:tcPr>
          <w:p>
            <w:r>
              <w:rPr>
                <w:b w:val="false"/>
                <w:bCs w:val="false"/>
                <w:sz w:val="19"/>
                <w:szCs w:val="19"/>
              </w:rPr>
              <w:t xml:space="preserve">Přístup dodavatele</w:t>
            </w:r>
          </w:p>
        </w:tc>
        <w:tc>
          <w:tcPr>
            <w:tcW w:type="dxa" w:w="6526"/>
            <w:tcMar>
              <w:top w:type="dxa" w:w="60"/>
              <w:left w:type="dxa" w:w="100"/>
              <w:bottom w:type="dxa" w:w="60"/>
              <w:right w:type="dxa" w:w="100"/>
            </w:tcMar>
          </w:tcPr>
          <w:p>
            <w:r>
              <w:rPr>
                <w:b w:val="false"/>
                <w:bCs w:val="false"/>
                <w:sz w:val="19"/>
                <w:szCs w:val="19"/>
              </w:rPr>
              <w:t xml:space="preserve">jen na pokyn a se souhlasem kanceláře, po dobu zásahu; zápis do protokolu podpory </w:t>
            </w:r>
            <w:r>
              <w:rPr>
                <w:b w:val="false"/>
                <w:bCs w:val="false"/>
                <w:sz w:val="19"/>
                <w:szCs w:val="19"/>
                <w:highlight w:val="yellow"/>
              </w:rPr>
              <w:t xml:space="preserve">[doplnit: kde se vede]</w:t>
            </w:r>
          </w:p>
        </w:tc>
      </w:tr>
      <w:tr>
        <w:tc>
          <w:tcPr>
            <w:tcW w:type="dxa" w:w="2500"/>
            <w:tcMar>
              <w:top w:type="dxa" w:w="60"/>
              <w:left w:type="dxa" w:w="100"/>
              <w:bottom w:type="dxa" w:w="60"/>
              <w:right w:type="dxa" w:w="100"/>
            </w:tcMar>
          </w:tcPr>
          <w:p>
            <w:r>
              <w:rPr>
                <w:b w:val="false"/>
                <w:bCs w:val="false"/>
                <w:sz w:val="19"/>
                <w:szCs w:val="19"/>
              </w:rPr>
              <w:t xml:space="preserve">Osoby u dodavatele</w:t>
            </w:r>
          </w:p>
        </w:tc>
        <w:tc>
          <w:tcPr>
            <w:tcW w:type="dxa" w:w="6526"/>
            <w:tcMar>
              <w:top w:type="dxa" w:w="60"/>
              <w:left w:type="dxa" w:w="100"/>
              <w:bottom w:type="dxa" w:w="60"/>
              <w:right w:type="dxa" w:w="100"/>
            </w:tcMar>
          </w:tcPr>
          <w:p>
            <w:r>
              <w:rPr>
                <w:b w:val="false"/>
                <w:bCs w:val="false"/>
                <w:sz w:val="19"/>
                <w:szCs w:val="19"/>
              </w:rPr>
              <w:t xml:space="preserve">jmenovitě určení pracovníci podpory zavázaní mlčenlivostí </w:t>
            </w:r>
            <w:r>
              <w:rPr>
                <w:b w:val="false"/>
                <w:bCs w:val="false"/>
                <w:sz w:val="19"/>
                <w:szCs w:val="19"/>
                <w:highlight w:val="yellow"/>
              </w:rPr>
              <w:t xml:space="preserve">[doplnit: jména/role]</w:t>
            </w:r>
          </w:p>
        </w:tc>
      </w:tr>
      <w:tr>
        <w:tc>
          <w:tcPr>
            <w:tcW w:type="dxa" w:w="2500"/>
            <w:tcMar>
              <w:top w:type="dxa" w:w="60"/>
              <w:left w:type="dxa" w:w="100"/>
              <w:bottom w:type="dxa" w:w="60"/>
              <w:right w:type="dxa" w:w="100"/>
            </w:tcMar>
          </w:tcPr>
          <w:p>
            <w:r>
              <w:rPr>
                <w:b w:val="false"/>
                <w:bCs w:val="false"/>
                <w:sz w:val="19"/>
                <w:szCs w:val="19"/>
              </w:rPr>
              <w:t xml:space="preserve">Vývoj a testování</w:t>
            </w:r>
          </w:p>
        </w:tc>
        <w:tc>
          <w:tcPr>
            <w:tcW w:type="dxa" w:w="6526"/>
            <w:tcMar>
              <w:top w:type="dxa" w:w="60"/>
              <w:left w:type="dxa" w:w="100"/>
              <w:bottom w:type="dxa" w:w="60"/>
              <w:right w:type="dxa" w:w="100"/>
            </w:tcMar>
          </w:tcPr>
          <w:p>
            <w:r>
              <w:rPr>
                <w:b w:val="false"/>
                <w:bCs w:val="false"/>
                <w:sz w:val="19"/>
                <w:szCs w:val="19"/>
              </w:rPr>
              <w:t xml:space="preserve">testování jen na syntetických a veřejných datech; data kanceláře se do vývoje nepřenášejí</w:t>
            </w:r>
          </w:p>
        </w:tc>
      </w:tr>
    </w:tbl>
    <w:p>
      <w:pPr>
        <w:spacing w:after="120"/>
      </w:pP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F7F7F"/>
        <w:sz w:val="16"/>
        <w:szCs w:val="16"/>
      </w:rPr>
      <w:t xml:space="preserve">Smlouva o zpracování osobních údajů · LexisLocal 1.2</w:t>
    </w:r>
    <w:r>
      <w:rPr>
        <w:color w:val="7F7F7F"/>
        <w:sz w:val="16"/>
        <w:szCs w:val="16"/>
      </w:rPr>
      <w:t xml:space="preserve">	strana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6"/>
        <w:szCs w:val="16"/>
      </w:rPr>
      <w:t xml:space="preserve">NÁVRH — před použitím zkontroluje a upraví advokát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6"/>
      <w:szCs w:val="36"/>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2E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Smlouva o zpracování osobních údajů</dc:title>
  <dc:creator>NexusSync Systems s.r.o. — LexisLocal</dc:creator>
  <cp:lastModifiedBy>Un-named</cp:lastModifiedBy>
  <cp:revision>1</cp:revision>
  <dcterms:created xsi:type="dcterms:W3CDTF">2026-10-26T08:49:17.693Z</dcterms:created>
  <dcterms:modified xsi:type="dcterms:W3CDTF">2026-10-26T08:49:17.693Z</dcterms:modified>
</cp:coreProperties>
</file>

<file path=docProps/custom.xml><?xml version="1.0" encoding="utf-8"?>
<Properties xmlns="http://schemas.openxmlformats.org/officeDocument/2006/custom-properties" xmlns:vt="http://schemas.openxmlformats.org/officeDocument/2006/docPropsVTypes"/>
</file>