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Vnitřní pravidla používání umělé inteligence</w:t>
      </w:r>
    </w:p>
    <w:p>
      <w:pPr>
        <w:spacing w:after="240"/>
      </w:pPr>
      <w:r>
        <w:rPr>
          <w:color w:val="595959"/>
          <w:highlight w:val="yellow"/>
        </w:rPr>
        <w:t xml:space="preserve">[doplnit: název kanceláře / advokáta, sídlo, IČO]</w:t>
      </w:r>
      <w:r>
        <w:rPr>
          <w:color w:val="595959"/>
        </w:rPr>
        <w:t xml:space="preserve"> — účinnost od </w:t>
      </w:r>
      <w:r>
        <w:rPr>
          <w:color w:val="595959"/>
          <w:highlight w:val="yellow"/>
        </w:rPr>
        <w:t xml:space="preserve">[doplnit: datum]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 xml:space="preserve">Pravidla doplňte o vazbu na stanoviska ČAK k používání AI (strategie ČAK pro AI, 2026; připravovaná stanoviska Sekce pro AI a nové technologie) a příručku CCBE k generativní AI. Tento dokument je návrh připravený dodavatelem softwaru podle toho, jak LexisLocal 1.2 skutečně funguje. Není to právní rada. Před použitím ho musí zkontrolovat a přizpůsobit advokát (zejména lhůty, právní základy a vztah k předpisům ČAK). Místa označená </w:t>
      </w:r>
      <w:r>
        <w:rPr>
          <w:i/>
          <w:iCs/>
          <w:color w:val="444444"/>
          <w:sz w:val="19"/>
          <w:szCs w:val="19"/>
          <w:highlight w:val="yellow"/>
        </w:rPr>
        <w:t xml:space="preserve">[doplnit: …]</w:t>
      </w:r>
      <w:r>
        <w:rPr>
          <w:i/>
          <w:iCs/>
          <w:color w:val="444444"/>
          <w:sz w:val="19"/>
          <w:szCs w:val="19"/>
        </w:rPr>
        <w:t xml:space="preserve"> vyplní kancelář.</w:t>
      </w:r>
    </w:p>
    <w:p>
      <w:pPr>
        <w:pStyle w:val="Heading1"/>
      </w:pPr>
      <w:r>
        <w:t xml:space="preserve">1. Rozsah</w:t>
      </w:r>
    </w:p>
    <w:p>
      <w:pPr>
        <w:spacing w:after="120"/>
      </w:pPr>
      <w:r>
        <w:t xml:space="preserve">Pravidla platí pro všechny advokáty, koncipienty, asistenty a další osoby, které pro kancelář pracují, a pro všechny nástroje umělé inteligence používané při poskytování právních služeb.</w:t>
      </w:r>
    </w:p>
    <w:p>
      <w:pPr>
        <w:pStyle w:val="Heading1"/>
      </w:pPr>
      <w:r>
        <w:t xml:space="preserve">2. Povolené nástroje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LexisLocal</w:t>
      </w:r>
      <w:r>
        <w:t xml:space="preserve"> (lokální asistenti AI na počítači kanceláře) — schválen pro práci s klientskými daty.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</w:rPr>
        <w:t xml:space="preserve">[doplnit: další schválené nástroje, např. CODEXIS AI jen s anonymizovanou otázkou]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Zakázáno:</w:t>
      </w:r>
      <w:r>
        <w:t xml:space="preserve"> vkládat klientská data, dokumenty ze spisů nebo údaje protistran do veřejných nástrojů AI (ChatGPT, Gemini, Copilot apod.) a do nástrojů, které kancelář neschválila — ani po „anonymizaci“.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Zapnutí cloudového modelu nebo jiné služby mimo kancelář schvaluje </w:t>
      </w:r>
      <w:r>
        <w:rPr>
          <w:highlight w:val="yellow"/>
        </w:rPr>
        <w:t xml:space="preserve">[doplnit: vedoucí advokát]</w:t>
      </w:r>
      <w:r>
        <w:t xml:space="preserve"> po aktualizaci DPIA.</w:t>
      </w:r>
    </w:p>
    <w:p>
      <w:pPr>
        <w:pStyle w:val="Heading1"/>
      </w:pPr>
      <w:r>
        <w:t xml:space="preserve">3. Odpovědnost a kontrola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Výstup AI je </w:t>
      </w:r>
      <w:r>
        <w:rPr>
          <w:b/>
          <w:bCs/>
        </w:rPr>
        <w:t xml:space="preserve">pracovní podklad</w:t>
      </w:r>
      <w:r>
        <w:t xml:space="preserve">. Za každý dokument a radu odpovídá advokát, který je podepisuje nebo předává.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Před použitím projde výstup kontrolním seznamem (ověření paragrafů, judikatury, lhůt, údajů).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Koncipient nebo asistent předává výstup AI advokátovi ke kontrole; klientovi ani soudu ho nepředává sám.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Citace judikatury se ověřuje v plném znění rozhodnutí (ne jen podle výstupu AI).</w:t>
      </w:r>
    </w:p>
    <w:p>
      <w:pPr>
        <w:pStyle w:val="Heading1"/>
      </w:pPr>
      <w:r>
        <w:t xml:space="preserve">4. Komunikace s klientem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Klienti jsou informováni o používání AI (dokument „Jak v kanceláři používáme AI“).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Souhrny stavu věci pro klienta odcházejí jen po schválení advokátem (funkce „Schválit a odeslat“).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Přání klienta, aby se na jeho věci AI nepodílela, se zaznamená do spisu a respektuje.</w:t>
      </w:r>
    </w:p>
    <w:p>
      <w:pPr>
        <w:pStyle w:val="Heading1"/>
      </w:pPr>
      <w:r>
        <w:t xml:space="preserve">5. Přístup a bezpečnost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pracuje pod vlastním účtem; přihlašovací údaje ani spárovaná zařízení se nepůjčují.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Vzdálený přístup jen přes VPN kanceláře; ztrátu zařízení ihned hlásit </w:t>
      </w:r>
      <w:r>
        <w:rPr>
          <w:highlight w:val="yellow"/>
        </w:rPr>
        <w:t xml:space="preserve">[doplnit: komu]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Přístupy do spisů se zaznamenávají (audit čtení) za účelem prokazatelného nakládání se spisy; záznamy nejsou nástrojem hodnocení výkonu.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Zálohy obsahují šifrovací klíč — ukládají se jen na šifrovaný disk, </w:t>
      </w:r>
      <w:r>
        <w:rPr>
          <w:highlight w:val="yellow"/>
        </w:rPr>
        <w:t xml:space="preserve">[doplnit: kde a jak často]</w:t>
      </w:r>
      <w:r>
        <w:t xml:space="preserve">.</w:t>
      </w:r>
    </w:p>
    <w:p>
      <w:pPr>
        <w:pStyle w:val="Heading1"/>
      </w:pPr>
      <w:r>
        <w:t xml:space="preserve">6. Incidenty a chyby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Podezření na únik dat, neoprávněný přístup nebo „pokyny pro AI“ v dokumentech hlásit ihned </w:t>
      </w:r>
      <w:r>
        <w:rPr>
          <w:highlight w:val="yellow"/>
        </w:rPr>
        <w:t xml:space="preserve">[doplnit: odpovědné osobě]</w:t>
      </w:r>
      <w:r>
        <w:t xml:space="preserve">; ta posoudí ohlášení ÚOOÚ do 72 hodin.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Závažnou chybu výstupu AI (vymyšlené rozhodnutí, chybná lhůta) zaznamenat a nahlásit dodavateli k nápravě — bez klientských údajů.</w:t>
      </w:r>
    </w:p>
    <w:p>
      <w:pPr>
        <w:pStyle w:val="Heading1"/>
      </w:pPr>
      <w:r>
        <w:t xml:space="preserve">7. Školení a revize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uživatel absolvuje školení AI gramotnosti před prvním použitím a pak </w:t>
      </w:r>
      <w:r>
        <w:rPr>
          <w:highlight w:val="yellow"/>
        </w:rPr>
        <w:t xml:space="preserve">[doplnit: jednou ročně]</w:t>
      </w:r>
      <w:r>
        <w:t xml:space="preserve"> a při podstatné změně systému.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Pravidla, DPIA a informace pro klienty se revidují </w:t>
      </w:r>
      <w:r>
        <w:rPr>
          <w:highlight w:val="yellow"/>
        </w:rPr>
        <w:t xml:space="preserve">[doplnit: jednou ročně]</w:t>
      </w:r>
      <w:r>
        <w:t xml:space="preserve"> a při zapnutí nové služby.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Skartace: do doplnění automatického kaskádového mazání se při skartaci spisu postupuje podle přehledu „co o spisu zůstává“ v LexisLocalu a protokolu [doplnit].</w:t>
      </w:r>
    </w:p>
    <w:p>
      <w:pPr>
        <w:spacing w:after="120"/>
      </w:pPr>
      <w:r>
        <w:t xml:space="preserve">Schválil/a: </w:t>
      </w:r>
      <w:r>
        <w:rPr>
          <w:highlight w:val="yellow"/>
        </w:rPr>
        <w:t xml:space="preserve">[doplnit: jméno, funkce, datum, podpis]</w:t>
      </w: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6"/>
        <w:szCs w:val="16"/>
      </w:rPr>
      <w:t xml:space="preserve">Vnitřní pravidla používání umělé inteligence · LexisLocal 1.2</w:t>
    </w:r>
    <w:r>
      <w:rPr>
        <w:color w:val="7F7F7F"/>
        <w:sz w:val="16"/>
        <w:szCs w:val="16"/>
      </w:rPr>
      <w:t xml:space="preserve">	strana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6"/>
        <w:szCs w:val="16"/>
      </w:rPr>
      <w:t xml:space="preserve">NÁVRH — před použitím zkontroluje a upraví advokát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Vnitřní pravidla používání umělé inteligence</dc:title>
  <dc:creator>NexusSync Systems s.r.o. — LexisLocal</dc:creator>
  <cp:lastModifiedBy>Un-named</cp:lastModifiedBy>
  <cp:revision>1</cp:revision>
  <dcterms:created xsi:type="dcterms:W3CDTF">2026-10-26T08:49:17.871Z</dcterms:created>
  <dcterms:modified xsi:type="dcterms:W3CDTF">2026-10-26T08:49:17.872Z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