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Souhlas klienta se zpracováním v cloudu</w:t>
      </w:r>
    </w:p>
    <w:p>
      <w:pPr>
        <w:spacing w:after="240"/>
      </w:pPr>
      <w:r>
        <w:rPr>
          <w:color w:val="595959"/>
        </w:rPr>
        <w:t>Vzor A — souhlas pro konkrétní věc · Vzor B — rámcová doložka do smlouvy · Vzor C — odvolání souhlasu · postup v kanceláři</w:t>
      </w:r>
    </w:p>
    <w:p>
      <w:pPr>
        <w:pBdr>
          <w:left w:val="single" w:color="7F7F7F" w:sz="18" w:space="6"/>
        </w:pBdr>
        <w:shd w:fill="F2F2F2" w:color="auto" w:val="clear"/>
        <w:spacing w:after="160" w:before="120"/>
        <w:ind w:left="120"/>
      </w:pPr>
      <w:r>
        <w:rPr>
          <w:i/>
          <w:iCs/>
          <w:color w:val="444444"/>
          <w:sz w:val="19"/>
          <w:szCs w:val="19"/>
        </w:rPr>
        <w:t xml:space="preserve">Kdy se používá: LexisLocal pošle dotaz do cloudového modelu (Claude přes Amazon Bedrock v EU) jen u spisu, který to dovoluje. Spis ve stupni B (výchozí) potřebuje souhlas pro konkrétní věc (vzor A), spis ve stupni C stačí s rámcovým souhlasem ve smlouvě (vzor B), spis ve stupni A do cloudu nejde nikdy. Advokát posoudí, zda jde o souhlas se zpracováním osobních údajů, o zproštění povinnosti mlčenlivosti v potřebném rozsahu (§ 21 odst. 2 zákona o advokacii), nebo o obojí, a podle toho text upraví. </w:t>
      </w:r>
      <w:r>
        <w:rPr>
          <w:i/>
          <w:iCs/>
          <w:color w:val="444444"/>
          <w:sz w:val="19"/>
          <w:szCs w:val="19"/>
          <w:highlight w:val="yellow"/>
        </w:rPr>
        <w:t>[doplnit: posoudí advokát]</w:t>
      </w:r>
      <w:r>
        <w:rPr>
          <w:i/>
          <w:iCs/>
          <w:color w:val="444444"/>
          <w:sz w:val="19"/>
          <w:szCs w:val="19"/>
        </w:rPr>
        <w:t xml:space="preserve"> Tento dokument je návrh připravený dodavatelem softwaru podle toho, jak LexisLocal 1.2 skutečně funguje. Není to právní rada. Před použitím ho musí zkontrolovat a přizpůsobit advokát. Místa označená </w:t>
      </w:r>
      <w:r>
        <w:rPr>
          <w:i/>
          <w:iCs/>
          <w:color w:val="444444"/>
          <w:sz w:val="19"/>
          <w:szCs w:val="19"/>
          <w:highlight w:val="yellow"/>
        </w:rPr>
        <w:t>[doplnit: …]</w:t>
      </w:r>
      <w:r>
        <w:rPr>
          <w:i/>
          <w:iCs/>
          <w:color w:val="444444"/>
          <w:sz w:val="19"/>
          <w:szCs w:val="19"/>
        </w:rPr>
        <w:t xml:space="preserve"> vyplní kancelář.</w:t>
      </w:r>
    </w:p>
    <w:p>
      <w:pPr>
        <w:pStyle w:val="Heading2"/>
      </w:pPr>
      <w:r>
        <w:t>Vzor A — souhlas pro konkrétní věc</w:t>
      </w:r>
    </w:p>
    <w:p>
      <w:pPr>
        <w:spacing w:after="120"/>
      </w:pPr>
      <w:r>
        <w:t xml:space="preserve">Klient: </w:t>
      </w:r>
      <w:r>
        <w:rPr>
          <w:highlight w:val="yellow"/>
        </w:rPr>
        <w:t>[doplnit: jméno / název, datum narození / IČO, adresa]</w:t>
      </w:r>
    </w:p>
    <w:p>
      <w:pPr>
        <w:spacing w:after="120"/>
      </w:pPr>
      <w:r>
        <w:t xml:space="preserve">Advokát: </w:t>
      </w:r>
      <w:r>
        <w:rPr>
          <w:highlight w:val="yellow"/>
        </w:rPr>
        <w:t>[doplnit: jméno, ev. č. ČAK, sídlo]</w:t>
      </w:r>
    </w:p>
    <w:p>
      <w:pPr>
        <w:spacing w:after="120"/>
      </w:pPr>
      <w:r>
        <w:t xml:space="preserve">Věc: </w:t>
      </w:r>
      <w:r>
        <w:rPr>
          <w:highlight w:val="yellow"/>
        </w:rPr>
        <w:t>[doplnit: popis věci, spisová značka kanceláře]</w:t>
      </w:r>
    </w:p>
    <w:p>
      <w:pPr>
        <w:spacing w:after="120"/>
      </w:pPr>
      <w:r>
        <w:t>1. Klient souhlasí, aby advokát při poskytování právních služeb v uvedené věci využil jazykový model Claude (společnost Anthropic) provozovaný službou Amazon Bedrock v datacentrech v Evropské unii, a to v účtu, jehož držitelem je advokát.</w:t>
      </w:r>
    </w:p>
    <w:p>
      <w:pPr>
        <w:spacing w:after="120"/>
      </w:pPr>
      <w:r>
        <w:t>2. Rozsah: použijí se jen podklady z této věci, které jsou pro konkrétní úkol nezbytné (např. rešerše, návrh textu, kontrola dokumentu). Údaje, které advokát vyhodnotí jako zvlášť citlivé, do cloudu nepošle.</w:t>
      </w:r>
    </w:p>
    <w:p>
      <w:pPr>
        <w:spacing w:after="120"/>
      </w:pPr>
      <w:r>
        <w:t>3. Záruky: zpracovatelem je Amazon Web Services EMEA SARL (Lucemburk) na základě smlouvy s advokátem. Zpracování probíhá jen v regionech EU, vstupy a odpovědi se neukládají a nepoužívají k trénování modelů; společnost Anthropic k nim přístup nemá [ověřit podle aktuálních podmínek AWS]. Každý výstup kontroluje advokát, který za právní služby odpovídá.</w:t>
      </w:r>
    </w:p>
    <w:p>
      <w:pPr>
        <w:spacing w:after="120"/>
      </w:pPr>
      <w:r>
        <w:t>4. Poučení o riziku: skupina AWS má sídlo v USA. Nelze zcela vyloučit, že orgány USA požádají poskytovatele o přístup k datům (tzv. CLOUD Act). Toto riziko snižuje zpracování v EU bez ukládání dat a omezený rozsah podkladů.</w:t>
      </w:r>
    </w:p>
    <w:p>
      <w:pPr>
        <w:spacing w:after="120"/>
      </w:pPr>
      <w:r>
        <w:t>5. Souhlas je dobrovolný. Jeho odmítnutí nemá vliv na poskytování právních služeb ani na odměnu advokáta. Klient může souhlas kdykoli odvolat e-mailem, telefonicky nebo písemně; odvolání je účinné okamžikem, kdy se o něm advokát dozví, a nedotýká se zpracování provedeného předtím.</w:t>
      </w:r>
    </w:p>
    <w:p>
      <w:pPr>
        <w:spacing w:after="120"/>
      </w:pPr>
      <w:r>
        <w:t>6. Souhlas platí do skončení poskytování právních služeb v této věci, nebo do jeho odvolání.</w:t>
      </w:r>
    </w:p>
    <w:p>
      <w:pPr>
        <w:spacing w:after="120"/>
      </w:pPr>
      <w:r>
        <w:t>☐ souhlasím     ☐ nesouhlasím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after="600" w:before="360"/>
            </w:pPr>
            <w:r>
              <w:t xml:space="preserve">V </w:t>
            </w:r>
            <w:r>
              <w:rPr>
                <w:highlight w:val="yellow"/>
              </w:rPr>
              <w:t>[doplnit: místo]</w:t>
            </w:r>
            <w:r>
              <w:t xml:space="preserve"> dne </w:t>
            </w:r>
            <w:r>
              <w:rPr>
                <w:highlight w:val="yellow"/>
              </w:rPr>
              <w:t>[doplnit: datum]</w:t>
            </w:r>
          </w:p>
          <w:p>
            <w:r>
              <w:t>……………………………………</w:t>
            </w:r>
          </w:p>
          <w:p>
            <w:r>
              <w:rPr/>
              <w:t>Klient</w:t>
            </w:r>
          </w:p>
          <w:p>
            <w:r>
              <w:rPr>
                <w:highlight w:val="yellow"/>
              </w:rPr>
              <w:t>[doplnit: jméno]</w:t>
            </w:r>
          </w:p>
        </w:tc>
        <w:tc>
          <w:tcPr>
            <w:tcW w:type="dxa" w:w="4513"/>
          </w:tcPr>
          <w:p>
            <w:pPr>
              <w:spacing w:after="600" w:before="360"/>
            </w:pPr>
            <w:r>
              <w:t xml:space="preserve">V </w:t>
            </w:r>
            <w:r>
              <w:rPr>
                <w:highlight w:val="yellow"/>
              </w:rPr>
              <w:t>[doplnit: místo]</w:t>
            </w:r>
            <w:r>
              <w:t xml:space="preserve"> dne </w:t>
            </w:r>
            <w:r>
              <w:rPr>
                <w:highlight w:val="yellow"/>
              </w:rPr>
              <w:t>[doplnit: datum]</w:t>
            </w:r>
          </w:p>
          <w:p>
            <w:r>
              <w:t>……………………………………</w:t>
            </w:r>
          </w:p>
          <w:p>
            <w:r>
              <w:rPr/>
              <w:t>Advokát</w:t>
            </w:r>
          </w:p>
          <w:p>
            <w:r>
              <w:rPr>
                <w:highlight w:val="yellow"/>
              </w:rPr>
              <w:t>[doplnit: jméno]</w:t>
            </w:r>
          </w:p>
        </w:tc>
      </w:tr>
    </w:tbl>
    <w:p>
      <w:pPr>
        <w:spacing w:after="120" w:before="160"/>
      </w:pPr>
      <w:r>
        <w:t xml:space="preserve">Záznam kanceláře: souhlas zaznamenán v LexisLocalu (typ „pro tento spis“) dne </w:t>
      </w:r>
      <w:r>
        <w:rPr>
          <w:highlight w:val="yellow"/>
        </w:rPr>
        <w:t>[doplnit]</w:t>
      </w:r>
      <w:r>
        <w:t xml:space="preserve"> — zaznamenal/a </w:t>
      </w:r>
      <w:r>
        <w:rPr>
          <w:highlight w:val="yellow"/>
        </w:rPr>
        <w:t>[doplnit]</w:t>
      </w:r>
      <w:r>
        <w:t>; doklad založen ve spisu.</w:t>
      </w:r>
    </w:p>
    <w:p>
      <w:pPr>
        <w:pStyle w:val="Heading2"/>
      </w:pPr>
      <w:r>
        <w:t>Vzor B — rámcová doložka do smlouvy o poskytování právních služeb</w:t>
      </w:r>
    </w:p>
    <w:p>
      <w:pPr>
        <w:pBdr>
          <w:left w:val="single" w:color="7F7F7F" w:sz="18" w:space="6"/>
        </w:pBdr>
        <w:shd w:fill="F2F2F2" w:color="auto" w:val="clear"/>
        <w:spacing w:after="160" w:before="120"/>
        <w:ind w:left="120"/>
      </w:pPr>
      <w:r>
        <w:rPr>
          <w:i/>
          <w:iCs/>
          <w:color w:val="444444"/>
          <w:sz w:val="19"/>
          <w:szCs w:val="19"/>
        </w:rPr>
        <w:t>Použijte jen tehdy, pokud kancelář cloud používá. Rámcový souhlas LexisLocal uplatní jen u spisů, které advokát zařadí do stupně C; u spisů ve stupni B je dál potřeba souhlas podle vzoru A.</w:t>
      </w:r>
    </w:p>
    <w:p>
      <w:pPr>
        <w:spacing w:after="120"/>
      </w:pPr>
      <w:r>
        <w:t>„Klient souhlasí, aby advokát v nezbytném rozsahu využil k přípravě podkladů též jazykový model provozovaný v datacentrech v Evropské unii službou Amazon Bedrock (zpracovatel Amazon Web Services EMEA SARL), a to pouze v účtu advokáta, bez ukládání vstupů a bez jejich použití k trénování modelů. Advokát tento nástroj nepoužije u věcí a údajů, které vyhodnotí jako zvlášť citlivé. Klient byl poučen o možném přístupu orgánů třetích zemí k údajům u poskytovatele. Souhlas je dobrovolný a lze jej kdykoli odvolat; odvolání se nedotýká zpracování provedeného před ním.“</w:t>
      </w:r>
    </w:p>
    <w:p>
      <w:pPr>
        <w:pStyle w:val="Heading2"/>
      </w:pPr>
      <w:r>
        <w:t>Vzor C — odvolání souhlasu</w:t>
      </w:r>
    </w:p>
    <w:p>
      <w:pPr>
        <w:spacing w:after="120"/>
      </w:pPr>
      <w:r>
        <w:t xml:space="preserve">Klient </w:t>
      </w:r>
      <w:r>
        <w:rPr>
          <w:highlight w:val="yellow"/>
        </w:rPr>
        <w:t>[doplnit: jméno / název]</w:t>
      </w:r>
      <w:r>
        <w:t xml:space="preserve"> odvolává souhlas s využitím cloudového jazykového modelu ☐ ve věci </w:t>
      </w:r>
      <w:r>
        <w:rPr>
          <w:highlight w:val="yellow"/>
        </w:rPr>
        <w:t>[doplnit: věc / spisová značka]</w:t>
      </w:r>
      <w:r>
        <w:t xml:space="preserve"> ☐ ve všech věcech (rámcový souhlas ve smlouvě ze dne </w:t>
      </w:r>
      <w:r>
        <w:rPr>
          <w:highlight w:val="yellow"/>
        </w:rPr>
        <w:t>[doplnit]</w:t>
      </w:r>
      <w:r>
        <w:t>).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after="600" w:before="360"/>
            </w:pPr>
            <w:r>
              <w:t xml:space="preserve">V </w:t>
            </w:r>
            <w:r>
              <w:rPr>
                <w:highlight w:val="yellow"/>
              </w:rPr>
              <w:t>[doplnit: místo]</w:t>
            </w:r>
            <w:r>
              <w:t xml:space="preserve"> dne </w:t>
            </w:r>
            <w:r>
              <w:rPr>
                <w:highlight w:val="yellow"/>
              </w:rPr>
              <w:t>[doplnit: datum]</w:t>
            </w:r>
          </w:p>
          <w:p>
            <w:r>
              <w:t>……………………………………</w:t>
            </w:r>
          </w:p>
          <w:p>
            <w:r>
              <w:rPr/>
              <w:t>Klient</w:t>
            </w:r>
          </w:p>
          <w:p>
            <w:r>
              <w:rPr>
                <w:highlight w:val="yellow"/>
              </w:rPr>
              <w:t>[doplnit: jméno]</w:t>
            </w:r>
          </w:p>
        </w:tc>
        <w:tc>
          <w:tcPr>
            <w:tcW w:type="dxa" w:w="4513"/>
          </w:tcPr>
          <w:p>
            <w:pPr>
              <w:spacing w:after="600" w:before="360"/>
            </w:pPr>
            <w:r>
              <w:t xml:space="preserve">Přijato dne </w:t>
            </w:r>
            <w:r>
              <w:rPr>
                <w:highlight w:val="yellow"/>
              </w:rPr>
              <w:t>[doplnit: datum]</w:t>
            </w:r>
            <w:r>
              <w:t xml:space="preserve"> v </w:t>
            </w:r>
            <w:r>
              <w:rPr>
                <w:highlight w:val="yellow"/>
              </w:rPr>
              <w:t>[doplnit: čas]</w:t>
            </w:r>
          </w:p>
          <w:p>
            <w:r>
              <w:t>……………………………………</w:t>
            </w:r>
          </w:p>
          <w:p>
            <w:r>
              <w:rPr/>
              <w:t>Za kancelář</w:t>
            </w:r>
          </w:p>
          <w:p>
            <w:r>
              <w:rPr>
                <w:highlight w:val="yellow"/>
              </w:rPr>
              <w:t>[doplnit: jméno]</w:t>
            </w:r>
          </w:p>
        </w:tc>
      </w:tr>
    </w:tbl>
    <w:p>
      <w:pPr>
        <w:spacing w:after="120" w:before="160"/>
      </w:pPr>
      <w:r>
        <w:t>Odvolání lze přijmout i ústně nebo e-mailem; pracovník, který ho přijal, ho ihned zaznamená v LexisLocalu ke spisu (smí každý uživatel) a připojí záznam o tom, jak a kdy bylo učiněno.</w:t>
      </w:r>
    </w:p>
    <w:p>
      <w:pPr>
        <w:pStyle w:val="Heading2"/>
      </w:pPr>
      <w:r>
        <w:t>Postup v kanceláři</w:t>
      </w:r>
    </w:p>
    <w:p>
      <w:pPr>
        <w:pStyle w:val="ListParagraph"/>
        <w:numPr>
          <w:ilvl w:val="0"/>
          <w:numId w:val="2"/>
        </w:numPr>
        <w:spacing w:after="60"/>
      </w:pPr>
      <w:r>
        <w:t>Při založení spisu advokát zkontroluje stupeň citlivosti (výchozí B; trestní obhajoba, zdravotní údaje, nezletilí apod. vždy A).</w:t>
      </w:r>
    </w:p>
    <w:p>
      <w:pPr>
        <w:pStyle w:val="ListParagraph"/>
        <w:numPr>
          <w:ilvl w:val="0"/>
          <w:numId w:val="2"/>
        </w:numPr>
        <w:spacing w:after="60"/>
      </w:pPr>
      <w:r>
        <w:t>Pokud chce u věci použít cloud: u stupně B získá souhlas podle vzoru A; u stupně C stačí rámcový souhlas ve smlouvě (vzor B).</w:t>
      </w:r>
    </w:p>
    <w:p>
      <w:pPr>
        <w:pStyle w:val="ListParagraph"/>
        <w:numPr>
          <w:ilvl w:val="0"/>
          <w:numId w:val="2"/>
        </w:numPr>
        <w:spacing w:after="60"/>
      </w:pPr>
      <w:r>
        <w:t>Souhlas zaznamená v LexisLocalu advokát (typ „pro tento spis“ nebo „rámcový“) s poznámkou, jak byl udělen. Záznam se zapíše do deníku spisu a do auditu. V LexisLocalu: Spisová služba → spis → panel „Cloudová AI“.</w:t>
      </w:r>
    </w:p>
    <w:p>
      <w:pPr>
        <w:pStyle w:val="ListParagraph"/>
        <w:numPr>
          <w:ilvl w:val="0"/>
          <w:numId w:val="2"/>
        </w:numPr>
        <w:spacing w:after="60"/>
      </w:pPr>
      <w:r>
        <w:t>Od té chvíle LexisLocal posílá dotazy k tomuto spisu do cloudu; každé odeslání je v deníku spisu („Dotaz asistenta zpracován v cloudu“).</w:t>
      </w:r>
    </w:p>
    <w:p>
      <w:pPr>
        <w:pStyle w:val="ListParagraph"/>
        <w:numPr>
          <w:ilvl w:val="0"/>
          <w:numId w:val="2"/>
        </w:numPr>
        <w:spacing w:after="60"/>
      </w:pPr>
      <w:r>
        <w:t>Odvolání se zaznamená ihned; další dotazy ke spisu zpracuje lokální model.</w:t>
      </w:r>
    </w:p>
    <w:sectPr>
      <w:headerReference w:type="default" r:id="rId6"/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F7F7F"/>
        <w:sz w:val="16"/>
        <w:szCs w:val="16"/>
      </w:rPr>
      <w:t>Souhlas klienta se zpracováním v cloudu · LexisLocal 1.2</w:t>
    </w:r>
    <w:r>
      <w:rPr>
        <w:color w:val="7F7F7F"/>
        <w:sz w:val="16"/>
        <w:szCs w:val="16"/>
      </w:rPr>
      <w:t xml:space="preserve">	strana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C00000"/>
        <w:sz w:val="16"/>
        <w:szCs w:val="16"/>
      </w:rPr>
      <w:t xml:space="preserve">NÁVRH — před použitím zkontroluje a upraví advokát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549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Souhlas klienta se zpracováním v cloudu</dc:title>
  <dc:creator>NexusSync Systems s.r.o. — LexisLocal</dc:creator>
  <cp:lastModifiedBy>Un-named</cp:lastModifiedBy>
  <cp:revision>1</cp:revision>
  <dcterms:created xsi:type="dcterms:W3CDTF">2026-10-26T08:49:17.792Z</dcterms:created>
  <dcterms:modified xsi:type="dcterms:W3CDTF">2026-10-26T08:49:17.792Z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