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Jak v kanceláři používáme umělou inteligenci</w:t>
      </w:r>
    </w:p>
    <w:p>
      <w:pPr>
        <w:spacing w:after="240"/>
      </w:pPr>
      <w:r>
        <w:rPr>
          <w:color w:val="595959"/>
        </w:rPr>
        <w:t xml:space="preserve">Informace pro klienty — doplněk k informacím o zpracování osobních údajů</w:t>
      </w:r>
    </w:p>
    <w:p>
      <w:pPr>
        <w:pBdr>
          <w:left w:val="single" w:color="7F7F7F" w:sz="18" w:space="6"/>
        </w:pBdr>
        <w:shd w:fill="F2F2F2" w:color="auto" w:val="clear"/>
        <w:spacing w:after="160" w:before="120"/>
        <w:ind w:left="120"/>
      </w:pPr>
      <w:r>
        <w:rPr>
          <w:i/>
          <w:iCs/>
          <w:color w:val="444444"/>
          <w:sz w:val="19"/>
          <w:szCs w:val="19"/>
        </w:rPr>
        <w:t xml:space="preserve">Lze předat klientovi samostatně, připojit k plné moci / smlouvě o poskytování právních služeb nebo zveřejnit na webu kanceláře. Tento dokument je návrh připravený dodavatelem softwaru podle toho, jak LexisLocal 1.2 skutečně funguje. Není to právní rada. Před použitím ho musí zkontrolovat a přizpůsobit advokát (zejména lhůty, právní základy a vztah k předpisům ČAK). Místa označená </w:t>
      </w:r>
      <w:r>
        <w:rPr>
          <w:i/>
          <w:iCs/>
          <w:color w:val="444444"/>
          <w:sz w:val="19"/>
          <w:szCs w:val="19"/>
          <w:highlight w:val="yellow"/>
        </w:rPr>
        <w:t xml:space="preserve">[doplnit: …]</w:t>
      </w:r>
      <w:r>
        <w:rPr>
          <w:i/>
          <w:iCs/>
          <w:color w:val="444444"/>
          <w:sz w:val="19"/>
          <w:szCs w:val="19"/>
        </w:rPr>
        <w:t xml:space="preserve"> vyplní kancelář.</w:t>
      </w:r>
    </w:p>
    <w:p>
      <w:pPr>
        <w:spacing w:after="120"/>
      </w:pPr>
      <w:r>
        <w:t xml:space="preserve">Kancelář </w:t>
      </w:r>
      <w:r>
        <w:rPr>
          <w:highlight w:val="yellow"/>
        </w:rPr>
        <w:t xml:space="preserve">[doplnit: název kanceláře / advokáta, sídlo, IČO]</w:t>
      </w:r>
      <w:r>
        <w:t xml:space="preserve"> při práci používá systém LexisLocal s asistenty založenými na umělé inteligenci. Chceme, abyste věděli, co to znamená pro vás a vaše údaje.</w:t>
      </w:r>
    </w:p>
    <w:p>
      <w:pPr>
        <w:pStyle w:val="Heading2"/>
      </w:pPr>
      <w:r>
        <w:t xml:space="preserve">Co AI v kanceláři dělá</w:t>
      </w:r>
    </w:p>
    <w:p>
      <w:pPr>
        <w:pStyle w:val="ListParagraph"/>
        <w:numPr>
          <w:ilvl w:val="0"/>
          <w:numId w:val="2"/>
        </w:numPr>
        <w:spacing w:after="60"/>
      </w:pPr>
      <w:r>
        <w:t xml:space="preserve">pomáhá vyhledat související ustanovení zákonů a soudní rozhodnutí,</w:t>
      </w:r>
    </w:p>
    <w:p>
      <w:pPr>
        <w:pStyle w:val="ListParagraph"/>
        <w:numPr>
          <w:ilvl w:val="0"/>
          <w:numId w:val="2"/>
        </w:numPr>
        <w:spacing w:after="60"/>
      </w:pPr>
      <w:r>
        <w:t xml:space="preserve">připravuje první návrhy textů (dopisy, podání) a kontroluje smlouvy, lhůty a pravopis,</w:t>
      </w:r>
    </w:p>
    <w:p>
      <w:pPr>
        <w:pStyle w:val="ListParagraph"/>
        <w:numPr>
          <w:ilvl w:val="0"/>
          <w:numId w:val="2"/>
        </w:numPr>
        <w:spacing w:after="60"/>
      </w:pPr>
      <w:r>
        <w:t xml:space="preserve">třídí doručenou poštu a upozorňuje na lhůty.</w:t>
      </w:r>
    </w:p>
    <w:p>
      <w:pPr>
        <w:pStyle w:val="Heading2"/>
      </w:pPr>
      <w:r>
        <w:t xml:space="preserve">Co AI nedělá</w:t>
      </w:r>
    </w:p>
    <w:p>
      <w:pPr>
        <w:pStyle w:val="ListParagraph"/>
        <w:numPr>
          <w:ilvl w:val="0"/>
          <w:numId w:val="2"/>
        </w:numPr>
        <w:spacing w:after="60"/>
      </w:pPr>
      <w:r>
        <w:t xml:space="preserve">nerozhoduje o vaší věci a neposkytuje vám právní rady — </w:t>
      </w:r>
      <w:r>
        <w:rPr>
          <w:b/>
          <w:bCs/>
        </w:rPr>
        <w:t xml:space="preserve">každý výstup AI kontroluje a za výsledek odpovídá advokát</w:t>
      </w:r>
      <w:r>
        <w:t xml:space="preserve">,</w:t>
      </w:r>
    </w:p>
    <w:p>
      <w:pPr>
        <w:pStyle w:val="ListParagraph"/>
        <w:numPr>
          <w:ilvl w:val="0"/>
          <w:numId w:val="2"/>
        </w:numPr>
        <w:spacing w:after="60"/>
      </w:pPr>
      <w:r>
        <w:t xml:space="preserve">neposílá vám nic sama — zprávy o stavu věci vám odchází až po schválení advokátem.</w:t>
      </w:r>
    </w:p>
    <w:p>
      <w:pPr>
        <w:pStyle w:val="Heading2"/>
      </w:pPr>
      <w:r>
        <w:t xml:space="preserve">Vaše údaje zůstávají v kanceláři</w:t>
      </w:r>
    </w:p>
    <w:p>
      <w:pPr>
        <w:pStyle w:val="ListParagraph"/>
        <w:numPr>
          <w:ilvl w:val="0"/>
          <w:numId w:val="2"/>
        </w:numPr>
        <w:spacing w:after="60"/>
      </w:pPr>
      <w:r>
        <w:t>Ve výchozím nastavení běží asistenti AI na počítači kanceláře. Vaše dokumenty a údaje se neposílají do veřejných služeb AI (např. ChatGPT) a nepoužívají se k trénování modelů.</w:t>
      </w:r>
    </w:p>
    <w:p>
      <w:pPr>
        <w:pStyle w:val="ListParagraph"/>
        <w:numPr>
          <w:ilvl w:val="0"/>
          <w:numId w:val="2"/>
        </w:numPr>
        <w:spacing w:after="60"/>
      </w:pPr>
      <w:r>
        <w:t xml:space="preserve">Data jsou šifrovaná a přístup k vašemu spisu mají jen pověření pracovníci kanceláře; každý přístup se zaznamenává.</w:t>
      </w:r>
    </w:p>
    <w:p>
      <w:pPr>
        <w:pStyle w:val="ListParagraph"/>
        <w:numPr>
          <w:ilvl w:val="0"/>
          <w:numId w:val="2"/>
        </w:numPr>
        <w:spacing w:after="60"/>
      </w:pPr>
      <w:r>
        <w:t xml:space="preserve">Vaše údaje dál chrání povinnost mlčenlivosti advokáta.</w:t>
      </w:r>
    </w:p>
    <w:p>
      <w:pPr>
        <w:pStyle w:val="ListParagraph"/>
        <w:numPr>
          <w:ilvl w:val="0"/>
          <w:numId w:val="2"/>
        </w:numPr>
        <w:spacing w:after="60"/>
      </w:pPr>
      <w:r>
        <w:rPr>
          <w:highlight w:val="yellow"/>
        </w:rPr>
        <w:t>[Varianta pro kancelář, která cloudový model používá — jinak tento a další tři body vypusťte.]</w:t>
      </w:r>
      <w:r>
        <w:rPr/>
        <w:t xml:space="preserve"> U některých úkolů může kancelář použít výkonnější jazykový model Claude (společnost Anthropic) provozovaný službou Amazon Bedrock v datacentrech v Evropské unii, ve vlastním účtu kanceláře. Údaje z vaší věci se takto zpracují jen s vaším souhlasem; ve zvlášť citlivých věcech (např. trestní obhajoba, zdravotní údaje) nikdy.</w:t>
      </w:r>
    </w:p>
    <w:p>
      <w:pPr>
        <w:pStyle w:val="ListParagraph"/>
        <w:numPr>
          <w:ilvl w:val="0"/>
          <w:numId w:val="2"/>
        </w:numPr>
        <w:spacing w:after="60"/>
      </w:pPr>
      <w:r>
        <w:rPr/>
        <w:t>Amazon Web Services EMEA SARL (Lucemburk) je v takovém případě zpracovatelem kanceláře. Vstupy a odpovědi se podle smluvních podmínek AWS neukládají a nepoužívají k trénování modelů.</w:t>
      </w:r>
    </w:p>
    <w:p>
      <w:pPr>
        <w:pStyle w:val="ListParagraph"/>
        <w:numPr>
          <w:ilvl w:val="0"/>
          <w:numId w:val="2"/>
        </w:numPr>
        <w:spacing w:after="60"/>
      </w:pPr>
      <w:r>
        <w:rPr/>
        <w:t>Skupina AWS má sídlo v USA. Nelze proto zcela vyloučit žádost amerických úřadů o přístup k datům (tzv. CLOUD Act). I proto se cloud použije jen s vaším souhlasem a jen v rozsahu potřebném pro konkrétní úkol.</w:t>
      </w:r>
    </w:p>
    <w:p>
      <w:pPr>
        <w:pStyle w:val="ListParagraph"/>
        <w:numPr>
          <w:ilvl w:val="0"/>
          <w:numId w:val="2"/>
        </w:numPr>
        <w:spacing w:after="60"/>
      </w:pPr>
      <w:r>
        <w:rPr/>
        <w:t>Souhlas můžete kdykoli odvolat (stačí e-mail nebo telefonát advokátovi); od té chvíle se vaše věc zpracovává jen na počítači kanceláře. Na kvalitu právních služeb nemá odmítnutí cloudu vliv.</w:t>
      </w:r>
    </w:p>
    <w:p>
      <w:pPr>
        <w:pStyle w:val="Heading2"/>
      </w:pPr>
      <w:r>
        <w:t xml:space="preserve">Označení textů od AI</w:t>
      </w:r>
    </w:p>
    <w:p>
      <w:pPr>
        <w:spacing w:after="120"/>
      </w:pPr>
      <w:r>
        <w:t xml:space="preserve">Texty, které vytvořila umělá inteligence, jsou v systému označené. Pokud vám kancelář předá dokument, na jehož přípravě se AI podílela, prošel kontrolou advokáta.</w:t>
      </w:r>
    </w:p>
    <w:p>
      <w:pPr>
        <w:pStyle w:val="Heading2"/>
      </w:pPr>
      <w:r>
        <w:t xml:space="preserve">Vaše práva</w:t>
      </w:r>
    </w:p>
    <w:p>
      <w:pPr>
        <w:spacing w:after="120"/>
      </w:pPr>
      <w:r>
        <w:t xml:space="preserve">Máte práva podle GDPR (přístup, oprava, výmaz, omezení, námitka, stížnost u Úřadu pro ochranu osobních údajů) — podrobnosti v našich informacích o zpracování osobních údajů </w:t>
      </w:r>
      <w:r>
        <w:rPr>
          <w:highlight w:val="yellow"/>
        </w:rPr>
        <w:t xml:space="preserve">[doplnit: odkaz]</w:t>
      </w:r>
      <w:r>
        <w:t xml:space="preserve">. Pokud si nepřejete, aby se na vaší věci podílely nástroje AI, řekněte nám to; </w:t>
      </w:r>
      <w:r>
        <w:rPr>
          <w:highlight w:val="yellow"/>
        </w:rPr>
        <w:t xml:space="preserve">[doplnit: jak kancelář takové přání respektuje]</w:t>
      </w:r>
      <w:r>
        <w:t xml:space="preserve">.</w:t>
      </w:r>
    </w:p>
    <w:p>
      <w:pPr>
        <w:pStyle w:val="Heading2"/>
      </w:pPr>
      <w:r>
        <w:t xml:space="preserve">Kontakt</w:t>
      </w:r>
    </w:p>
    <w:p>
      <w:pPr>
        <w:spacing w:after="120"/>
      </w:pPr>
      <w:r>
        <w:rPr>
          <w:highlight w:val="yellow"/>
        </w:rPr>
        <w:t xml:space="preserve">[doplnit: jméno, e-mail, telefon]</w:t>
      </w:r>
    </w:p>
    <w:p>
      <w:pPr>
        <w:pStyle w:val="Heading2"/>
      </w:pPr>
      <w:r>
        <w:t xml:space="preserve">Doložka do smlouvy / plné moci (volitelně)</w:t>
      </w:r>
    </w:p>
    <w:p>
      <w:pPr>
        <w:pBdr>
          <w:left w:val="single" w:color="7F7F7F" w:sz="18" w:space="6"/>
        </w:pBdr>
        <w:shd w:fill="F2F2F2" w:color="auto" w:val="clear"/>
        <w:spacing w:after="160" w:before="120"/>
        <w:ind w:left="120"/>
      </w:pPr>
      <w:r>
        <w:rPr>
          <w:i/>
          <w:iCs/>
          <w:color w:val="444444"/>
          <w:sz w:val="19"/>
          <w:szCs w:val="19"/>
        </w:rPr>
        <w:t xml:space="preserve">„Klient bere na vědomí, že advokát při poskytování právních služeb využívá nástroje umělé inteligence provozované na zařízeních advokáta, a to pouze jako podpůrný prostředek; výstupy kontroluje advokát, který za poskytnuté právní služby odpovídá. Údaje klienta se nepředávají veřejným službám umělé inteligence.“</w:t>
      </w:r>
    </w:p>
    <w:p>
      <w:pPr>
        <w:pBdr>
          <w:left w:val="single" w:color="7F7F7F" w:sz="18" w:space="6"/>
        </w:pBdr>
        <w:shd w:fill="F2F2F2" w:color="auto" w:val="clear"/>
        <w:spacing w:after="160" w:before="120"/>
        <w:ind w:left="120"/>
      </w:pPr>
      <w:r>
        <w:rPr>
          <w:i/>
          <w:iCs/>
          <w:color w:val="444444"/>
          <w:sz w:val="19"/>
          <w:szCs w:val="19"/>
        </w:rPr>
        <w:t>Varianta s rámcovým souhlasem s cloudem (použijte jen tehdy, pokud kancelář cloud používá; samostatný souhlas pro jednu věc je ve vzoru 7):</w:t>
      </w:r>
    </w:p>
    <w:p>
      <w:pPr>
        <w:pBdr>
          <w:left w:val="single" w:color="7F7F7F" w:sz="18" w:space="6"/>
        </w:pBdr>
        <w:shd w:fill="F2F2F2" w:color="auto" w:val="clear"/>
        <w:spacing w:after="160" w:before="120"/>
        <w:ind w:left="120"/>
      </w:pPr>
      <w:r>
        <w:rPr>
          <w:i/>
          <w:iCs/>
          <w:color w:val="444444"/>
          <w:sz w:val="19"/>
          <w:szCs w:val="19"/>
        </w:rPr>
        <w:t>„Klient souhlasí, aby advokát v nezbytném rozsahu využil k přípravě podkladů též jazykový model provozovaný v datacentrech v Evropské unii službou Amazon Bedrock (zpracovatel Amazon Web Services EMEA SARL), a to pouze v účtu advokáta, bez ukládání vstupů a bez jejich použití k trénování modelů. Advokát tento nástroj nepoužije u údajů, které vyhodnotí jako zvlášť citlivé. Klient byl poučen o možném přístupu orgánů třetích zemí k údajům u poskytovatele. Souhlas lze kdykoli odvolat; odvolání se nedotýká zpracování provedeného před ním.“</w:t>
      </w:r>
    </w:p>
    <w:sectPr>
      <w:headerReference w:type="default" r:id="rId6"/>
      <w:footerReference w:type="default" r:id="rId7"/>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F7F7F"/>
        <w:sz w:val="16"/>
        <w:szCs w:val="16"/>
      </w:rPr>
      <w:t xml:space="preserve">Jak v kanceláři používáme umělou inteligenci · LexisLocal 1.2</w:t>
    </w:r>
    <w:r>
      <w:rPr>
        <w:color w:val="7F7F7F"/>
        <w:sz w:val="16"/>
        <w:szCs w:val="16"/>
      </w:rPr>
      <w:t xml:space="preserve">	strana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C00000"/>
        <w:sz w:val="16"/>
        <w:szCs w:val="16"/>
      </w:rPr>
      <w:t xml:space="preserve">NÁVRH — před použitím zkontroluje a upraví advokát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864"/>
      <w:sz w:val="36"/>
      <w:szCs w:val="36"/>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6"/>
      <w:szCs w:val="26"/>
    </w:rPr>
  </w:style>
  <w:style w:type="paragraph" w:styleId="Heading2">
    <w:name w:val="Heading 2"/>
    <w:basedOn w:val="Normal"/>
    <w:next w:val="Normal"/>
    <w:qFormat/>
    <w:pPr>
      <w:spacing w:after="80" w:before="200"/>
      <w:outlineLvl w:val="1"/>
    </w:pPr>
    <w:rPr>
      <w:rFonts w:ascii="Calibri" w:cs="Calibri" w:eastAsia="Calibri" w:hAnsi="Calibri"/>
      <w:b/>
      <w:bCs/>
      <w:color w:val="2E549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Jak v kanceláři používáme umělou inteligenci</dc:title>
  <dc:creator>NexusSync Systems s.r.o. — LexisLocal</dc:creator>
  <cp:lastModifiedBy>Un-named</cp:lastModifiedBy>
  <cp:revision>1</cp:revision>
  <dcterms:created xsi:type="dcterms:W3CDTF">2026-10-26T08:49:17.792Z</dcterms:created>
  <dcterms:modified xsi:type="dcterms:W3CDTF">2026-10-26T08:49:17.792Z</dcterms:modified>
</cp:coreProperties>
</file>

<file path=docProps/custom.xml><?xml version="1.0" encoding="utf-8"?>
<Properties xmlns="http://schemas.openxmlformats.org/officeDocument/2006/custom-properties" xmlns:vt="http://schemas.openxmlformats.org/officeDocument/2006/docPropsVTypes"/>
</file>