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Vnitřní pravidla používání umělé inteligence</w:t>
      </w:r>
    </w:p>
    <w:p>
      <w:pPr>
        <w:spacing w:after="240"/>
      </w:pPr>
      <w:r>
        <w:rPr>
          <w:color w:val="595959"/>
          <w:highlight w:val="yellow"/>
        </w:rPr>
        <w:t xml:space="preserve">[doplnit: název kanceláře / advokáta, sídlo, IČO]</w:t>
      </w:r>
      <w:r>
        <w:rPr>
          <w:color w:val="595959"/>
        </w:rPr>
        <w:t xml:space="preserve"> — účinnost od </w:t>
      </w:r>
      <w:r>
        <w:rPr>
          <w:color w:val="595959"/>
          <w:highlight w:val="yellow"/>
        </w:rPr>
        <w:t xml:space="preserve">[doplnit: datum]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 xml:space="preserve">Pravidla doplňte o vazbu na stanoviska ČAK k používání AI (strategie ČAK pro AI, 2026; připravovaná stanoviska Sekce pro AI a nové technologie) a příručku CCBE k generativní AI. Tento dokument je návrh připravený dodavatelem softwaru podle toho, jak LexisLocal 1.2 skutečně funguje. Není to právní rada. Před použitím ho musí zkontrolovat a přizpůsobit advokát (zejména lhůty, právní základy a vztah k předpisům ČAK). Místa označená </w:t>
      </w:r>
      <w:r>
        <w:rPr>
          <w:i/>
          <w:iCs/>
          <w:color w:val="444444"/>
          <w:sz w:val="19"/>
          <w:szCs w:val="19"/>
          <w:highlight w:val="yellow"/>
        </w:rPr>
        <w:t xml:space="preserve">[doplnit: …]</w:t>
      </w:r>
      <w:r>
        <w:rPr>
          <w:i/>
          <w:iCs/>
          <w:color w:val="444444"/>
          <w:sz w:val="19"/>
          <w:szCs w:val="19"/>
        </w:rPr>
        <w:t xml:space="preserve"> vyplní kancelář.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b/>
          <w:i/>
          <w:iCs/>
          <w:color w:val="444444"/>
          <w:sz w:val="19"/>
          <w:szCs w:val="19"/>
        </w:rPr>
        <w:t>Aktualizace 27. 10. 2026:</w:t>
      </w:r>
      <w:r>
        <w:rPr>
          <w:i/>
          <w:iCs/>
          <w:color w:val="444444"/>
          <w:sz w:val="19"/>
          <w:szCs w:val="19"/>
        </w:rPr>
        <w:t xml:space="preserve"> doplněn oddíl 2a (klasifikace spisů a cloudový model), rozpočet cloudu a zákaz přímého API poskytovatelů modelů.</w:t>
      </w:r>
    </w:p>
    <w:p>
      <w:pPr>
        <w:pStyle w:val="Heading1"/>
      </w:pPr>
      <w:r>
        <w:t xml:space="preserve">1. Rozsah</w:t>
      </w:r>
    </w:p>
    <w:p>
      <w:pPr>
        <w:spacing w:after="120"/>
      </w:pPr>
      <w:r>
        <w:t xml:space="preserve">Pravidla platí pro všechny advokáty, koncipienty, asistenty a další osoby, které pro kancelář pracují, a pro všechny nástroje umělé inteligence používané při poskytování právních služeb.</w:t>
      </w:r>
    </w:p>
    <w:p>
      <w:pPr>
        <w:pStyle w:val="Heading1"/>
      </w:pPr>
      <w:r>
        <w:t xml:space="preserve">2. Povolené nástroje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LexisLocal</w:t>
      </w:r>
      <w:r>
        <w:t xml:space="preserve"> (lokální asistenti AI na počítači kanceláře) — schválen pro práci s klientskými daty.</w:t>
      </w:r>
    </w:p>
    <w:p>
      <w:pPr>
        <w:pStyle w:val="ListParagraph"/>
        <w:numPr>
          <w:ilvl w:val="0"/>
          <w:numId w:val="2"/>
        </w:numPr>
        <w:spacing w:after="60"/>
      </w:pPr>
      <w:r>
        <w:rPr/>
        <w:t xml:space="preserve">Cloudový model Claude přes Amazon Bedrock v EU (účet AWS kanceláře) — </w:t>
      </w:r>
      <w:r>
        <w:rPr>
          <w:highlight w:val="yellow"/>
        </w:rPr>
        <w:t>[doplnit: schválen / neschválen]</w:t>
      </w:r>
      <w:r>
        <w:rPr/>
        <w:t>; jen podle oddílu 2a.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highlight w:val="yellow"/>
        </w:rPr>
        <w:t xml:space="preserve">[doplnit: další schválené nástroje, např. CODEXIS AI jen s anonymizovanou otázkou]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Zakázáno:</w:t>
      </w:r>
      <w:r>
        <w:t xml:space="preserve"> vkládat klientská data, dokumenty ze spisů nebo údaje protistran do veřejných nástrojů AI (ChatGPT, Gemini, Copilot apod.) a do nástrojů, které kancelář neschválila — ani po „anonymizaci“.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>Zakázáno:</w:t>
      </w:r>
      <w:r>
        <w:rPr/>
        <w:t xml:space="preserve"> zapínat v LexisLocalu přímé API poskytovatelů modelů (Anthropic, OpenAI) pro práci s klientskými daty; systém ho pro spisy blokuje.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Zapnutí cloudového modelu nebo jiné služby mimo kancelář schvaluje </w:t>
      </w:r>
      <w:r>
        <w:rPr>
          <w:highlight w:val="yellow"/>
        </w:rPr>
        <w:t>[doplnit: vedoucí advokát]</w:t>
      </w:r>
      <w:r>
        <w:t xml:space="preserve"> po aktualizaci DPIA a informací pro klienty. Měsíční rozpočet cloudu, hranici upozornění a tvrdý strop nastavuje </w:t>
      </w:r>
      <w:r>
        <w:rPr>
          <w:highlight w:val="yellow"/>
        </w:rPr>
        <w:t>[doplnit: kdo]</w:t>
      </w:r>
      <w:r>
        <w:t>; po dosažení stropu se dotazy zpracují lokálně.</w:t>
      </w:r>
    </w:p>
    <w:p>
      <w:pPr>
        <w:pStyle w:val="Heading1"/>
      </w:pPr>
      <w:r>
        <w:t>2a. Klasifikace spisů a cloudový model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300"/>
        <w:gridCol w:w="3400"/>
        <w:gridCol w:w="3326"/>
      </w:tblGrid>
      <w:tr>
        <w:trPr>
          <w:tblHeader/>
        </w:trPr>
        <w:tc>
          <w:tcPr>
            <w:tcW w:type="dxa" w:w="23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Stupeň</w:t>
            </w:r>
          </w:p>
        </w:tc>
        <w:tc>
          <w:tcPr>
            <w:tcW w:type="dxa" w:w="34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Typicky</w:t>
            </w:r>
          </w:p>
        </w:tc>
        <w:tc>
          <w:tcPr>
            <w:tcW w:type="dxa" w:w="33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Cloudový model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A – přísně důvěrné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trestní obhajoba, zdravotní údaje, nezletilí, oznamovatelé, </w:t>
            </w:r>
            <w:r>
              <w:rPr>
                <w:sz w:val="19"/>
                <w:szCs w:val="19"/>
                <w:highlight w:val="yellow"/>
              </w:rPr>
              <w:t>[doplnit]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nikdy, ani se souhlasem klienta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 – důvěrné (výchozí)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běžné spisy, dokud je advokát nezařadí jinak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jen s výslovným souhlasem klienta pro tento spis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 – standardní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věci, kde klient udělil rámcový souhlas ve smlouvě o právních službách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se souhlasem pro spis nebo s rámcovým souhlasem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 – veřejné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veřejné texty bez vazby na klienta (zákony, judikatura, obecné rešerše)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bez souhlasu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160"/>
      </w:pPr>
      <w:r>
        <w:t>Každý nový spis má stupeň B. Advokát, který spis vede, při založení stupeň zkontroluje a případně změní; věci uvedené u stupně A zařadí vždy do A.</w:t>
      </w:r>
    </w:p>
    <w:p>
      <w:pPr>
        <w:pStyle w:val="ListParagraph"/>
        <w:numPr>
          <w:ilvl w:val="0"/>
          <w:numId w:val="2"/>
        </w:numPr>
        <w:spacing w:after="60"/>
      </w:pPr>
      <w:r>
        <w:t>Zvýšit stupeň smí každý uživatel. Snížit stupeň smí jen advokát, a to s odůvodněním (zapíše se do deníku spisu a auditu).</w:t>
      </w:r>
    </w:p>
    <w:p>
      <w:pPr>
        <w:pStyle w:val="ListParagraph"/>
        <w:numPr>
          <w:ilvl w:val="0"/>
          <w:numId w:val="2"/>
        </w:numPr>
        <w:spacing w:after="60"/>
      </w:pPr>
      <w:r>
        <w:t>Souhlas klienta s cloudem zaznamenává advokát; do poznámky uvede, jak byl udělen (písemně, e-mailem, ve smlouvě), a doklad založí do spisu. Vzor: „Souhlas klienta se zpracováním v cloudu“.</w:t>
      </w:r>
    </w:p>
    <w:p>
      <w:pPr>
        <w:pStyle w:val="ListParagraph"/>
        <w:numPr>
          <w:ilvl w:val="0"/>
          <w:numId w:val="2"/>
        </w:numPr>
        <w:spacing w:after="60"/>
      </w:pPr>
      <w:r>
        <w:t>Rámcový souhlas ve smlouvě o právních službách stačí jen u spisů ve stupni C. U spisů ve stupni B je potřeba souhlas pro konkrétní věc.</w:t>
      </w:r>
    </w:p>
    <w:p>
      <w:pPr>
        <w:pStyle w:val="ListParagraph"/>
        <w:numPr>
          <w:ilvl w:val="0"/>
          <w:numId w:val="2"/>
        </w:numPr>
        <w:spacing w:after="60"/>
      </w:pPr>
      <w:r>
        <w:t>Odvolání souhlasu zaznamená ihned ten, kdo ho přijal (smí každý uživatel); platí okamžitě.</w:t>
      </w:r>
    </w:p>
    <w:p>
      <w:pPr>
        <w:pStyle w:val="ListParagraph"/>
        <w:numPr>
          <w:ilvl w:val="0"/>
          <w:numId w:val="2"/>
        </w:numPr>
        <w:spacing w:after="60"/>
      </w:pPr>
      <w:r>
        <w:t>Do dotazu na asistenta se nevkládá text z jiných věcí, než ke kterým dotaz patří. Dotaz nad více spisy se řídí nejcitlivějším z nich.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Kontrola: </w:t>
      </w:r>
      <w:r>
        <w:rPr>
          <w:highlight w:val="yellow"/>
        </w:rPr>
        <w:t>[doplnit: kdo]</w:t>
      </w:r>
      <w:r>
        <w:t xml:space="preserve"> jednou měsíčně projde v auditu záznamy „Cloud AI“ a přehled nákladů.</w:t>
      </w:r>
    </w:p>
    <w:p>
      <w:pPr>
        <w:pStyle w:val="Heading1"/>
      </w:pPr>
      <w:r>
        <w:t xml:space="preserve">3. Odpovědnost a kontrola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Výstup AI je </w:t>
      </w:r>
      <w:r>
        <w:rPr>
          <w:b/>
          <w:bCs/>
        </w:rPr>
        <w:t xml:space="preserve">pracovní podklad</w:t>
      </w:r>
      <w:r>
        <w:t xml:space="preserve">. Za každý dokument a radu odpovídá advokát, který je podepisuje nebo předává.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Před použitím projde výstup kontrolním seznamem (ověření paragrafů, judikatury, lhůt, údajů).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Koncipient nebo asistent předává výstup AI advokátovi ke kontrole; klientovi ani soudu ho nepředává sám.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Citace judikatury se ověřuje v plném znění rozhodnutí (ne jen podle výstupu AI).</w:t>
      </w:r>
    </w:p>
    <w:p>
      <w:pPr>
        <w:pStyle w:val="Heading1"/>
      </w:pPr>
      <w:r>
        <w:t xml:space="preserve">4. Komunikace s klientem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Klienti jsou informováni o používání AI (dokument „Jak v kanceláři používáme AI“).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Souhrny stavu věci pro klienta odcházejí jen po schválení advokátem (funkce „Schválit a odeslat“).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Přání klienta, aby se na jeho věci AI nepodílela, se zaznamená do spisu a respektuje.</w:t>
      </w:r>
    </w:p>
    <w:p>
      <w:pPr>
        <w:pStyle w:val="Heading1"/>
      </w:pPr>
      <w:r>
        <w:t xml:space="preserve">5. Přístup a bezpečnost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Každý pracuje pod vlastním účtem; přihlašovací údaje ani spárovaná zařízení se nepůjčují.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Vzdálený přístup jen přes VPN kanceláře; ztrátu zařízení ihned hlásit </w:t>
      </w:r>
      <w:r>
        <w:rPr>
          <w:highlight w:val="yellow"/>
        </w:rPr>
        <w:t xml:space="preserve">[doplnit: komu]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Přístupy do spisů se zaznamenávají (audit čtení) za účelem prokazatelného nakládání se spisy; záznamy nejsou nástrojem hodnocení výkonu.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Zálohy obsahují šifrovací klíč — ukládají se jen na šifrovaný disk, </w:t>
      </w:r>
      <w:r>
        <w:rPr>
          <w:highlight w:val="yellow"/>
        </w:rPr>
        <w:t xml:space="preserve">[doplnit: kde a jak často]</w:t>
      </w:r>
      <w:r>
        <w:t xml:space="preserve">.</w:t>
      </w:r>
    </w:p>
    <w:p>
      <w:pPr>
        <w:pStyle w:val="Heading1"/>
      </w:pPr>
      <w:r>
        <w:t xml:space="preserve">6. Incidenty a chyby AI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Podezření na únik dat, neoprávněný přístup nebo „pokyny pro AI“ v dokumentech hlásit ihned </w:t>
      </w:r>
      <w:r>
        <w:rPr>
          <w:highlight w:val="yellow"/>
        </w:rPr>
        <w:t xml:space="preserve">[doplnit: odpovědné osobě]</w:t>
      </w:r>
      <w:r>
        <w:t xml:space="preserve">; ta posoudí ohlášení ÚOOÚ do 72 hodin.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Závažnou chybu výstupu AI (vymyšlené rozhodnutí, chybná lhůta) zaznamenat a nahlásit dodavateli k nápravě — bez klientských údajů.</w:t>
      </w:r>
    </w:p>
    <w:p>
      <w:pPr>
        <w:pStyle w:val="Heading1"/>
      </w:pPr>
      <w:r>
        <w:t xml:space="preserve">7. Školení a revize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Každý uživatel absolvuje školení AI gramotnosti před prvním použitím a pak </w:t>
      </w:r>
      <w:r>
        <w:rPr>
          <w:highlight w:val="yellow"/>
        </w:rPr>
        <w:t xml:space="preserve">[doplnit: jednou ročně]</w:t>
      </w:r>
      <w:r>
        <w:t xml:space="preserve"> a při podstatné změně systému.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Pravidla, DPIA a informace pro klienty se revidují </w:t>
      </w:r>
      <w:r>
        <w:rPr>
          <w:highlight w:val="yellow"/>
        </w:rPr>
        <w:t xml:space="preserve">[doplnit: jednou ročně]</w:t>
      </w:r>
      <w:r>
        <w:t xml:space="preserve"> a při zapnutí nové služby.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Skartace: do doplnění automatického kaskádového mazání se při skartaci spisu postupuje podle přehledu „co o spisu zůstává“ v LexisLocalu a protokolu [doplnit].</w:t>
      </w:r>
    </w:p>
    <w:p>
      <w:pPr>
        <w:spacing w:after="120"/>
      </w:pPr>
      <w:r>
        <w:t xml:space="preserve">Schválil/a: </w:t>
      </w:r>
      <w:r>
        <w:rPr>
          <w:highlight w:val="yellow"/>
        </w:rPr>
        <w:t xml:space="preserve">[doplnit: jméno, funkce, datum, podpis]</w:t>
      </w: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F7F7F"/>
        <w:sz w:val="16"/>
        <w:szCs w:val="16"/>
      </w:rPr>
      <w:t xml:space="preserve">Vnitřní pravidla používání umělé inteligence · LexisLocal 1.2</w:t>
    </w:r>
    <w:r>
      <w:rPr>
        <w:color w:val="7F7F7F"/>
        <w:sz w:val="16"/>
        <w:szCs w:val="16"/>
      </w:rPr>
      <w:t xml:space="preserve">	strana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6"/>
        <w:szCs w:val="16"/>
      </w:rPr>
      <w:t xml:space="preserve">NÁVRH — před použitím zkontroluje a upraví advokát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Vnitřní pravidla používání umělé inteligence</dc:title>
  <dc:creator>NexusSync Systems s.r.o. — LexisLocal</dc:creator>
  <cp:lastModifiedBy>Un-named</cp:lastModifiedBy>
  <cp:revision>1</cp:revision>
  <dcterms:created xsi:type="dcterms:W3CDTF">2026-10-26T08:49:17.871Z</dcterms:created>
  <dcterms:modified xsi:type="dcterms:W3CDTF">2026-10-26T08:49:17.872Z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