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Doložky do licenční smlouvy a smlouvy o podpoře</w:t>
      </w:r>
    </w:p>
    <w:p>
      <w:pPr>
        <w:spacing w:after="240"/>
      </w:pPr>
      <w:r>
        <w:rPr>
          <w:color w:val="595959"/>
        </w:rPr>
        <w:t>Smluvní vztah NexusSync Systems s.r.o. (dodavatel) a advokátní kanceláře — mlčenlivost, dodávka bez přístupu k datům, úrovně podpory, krizový přístup</w:t>
      </w:r>
    </w:p>
    <w:p>
      <w:pPr>
        <w:pBdr>
          <w:left w:val="single" w:color="7F7F7F" w:sz="18" w:space="6"/>
        </w:pBdr>
        <w:shd w:fill="F2F2F2" w:color="auto" w:val="clear"/>
        <w:spacing w:after="160" w:before="120"/>
        <w:ind w:left="120"/>
      </w:pPr>
      <w:r>
        <w:rPr>
          <w:i/>
          <w:iCs/>
          <w:color w:val="444444"/>
          <w:sz w:val="19"/>
          <w:szCs w:val="19"/>
        </w:rPr>
        <w:t xml:space="preserve">Doložky navazují na návrh „Model dodávky bez přístupu dodavatele k datům“ (dokument k posouzení) a na vzor 1 „Smlouva o zpracování osobních údajů“, která se uplatní jen při krizovém zásahu L4. Tento dokument je návrh připravený dodavatelem softwaru podle toho, jak LexisLocal 1.2 skutečně funguje. Není to právní rada. Před použitím ho musí zkontrolovat a přizpůsobit advokát. Místa označená </w:t>
      </w:r>
      <w:r>
        <w:rPr>
          <w:i/>
          <w:iCs/>
          <w:color w:val="444444"/>
          <w:sz w:val="19"/>
          <w:szCs w:val="19"/>
          <w:highlight w:val="yellow"/>
        </w:rPr>
        <w:t>[doplnit: …]</w:t>
      </w:r>
      <w:r>
        <w:rPr>
          <w:i/>
          <w:iCs/>
          <w:color w:val="444444"/>
          <w:sz w:val="19"/>
          <w:szCs w:val="19"/>
        </w:rPr>
        <w:t xml:space="preserve"> vyplní kancelář.</w:t>
      </w:r>
    </w:p>
    <w:p>
      <w:pPr>
        <w:pStyle w:val="Heading2"/>
      </w:pPr>
      <w:r>
        <w:t>1. Mlčenlivost dodavatele</w:t>
      </w:r>
    </w:p>
    <w:p>
      <w:pPr>
        <w:spacing w:after="120"/>
      </w:pPr>
      <w:r>
        <w:t>1.1 Dodavatel a všechny osoby, které se na plnění podílejí, jsou povinny zachovávat mlčenlivost o všech skutečnostech, o nichž se v souvislosti s plněním dozvědí, zejména o obsahu spisů, klientech kanceláře a jejich věcech. Povinnost trvá i po skončení smlouvy a nelze ji omezit dohodou s třetí osobou.</w:t>
      </w:r>
    </w:p>
    <w:p>
      <w:pPr>
        <w:spacing w:after="120"/>
      </w:pPr>
      <w:r>
        <w:t xml:space="preserve">1.2 Dodavatel bere na vědomí, že kancelář je vázána povinností mlčenlivosti podle § 21 zákona o advokacii, a zavazuje se zachovávat mlčenlivost ve stejném rozsahu. </w:t>
      </w:r>
      <w:r>
        <w:rPr>
          <w:highlight w:val="yellow"/>
        </w:rPr>
        <w:t>[doplnit: posoudí advokát — vztah k § 21 odst. 9 ZA a k přímé vázanosti osob podílejících se na poskytování právních služeb]</w:t>
      </w:r>
    </w:p>
    <w:p>
      <w:pPr>
        <w:spacing w:after="120"/>
      </w:pPr>
      <w:r>
        <w:t>1.3 Dodavatel zaváže mlčenlivostí písemně každého pracovníka a poddodavatele, který se může dostat k údajům kanceláře, a na požádání kanceláři předloží jejich seznam.</w:t>
      </w:r>
    </w:p>
    <w:p>
      <w:pPr>
        <w:pStyle w:val="Heading2"/>
      </w:pPr>
      <w:r>
        <w:t>2. Dodávka bez přístupu k datům</w:t>
      </w:r>
    </w:p>
    <w:p>
      <w:pPr>
        <w:spacing w:after="120"/>
      </w:pPr>
      <w:r>
        <w:t>2.1 LexisLocal běží výhradně na zařízeních kanceláře. Software neodesílá dodavateli žádná data kanceláře (obsah, telemetrii ani automatická chybová hlášení) — viz síťová politika LexisLocalu.</w:t>
      </w:r>
    </w:p>
    <w:p>
      <w:pPr>
        <w:spacing w:after="120"/>
      </w:pPr>
      <w:r>
        <w:t>2.2 Dodavatel nemá ke kanceláři trvalý vzdálený přístup. Aktualizace poskytuje jako instalační balíček s popisem změn; instaluje je kancelář nebo její IT partner.</w:t>
      </w:r>
    </w:p>
    <w:p>
      <w:pPr>
        <w:spacing w:after="120"/>
      </w:pPr>
      <w:r>
        <w:t>2.3 Dodavatel vyvíjí a testuje jen na syntetických nebo veřejných datech. Data kanceláře do vývoje nepřebírá.</w:t>
      </w:r>
    </w:p>
    <w:p>
      <w:pPr>
        <w:spacing w:after="120"/>
      </w:pPr>
      <w:r>
        <w:t>2.4 Dokud se dodavatel k osobním údajům kanceláře nedostane, není jejich zpracovatelem. Pro krizový zásah podle čl. 4 se uplatní smlouva o zpracování osobních údajů (vzor 1).</w:t>
      </w:r>
    </w:p>
    <w:p>
      <w:pPr>
        <w:pStyle w:val="Heading2"/>
      </w:pPr>
      <w:r>
        <w:t>3. Úrovně podpory</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3400"/>
        <w:gridCol w:w="3326"/>
      </w:tblGrid>
      <w:tr>
        <w:trPr>
          <w:tblHeader/>
        </w:trPr>
        <w:tc>
          <w:tcPr>
            <w:tcW w:type="dxa" w:w="2300"/>
            <w:shd w:fill="DCE6F0" w:color="auto" w:val="clear"/>
            <w:tcMar>
              <w:top w:type="dxa" w:w="60"/>
              <w:left w:type="dxa" w:w="100"/>
              <w:bottom w:type="dxa" w:w="60"/>
              <w:right w:type="dxa" w:w="100"/>
            </w:tcMar>
          </w:tcPr>
          <w:p>
            <w:r>
              <w:rPr>
                <w:sz w:val="19"/>
                <w:szCs w:val="19"/>
              </w:rPr>
              <w:t>Úroveň</w:t>
            </w:r>
          </w:p>
        </w:tc>
        <w:tc>
          <w:tcPr>
            <w:tcW w:type="dxa" w:w="3400"/>
            <w:shd w:fill="DCE6F0" w:color="auto" w:val="clear"/>
            <w:tcMar>
              <w:top w:type="dxa" w:w="60"/>
              <w:left w:type="dxa" w:w="100"/>
              <w:bottom w:type="dxa" w:w="60"/>
              <w:right w:type="dxa" w:w="100"/>
            </w:tcMar>
          </w:tcPr>
          <w:p>
            <w:r>
              <w:rPr>
                <w:sz w:val="19"/>
                <w:szCs w:val="19"/>
              </w:rPr>
              <w:t>Co zahrnuje</w:t>
            </w:r>
          </w:p>
        </w:tc>
        <w:tc>
          <w:tcPr>
            <w:tcW w:type="dxa" w:w="3326"/>
            <w:shd w:fill="DCE6F0" w:color="auto" w:val="clear"/>
            <w:tcMar>
              <w:top w:type="dxa" w:w="60"/>
              <w:left w:type="dxa" w:w="100"/>
              <w:bottom w:type="dxa" w:w="60"/>
              <w:right w:type="dxa" w:w="100"/>
            </w:tcMar>
          </w:tcPr>
          <w:p>
            <w:r>
              <w:rPr>
                <w:sz w:val="19"/>
                <w:szCs w:val="19"/>
              </w:rPr>
              <w:t>Přístup k datům kanceláře</w:t>
            </w:r>
          </w:p>
        </w:tc>
      </w:tr>
      <w:tr>
        <w:tc>
          <w:tcPr>
            <w:tcW w:type="dxa" w:w="2300"/>
            <w:tcMar>
              <w:top w:type="dxa" w:w="60"/>
              <w:left w:type="dxa" w:w="100"/>
              <w:bottom w:type="dxa" w:w="60"/>
              <w:right w:type="dxa" w:w="100"/>
            </w:tcMar>
          </w:tcPr>
          <w:p>
            <w:r>
              <w:rPr>
                <w:sz w:val="19"/>
                <w:szCs w:val="19"/>
              </w:rPr>
              <w:t>L1 — rada</w:t>
            </w:r>
          </w:p>
        </w:tc>
        <w:tc>
          <w:tcPr>
            <w:tcW w:type="dxa" w:w="3400"/>
            <w:tcMar>
              <w:top w:type="dxa" w:w="60"/>
              <w:left w:type="dxa" w:w="100"/>
              <w:bottom w:type="dxa" w:w="60"/>
              <w:right w:type="dxa" w:w="100"/>
            </w:tcMar>
          </w:tcPr>
          <w:p>
            <w:r>
              <w:rPr>
                <w:sz w:val="19"/>
                <w:szCs w:val="19"/>
              </w:rPr>
              <w:t>telefon, e-mail, návody; dotazy k ovládání a nastavení</w:t>
            </w:r>
          </w:p>
        </w:tc>
        <w:tc>
          <w:tcPr>
            <w:tcW w:type="dxa" w:w="3326"/>
            <w:tcMar>
              <w:top w:type="dxa" w:w="60"/>
              <w:left w:type="dxa" w:w="100"/>
              <w:bottom w:type="dxa" w:w="60"/>
              <w:right w:type="dxa" w:w="100"/>
            </w:tcMar>
          </w:tcPr>
          <w:p>
            <w:r>
              <w:rPr>
                <w:sz w:val="19"/>
                <w:szCs w:val="19"/>
              </w:rPr>
              <w:t>žádný</w:t>
            </w:r>
          </w:p>
        </w:tc>
      </w:tr>
      <w:tr>
        <w:tc>
          <w:tcPr>
            <w:tcW w:type="dxa" w:w="2300"/>
            <w:tcMar>
              <w:top w:type="dxa" w:w="60"/>
              <w:left w:type="dxa" w:w="100"/>
              <w:bottom w:type="dxa" w:w="60"/>
              <w:right w:type="dxa" w:w="100"/>
            </w:tcMar>
          </w:tcPr>
          <w:p>
            <w:r>
              <w:rPr>
                <w:sz w:val="19"/>
                <w:szCs w:val="19"/>
              </w:rPr>
              <w:t>L2 — diagnostika bez obsahu</w:t>
            </w:r>
          </w:p>
        </w:tc>
        <w:tc>
          <w:tcPr>
            <w:tcW w:type="dxa" w:w="3400"/>
            <w:tcMar>
              <w:top w:type="dxa" w:w="60"/>
              <w:left w:type="dxa" w:w="100"/>
              <w:bottom w:type="dxa" w:w="60"/>
              <w:right w:type="dxa" w:w="100"/>
            </w:tcMar>
          </w:tcPr>
          <w:p>
            <w:r>
              <w:rPr>
                <w:sz w:val="19"/>
                <w:szCs w:val="19"/>
              </w:rPr>
              <w:t>verze, stav služeb, chybová hlášení a technické záznamy, které kancelář sama předá (bez obsahu spisů, jmen a dokumentů)</w:t>
            </w:r>
          </w:p>
        </w:tc>
        <w:tc>
          <w:tcPr>
            <w:tcW w:type="dxa" w:w="3326"/>
            <w:tcMar>
              <w:top w:type="dxa" w:w="60"/>
              <w:left w:type="dxa" w:w="100"/>
              <w:bottom w:type="dxa" w:w="60"/>
              <w:right w:type="dxa" w:w="100"/>
            </w:tcMar>
          </w:tcPr>
          <w:p>
            <w:r>
              <w:rPr>
                <w:sz w:val="19"/>
                <w:szCs w:val="19"/>
              </w:rPr>
              <w:t>žádný; kancelář před předáním výpis zkontroluje</w:t>
            </w:r>
          </w:p>
        </w:tc>
      </w:tr>
      <w:tr>
        <w:tc>
          <w:tcPr>
            <w:tcW w:type="dxa" w:w="2300"/>
            <w:tcMar>
              <w:top w:type="dxa" w:w="60"/>
              <w:left w:type="dxa" w:w="100"/>
              <w:bottom w:type="dxa" w:w="60"/>
              <w:right w:type="dxa" w:w="100"/>
            </w:tcMar>
          </w:tcPr>
          <w:p>
            <w:r>
              <w:rPr>
                <w:sz w:val="19"/>
                <w:szCs w:val="19"/>
              </w:rPr>
              <w:t>L3 — vzdálená relace pod dohledem</w:t>
            </w:r>
          </w:p>
        </w:tc>
        <w:tc>
          <w:tcPr>
            <w:tcW w:type="dxa" w:w="3400"/>
            <w:tcMar>
              <w:top w:type="dxa" w:w="60"/>
              <w:left w:type="dxa" w:w="100"/>
              <w:bottom w:type="dxa" w:w="60"/>
              <w:right w:type="dxa" w:w="100"/>
            </w:tcMar>
          </w:tcPr>
          <w:p>
            <w:r>
              <w:rPr>
                <w:sz w:val="19"/>
                <w:szCs w:val="19"/>
              </w:rPr>
              <w:t>sdílení obrazovky, které spouští pracovník kanceláře a po celou dobu ho sleduje; ukončit ho může kdykoli</w:t>
            </w:r>
          </w:p>
        </w:tc>
        <w:tc>
          <w:tcPr>
            <w:tcW w:type="dxa" w:w="3326"/>
            <w:tcMar>
              <w:top w:type="dxa" w:w="60"/>
              <w:left w:type="dxa" w:w="100"/>
              <w:bottom w:type="dxa" w:w="60"/>
              <w:right w:type="dxa" w:w="100"/>
            </w:tcMar>
          </w:tcPr>
          <w:p>
            <w:r>
              <w:rPr>
                <w:sz w:val="19"/>
                <w:szCs w:val="19"/>
              </w:rPr>
              <w:t>jen to, co je při zásahu vidět na obrazovce; zápis do protokolu podpory</w:t>
            </w:r>
          </w:p>
        </w:tc>
      </w:tr>
      <w:tr>
        <w:tc>
          <w:tcPr>
            <w:tcW w:type="dxa" w:w="2300"/>
            <w:tcMar>
              <w:top w:type="dxa" w:w="60"/>
              <w:left w:type="dxa" w:w="100"/>
              <w:bottom w:type="dxa" w:w="60"/>
              <w:right w:type="dxa" w:w="100"/>
            </w:tcMar>
          </w:tcPr>
          <w:p>
            <w:r>
              <w:rPr>
                <w:sz w:val="19"/>
                <w:szCs w:val="19"/>
              </w:rPr>
              <w:t>L4 — krizový zásah</w:t>
            </w:r>
          </w:p>
        </w:tc>
        <w:tc>
          <w:tcPr>
            <w:tcW w:type="dxa" w:w="3400"/>
            <w:tcMar>
              <w:top w:type="dxa" w:w="60"/>
              <w:left w:type="dxa" w:w="100"/>
              <w:bottom w:type="dxa" w:w="60"/>
              <w:right w:type="dxa" w:w="100"/>
            </w:tcMar>
          </w:tcPr>
          <w:p>
            <w:r>
              <w:rPr>
                <w:sz w:val="19"/>
                <w:szCs w:val="19"/>
              </w:rPr>
              <w:t>oprava databáze, obnova ze zálohy, zásah nad daty</w:t>
            </w:r>
          </w:p>
        </w:tc>
        <w:tc>
          <w:tcPr>
            <w:tcW w:type="dxa" w:w="3326"/>
            <w:tcMar>
              <w:top w:type="dxa" w:w="60"/>
              <w:left w:type="dxa" w:w="100"/>
              <w:bottom w:type="dxa" w:w="60"/>
              <w:right w:type="dxa" w:w="100"/>
            </w:tcMar>
          </w:tcPr>
          <w:p>
            <w:r>
              <w:rPr>
                <w:sz w:val="19"/>
                <w:szCs w:val="19"/>
              </w:rPr>
              <w:t>ano — jen na písemný pokyn advokáta pro konkrétní zásah, po dobu zásahu; smlouva o zpracování (vzor 1); protokol</w:t>
            </w:r>
          </w:p>
        </w:tc>
      </w:tr>
    </w:tbl>
    <w:p>
      <w:pPr>
        <w:spacing w:after="120" w:before="160"/>
      </w:pPr>
      <w:r>
        <w:t xml:space="preserve">3.1 Reakční doby: L1 </w:t>
      </w:r>
      <w:r>
        <w:rPr>
          <w:highlight w:val="yellow"/>
        </w:rPr>
        <w:t>[doplnit]</w:t>
      </w:r>
      <w:r>
        <w:t xml:space="preserve">, L2 </w:t>
      </w:r>
      <w:r>
        <w:rPr>
          <w:highlight w:val="yellow"/>
        </w:rPr>
        <w:t>[doplnit]</w:t>
      </w:r>
      <w:r>
        <w:t xml:space="preserve">, L3 </w:t>
      </w:r>
      <w:r>
        <w:rPr>
          <w:highlight w:val="yellow"/>
        </w:rPr>
        <w:t>[doplnit]</w:t>
      </w:r>
      <w:r>
        <w:t xml:space="preserve">, L4 </w:t>
      </w:r>
      <w:r>
        <w:rPr>
          <w:highlight w:val="yellow"/>
        </w:rPr>
        <w:t>[doplnit]</w:t>
      </w:r>
      <w:r>
        <w:t xml:space="preserve">. Cena: </w:t>
      </w:r>
      <w:r>
        <w:rPr>
          <w:highlight w:val="yellow"/>
        </w:rPr>
        <w:t>[doplnit]</w:t>
      </w:r>
      <w:r>
        <w:t>.</w:t>
      </w:r>
    </w:p>
    <w:p>
      <w:pPr>
        <w:spacing w:after="120"/>
      </w:pPr>
      <w:r>
        <w:t>3.2 Kancelář může ve smlouvě zvolit, že L4 nepřipouští vůbec; obnovu ze zálohy pak provádí sama nebo IT partner podle provozní příručky.</w:t>
      </w:r>
    </w:p>
    <w:p>
      <w:pPr>
        <w:pStyle w:val="Heading2"/>
      </w:pPr>
      <w:r>
        <w:t>4. Krizový přístup (L4)</w:t>
      </w:r>
    </w:p>
    <w:p>
      <w:pPr>
        <w:spacing w:after="120"/>
      </w:pPr>
      <w:r>
        <w:t>4.1 Pokyn obsahuje: důvod, rozsah (které údaje / které části systému), způsob přístupu, dobu trvání a jméno odpovědné osoby za kancelář.</w:t>
      </w:r>
    </w:p>
    <w:p>
      <w:pPr>
        <w:spacing w:after="120"/>
      </w:pPr>
      <w:r>
        <w:t>4.2 Dodavatel přistupuje jen v rozsahu pokynu, nepořizuje kopie dat mimo zařízení kanceláře, ledaže to pokyn výslovně připouští; takové kopie po skončení zásahu prokazatelně vymaže.</w:t>
      </w:r>
    </w:p>
    <w:p>
      <w:pPr>
        <w:spacing w:after="120"/>
      </w:pPr>
      <w:r>
        <w:t xml:space="preserve">4.3 Každý zásah se zapíše do protokolu podpory: datum a čas, kdo, důvod, co bylo provedeno, výsledek; kancelář protokol potvrdí. </w:t>
      </w:r>
      <w:r>
        <w:rPr>
          <w:highlight w:val="yellow"/>
        </w:rPr>
        <w:t>[doplnit: kde se protokol vede]</w:t>
      </w:r>
    </w:p>
    <w:p>
      <w:pPr>
        <w:pStyle w:val="Heading2"/>
      </w:pPr>
      <w:r>
        <w:t>5. IT partner kanceláře</w:t>
      </w:r>
    </w:p>
    <w:p>
      <w:pPr>
        <w:spacing w:after="120"/>
      </w:pPr>
      <w:r>
        <w:t>5.1 Správu počítačů a sítě (zálohy, aktualizace, VPN) může kancelář svěřit místnímu IT partnerovi. Smlouvu s ním uzavírá kancelář; IT partner není poddodavatelem dodavatele.</w:t>
      </w:r>
    </w:p>
    <w:p>
      <w:pPr>
        <w:spacing w:after="120"/>
      </w:pPr>
      <w:r>
        <w:t>5.2 Dodavatel IT partnerovi poskytne provozní příručku (PROVOZ_SPRAVCE.md) a podporu L1–L2.</w:t>
      </w:r>
    </w:p>
    <w:p>
      <w:pPr>
        <w:pStyle w:val="Heading2"/>
      </w:pPr>
      <w:r>
        <w:t>6. Cloudové služby</w:t>
      </w:r>
    </w:p>
    <w:p>
      <w:pPr>
        <w:spacing w:after="120"/>
      </w:pPr>
      <w:r>
        <w:t>6.1 Cloudový model (Amazon Bedrock v EU) je volitelný. Účet AWS zakládá a smlouvu s AWS uzavírá kancelář; dodavatel do účtu nemá přístup a dodává jen software a šablonu nastavení (oprávnění, rozpočet).</w:t>
      </w:r>
    </w:p>
    <w:p>
      <w:pPr>
        <w:spacing w:after="120"/>
      </w:pPr>
      <w:r>
        <w:t xml:space="preserve">6.2 Software dodavatele zajistí, že do cloudu odejde jen dotaz ze spisu, jehož stupeň citlivosti a souhlas klienta to dovolují, a že přímé API poskytovatelů modelů nelze použít pro data klientů. Dodavatel odpovídá za to, že software tato pravidla dodržuje </w:t>
      </w:r>
      <w:r>
        <w:rPr>
          <w:highlight w:val="yellow"/>
        </w:rPr>
        <w:t>[doplnit: rozsah odpovědnosti]</w:t>
      </w:r>
      <w:r>
        <w:t>.</w:t>
      </w:r>
    </w:p>
    <w:p>
      <w:pPr>
        <w:pStyle w:val="Heading2"/>
      </w:pPr>
      <w:r>
        <w:t>7. Výstupy umělé inteligence</w:t>
      </w:r>
    </w:p>
    <w:p>
      <w:pPr>
        <w:spacing w:after="120"/>
      </w:pPr>
      <w:r>
        <w:t xml:space="preserve">7.1 LexisLocal je pomocný nástroj. Výstupy AI mohou obsahovat chyby; za právní služby odpovídá advokát. Dodavatel neodpovídá za obsah výstupů jazykového modelu, odpovídá však za funkce, které dodavatel deklaruje (např. ověřování citací proti bázi zákonů, výpočet lhůt). </w:t>
      </w:r>
      <w:r>
        <w:rPr>
          <w:highlight w:val="yellow"/>
        </w:rPr>
        <w:t>[doplnit: limit odpovědnosti]</w:t>
      </w:r>
    </w:p>
    <w:p>
      <w:pPr>
        <w:pStyle w:val="Heading2"/>
      </w:pPr>
      <w:r>
        <w:t>8. Bezpečnost a zranitelnosti</w:t>
      </w:r>
    </w:p>
    <w:p>
      <w:pPr>
        <w:spacing w:after="120"/>
      </w:pPr>
      <w:r>
        <w:t xml:space="preserve">8.1 Dodavatel kanceláři bez zbytečného odkladu oznámí zjištěnou zranitelnost, která může ohrozit data kanceláře, a poskytne opravu nebo náhradní opatření do </w:t>
      </w:r>
      <w:r>
        <w:rPr>
          <w:highlight w:val="yellow"/>
        </w:rPr>
        <w:t>[doplnit]</w:t>
      </w:r>
      <w:r>
        <w:t xml:space="preserve"> dnů.</w:t>
      </w:r>
    </w:p>
    <w:p>
      <w:pPr>
        <w:pStyle w:val="Heading2"/>
      </w:pPr>
      <w:r>
        <w:t>9. Ukončení</w:t>
      </w:r>
    </w:p>
    <w:p>
      <w:pPr>
        <w:spacing w:after="120"/>
      </w:pPr>
      <w:r>
        <w:t>9.1 Data zůstávají kanceláři. Při ukončení dodavatel poskytne návod k exportu dat v čitelném formátu; přístupové údaje k podpoře se zruší a případné kopie u dodavatele (jen po zásahu L4) se prokazatelně vymažou.</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Pr>
          <w:p>
            <w:pPr>
              <w:spacing w:after="600" w:before="360"/>
            </w:pPr>
            <w:r>
              <w:t xml:space="preserve">V </w:t>
            </w:r>
            <w:r>
              <w:rPr>
                <w:highlight w:val="yellow"/>
              </w:rPr>
              <w:t>[doplnit: místo]</w:t>
            </w:r>
            <w:r>
              <w:t xml:space="preserve"> dne </w:t>
            </w:r>
            <w:r>
              <w:rPr>
                <w:highlight w:val="yellow"/>
              </w:rPr>
              <w:t>[doplnit: datum]</w:t>
            </w:r>
          </w:p>
          <w:p>
            <w:r>
              <w:t>……………………………………</w:t>
            </w:r>
          </w:p>
          <w:p>
            <w:r>
              <w:rPr/>
              <w:t>Za kancelář</w:t>
            </w:r>
          </w:p>
          <w:p>
            <w:r>
              <w:rPr>
                <w:highlight w:val="yellow"/>
              </w:rPr>
              <w:t>[doplnit: jméno, funkce]</w:t>
            </w:r>
          </w:p>
        </w:tc>
        <w:tc>
          <w:tcPr>
            <w:tcW w:type="dxa" w:w="4513"/>
          </w:tcPr>
          <w:p>
            <w:pPr>
              <w:spacing w:after="600" w:before="360"/>
            </w:pPr>
            <w:r>
              <w:t xml:space="preserve">V </w:t>
            </w:r>
            <w:r>
              <w:rPr>
                <w:highlight w:val="yellow"/>
              </w:rPr>
              <w:t>[doplnit: místo]</w:t>
            </w:r>
            <w:r>
              <w:t xml:space="preserve"> dne </w:t>
            </w:r>
            <w:r>
              <w:rPr>
                <w:highlight w:val="yellow"/>
              </w:rPr>
              <w:t>[doplnit: datum]</w:t>
            </w:r>
          </w:p>
          <w:p>
            <w:r>
              <w:t>……………………………………</w:t>
            </w:r>
          </w:p>
          <w:p>
            <w:r>
              <w:rPr/>
              <w:t>Za dodavatele</w:t>
            </w:r>
          </w:p>
          <w:p>
            <w:r>
              <w:rPr/>
              <w:t xml:space="preserve">NexusSync Systems s.r.o., </w:t>
            </w:r>
            <w:r>
              <w:rPr>
                <w:highlight w:val="yellow"/>
              </w:rPr>
              <w:t>[doplnit: jméno, funkce]</w:t>
            </w:r>
          </w:p>
        </w:tc>
      </w:tr>
    </w:tbl>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F7F7F"/>
        <w:sz w:val="16"/>
        <w:szCs w:val="16"/>
      </w:rPr>
      <w:t>Doložky do licenční smlouvy a smlouvy o podpoře · LexisLocal 1.2</w:t>
    </w:r>
    <w:r>
      <w:rPr>
        <w:color w:val="7F7F7F"/>
        <w:sz w:val="16"/>
        <w:szCs w:val="16"/>
      </w:rPr>
      <w:t xml:space="preserve">	strana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C00000"/>
        <w:sz w:val="16"/>
        <w:szCs w:val="16"/>
      </w:rPr>
      <w:t xml:space="preserve">NÁVRH — před použitím zkontroluje a upraví advokát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36"/>
      <w:szCs w:val="36"/>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80" w:before="200"/>
      <w:outlineLvl w:val="1"/>
    </w:pPr>
    <w:rPr>
      <w:rFonts w:ascii="Calibri" w:cs="Calibri" w:eastAsia="Calibri" w:hAnsi="Calibri"/>
      <w:b/>
      <w:bCs/>
      <w:color w:val="2E549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Doložky do licenční smlouvy a smlouvy o podpoře</dc:title>
  <dc:creator>NexusSync Systems s.r.o. — LexisLocal</dc:creator>
  <cp:lastModifiedBy>Un-named</cp:lastModifiedBy>
  <cp:revision>1</cp:revision>
  <dcterms:created xsi:type="dcterms:W3CDTF">2026-10-26T08:49:17.792Z</dcterms:created>
  <dcterms:modified xsi:type="dcterms:W3CDTF">2026-10-26T08:49:17.792Z</dcterms:modified>
</cp:coreProperties>
</file>

<file path=docProps/custom.xml><?xml version="1.0" encoding="utf-8"?>
<Properties xmlns="http://schemas.openxmlformats.org/officeDocument/2006/custom-properties" xmlns:vt="http://schemas.openxmlformats.org/officeDocument/2006/docPropsVTypes"/>
</file>