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Pravidla skartace v LexisLocalu</w:t>
      </w:r>
    </w:p>
    <w:p>
      <w:pPr>
        <w:spacing w:after="240"/>
      </w:pPr>
      <w:r>
        <w:rPr>
          <w:color w:val="595959"/>
        </w:rPr>
        <w:t xml:space="preserve">Návrh ke schválení advokátem — co se při skartaci spisu smaže, co se ponechá a jak dlouho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 xml:space="preserve">LexisLocal 1.2 při skartaci spisu maže jen záznam spisu; související záznamy (deník, souhrny pro klienta, koncepty, dokumenty včetně vyhledávacího indexu, schůzky) zůstávají. Než doplníme automatické („kaskádové“) mazání, potřebujeme, aby advokát schválil pravidla níže. Mazání je nevratné. Lhůty jsou orientační a musí je ověřit advokát. Tento dokument je návrh dodavatele, ne právní rada.</w:t>
      </w:r>
    </w:p>
    <w:p>
      <w:pPr>
        <w:pStyle w:val="Heading1"/>
      </w:pPr>
      <w:r>
        <w:t xml:space="preserve">1. Kdy se spis skartuje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Spis je ve stavu „skartace“ a uplynula skartační lhůta kanceláře: </w:t>
      </w:r>
      <w:r>
        <w:rPr>
          <w:highlight w:val="yellow"/>
        </w:rPr>
        <w:t xml:space="preserve">[doplnit: např. N let od skončení věci — podle vnitřního předpisu kanceláře a předpisů ČAK]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skartaci rozhoduje </w:t>
      </w:r>
      <w:r>
        <w:rPr>
          <w:highlight w:val="yellow"/>
        </w:rPr>
        <w:t xml:space="preserve">[doplnit: advokát / vedoucí kanceláře]</w:t>
      </w:r>
      <w:r>
        <w:t xml:space="preserve">; LexisLocal před tím ukáže </w:t>
      </w:r>
      <w:r>
        <w:rPr>
          <w:b/>
          <w:bCs/>
        </w:rPr>
        <w:t xml:space="preserve">plán skartace</w:t>
      </w:r>
      <w:r>
        <w:t xml:space="preserve"> (přehled konkrétních položek) a vytvoří skartační protokol.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Spis s probíhajícím řízením, neuhrazenou fakturou nebo sporem o odměnu se neskartuje </w:t>
      </w:r>
      <w:r>
        <w:rPr>
          <w:highlight w:val="yellow"/>
        </w:rPr>
        <w:t xml:space="preserve">[doplnit: další výjimky]</w:t>
      </w:r>
      <w:r>
        <w:t xml:space="preserve">.</w:t>
      </w:r>
    </w:p>
    <w:p>
      <w:pPr>
        <w:pStyle w:val="Heading1"/>
      </w:pPr>
      <w:r>
        <w:t xml:space="preserve">2. Co se smaže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00"/>
        <w:gridCol w:w="3300"/>
        <w:gridCol w:w="2626"/>
      </w:tblGrid>
      <w:tr>
        <w:trPr>
          <w:tblHeader/>
        </w:trPr>
        <w:tc>
          <w:tcPr>
            <w:tcW w:type="dxa" w:w="31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Položka v LexisLocalu</w:t>
            </w:r>
          </w:p>
        </w:tc>
        <w:tc>
          <w:tcPr>
            <w:tcW w:type="dxa" w:w="33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se stane</w:t>
            </w:r>
          </w:p>
        </w:tc>
        <w:tc>
          <w:tcPr>
            <w:tcW w:type="dxa" w:w="26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Schválit (ano/ne, poznámka)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Záznam spisu (klient, IČO, e-mail, protistrana)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smaže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Spisový deník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smaže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Souhrny pro klienta (text, adresa)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smažou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Koncepty ke spisu (všechny verze, připomínky)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smažou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Dokumenty spisu — záznam v doručené poště a vytěžená metadata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smažou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Dokumenty spisu — úseky ve vyhledávacím indexu (RAG)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smažou se (jinak by je asistent dál citoval)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Dokumenty spisu — soubory na disku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smazat / přesunout do archivu kanceláře mimo LexisLocal]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Schůzky v kalendáři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smažou se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3. Co se ponechá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700"/>
        <w:gridCol w:w="3300"/>
        <w:gridCol w:w="3026"/>
      </w:tblGrid>
      <w:tr>
        <w:trPr>
          <w:tblHeader/>
        </w:trPr>
        <w:tc>
          <w:tcPr>
            <w:tcW w:type="dxa" w:w="27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Položka</w:t>
            </w:r>
          </w:p>
        </w:tc>
        <w:tc>
          <w:tcPr>
            <w:tcW w:type="dxa" w:w="33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Důvod</w:t>
            </w:r>
          </w:p>
        </w:tc>
        <w:tc>
          <w:tcPr>
            <w:tcW w:type="dxa" w:w="30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Lhůta uchování (ověřit)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Faktury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účetní a daňová evidence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např. podle zákona o účetnictví a zákona o DPH]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AML identifikace a kontrola klienta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zákon č. 253/2008 Sb. (AML)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např. 10 let od ukončení obchodního vztahu — ověřit]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Údaje potřebné ke střetu zájmů (jméno klienta a protistrany, sp. zn.)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kontrola střetu zájmů u budoucích věcí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zda a jak dlouho; v jaké minimální podobě]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 se pseudonymizuje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700"/>
        <w:gridCol w:w="3600"/>
        <w:gridCol w:w="2726"/>
      </w:tblGrid>
      <w:tr>
        <w:trPr>
          <w:tblHeader/>
        </w:trPr>
        <w:tc>
          <w:tcPr>
            <w:tcW w:type="dxa" w:w="27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Položka</w:t>
            </w:r>
          </w:p>
        </w:tc>
        <w:tc>
          <w:tcPr>
            <w:tcW w:type="dxa" w:w="36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zůstane / co se odstraní</w:t>
            </w:r>
          </w:p>
        </w:tc>
        <w:tc>
          <w:tcPr>
            <w:tcW w:type="dxa" w:w="27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Lhůta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Auditní stopa spisu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zůstane kdo, kdy a jaký úkon (prokazatelnost); předmět a podrobnosti s osobními údaji klienta se nahradí identifikátorem spisu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např. N let od skartace, pak smazat]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Skartační protokol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zůstane: sp. zn., datum, kdo skartoval, počty smazaných položek; bez obsahu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[doplnit]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Postup v LexisLocalu (po doplnění funkce)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Advokát otevře plán skartace spisu (přehled konkrétních položek, počet úseků v indexu, soubory).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Potvrdí skartaci; LexisLocal vytvoří zálohu </w:t>
      </w:r>
      <w:r>
        <w:rPr>
          <w:highlight w:val="yellow"/>
        </w:rPr>
        <w:t xml:space="preserve">[doplnit: ano/ne — záloha by obsahovala skartovaná data]</w:t>
      </w:r>
      <w:r>
        <w:t xml:space="preserve"> a skartační protokol.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Kaskádové mazání podle bodů 2–4; každý krok se zapíše do protokolu.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Kontrola: vyhledávání v LexisLocalu už nevrací nic ze skartovaného spisu.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Zálohy pořízené před skartací: </w:t>
      </w:r>
      <w:r>
        <w:rPr>
          <w:highlight w:val="yellow"/>
        </w:rPr>
        <w:t xml:space="preserve">[doplnit: jak dlouho se drží a kdy se z nich skartovaná data vytratí]</w:t>
      </w:r>
      <w:r>
        <w:t xml:space="preserve">.</w:t>
      </w:r>
    </w:p>
    <w:p>
      <w:pPr>
        <w:pStyle w:val="Heading1"/>
      </w:pPr>
      <w:r>
        <w:t xml:space="preserve">6. Schválení</w:t>
      </w:r>
    </w:p>
    <w:p>
      <w:pPr>
        <w:spacing w:after="120"/>
      </w:pPr>
      <w:r>
        <w:t xml:space="preserve">Pravidla schvaluji v rozsahu vyznačeném v tabulkách výše.</w:t>
      </w:r>
    </w:p>
    <w:p>
      <w:pPr>
        <w:spacing w:after="120"/>
      </w:pPr>
      <w:r>
        <w:t xml:space="preserve">Jméno, funkce: [doplnit]     Datum: [doplnit]     Podpis: ……………………………</w:t>
      </w: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6"/>
        <w:szCs w:val="16"/>
      </w:rPr>
      <w:t xml:space="preserve">Pravidla skartace v LexisLocalu · LexisLocal 1.2</w:t>
    </w:r>
    <w:r>
      <w:rPr>
        <w:color w:val="7F7F7F"/>
        <w:sz w:val="16"/>
        <w:szCs w:val="16"/>
      </w:rPr>
      <w:t xml:space="preserve">	strana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6"/>
        <w:szCs w:val="16"/>
      </w:rPr>
      <w:t xml:space="preserve">NÁVRH — před použitím zkontroluje a upraví advokát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Pravidla skartace v LexisLocalu</dc:title>
  <dc:creator>NexusSync Systems s.r.o. — LexisLocal</dc:creator>
  <cp:lastModifiedBy>Un-named</cp:lastModifiedBy>
  <cp:revision>1</cp:revision>
  <dcterms:created xsi:type="dcterms:W3CDTF">2026-10-26T09:49:20.110Z</dcterms:created>
  <dcterms:modified xsi:type="dcterms:W3CDTF">2026-10-26T09:49:20.110Z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