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5ED5" w14:textId="52AC9FF6" w:rsidR="00486253" w:rsidRPr="00086D0C" w:rsidRDefault="00FF579F" w:rsidP="00714719">
      <w:pPr>
        <w:pStyle w:val="Normal8"/>
      </w:pPr>
      <w:r>
        <w:t xml:space="preserve"> </w:t>
      </w:r>
    </w:p>
    <w:p w14:paraId="23B60EA9" w14:textId="77777777" w:rsidR="003B258D" w:rsidRDefault="003B258D" w:rsidP="002E2723">
      <w:pPr>
        <w:jc w:val="center"/>
        <w:rPr>
          <w:b/>
          <w:szCs w:val="22"/>
        </w:rPr>
      </w:pPr>
    </w:p>
    <w:p w14:paraId="1A5D37D9" w14:textId="77777777" w:rsidR="00491AF2" w:rsidRPr="007C6893" w:rsidRDefault="00D310E2" w:rsidP="0039363E">
      <w:pPr>
        <w:tabs>
          <w:tab w:val="left" w:pos="7380"/>
          <w:tab w:val="left" w:pos="8010"/>
          <w:tab w:val="left" w:pos="8460"/>
        </w:tabs>
        <w:ind w:left="720" w:right="180"/>
        <w:jc w:val="right"/>
        <w:rPr>
          <w:rFonts w:cs="Times New Roman"/>
          <w:noProof/>
          <w:szCs w:val="22"/>
        </w:rPr>
      </w:pPr>
      <w:r w:rsidRPr="007C6893">
        <w:rPr>
          <w:szCs w:val="22"/>
        </w:rPr>
        <w:t xml:space="preserve">Report No: </w:t>
      </w:r>
      <w:r w:rsidR="00414FC5" w:rsidRPr="007C6893">
        <w:rPr>
          <w:noProof/>
          <w:szCs w:val="22"/>
        </w:rPr>
        <w:t>ICR00246</w:t>
      </w:r>
    </w:p>
    <w:p w14:paraId="05343A21" w14:textId="77777777" w:rsidR="00107B05" w:rsidRPr="00107B05" w:rsidRDefault="00D310E2" w:rsidP="00107B05">
      <w:pPr>
        <w:tabs>
          <w:tab w:val="left" w:pos="6690"/>
        </w:tabs>
        <w:jc w:val="center"/>
        <w:rPr>
          <w:rFonts w:eastAsiaTheme="minorHAnsi" w:cs="Times New Roman"/>
          <w:bCs/>
          <w:color w:val="262626" w:themeColor="text1" w:themeTint="D9"/>
          <w:kern w:val="24"/>
          <w:szCs w:val="22"/>
        </w:rPr>
      </w:pPr>
      <w:r w:rsidRPr="00107B05">
        <w:rPr>
          <w:rFonts w:eastAsiaTheme="minorHAnsi" w:cs="Times New Roman"/>
          <w:bCs/>
          <w:color w:val="262626" w:themeColor="text1" w:themeTint="D9"/>
          <w:kern w:val="24"/>
          <w:szCs w:val="22"/>
        </w:rPr>
        <w:t>IMPLEMENTATION COMPLETION AND RESULTS REPORT</w:t>
      </w:r>
    </w:p>
    <w:p w14:paraId="3FA6C39A" w14:textId="39214F73" w:rsidR="00E10C73" w:rsidRPr="00E10C73" w:rsidRDefault="00F76E0A" w:rsidP="00E10C73">
      <w:pPr>
        <w:spacing w:line="360" w:lineRule="auto"/>
        <w:jc w:val="center"/>
        <w:rPr>
          <w:rFonts w:eastAsiaTheme="minorHAnsi" w:cs="Times New Roman"/>
          <w:bCs/>
          <w:color w:val="262626" w:themeColor="text1" w:themeTint="D9"/>
          <w:kern w:val="24"/>
          <w:szCs w:val="22"/>
        </w:rPr>
      </w:pPr>
      <w:r w:rsidRPr="00F76E0A">
        <w:rPr>
          <w:rFonts w:eastAsiaTheme="minorHAnsi" w:cs="Times New Roman"/>
          <w:bCs/>
          <w:color w:val="262626" w:themeColor="text1" w:themeTint="D9"/>
          <w:kern w:val="24"/>
          <w:szCs w:val="22"/>
        </w:rPr>
        <w:t>Grant Number D366-TO, D589-TO</w:t>
      </w:r>
    </w:p>
    <w:p w14:paraId="7BAACCF3" w14:textId="77777777" w:rsidR="00E10C73" w:rsidRPr="00E10C73" w:rsidRDefault="00D310E2" w:rsidP="00E10C73">
      <w:pPr>
        <w:spacing w:line="360" w:lineRule="auto"/>
        <w:jc w:val="center"/>
        <w:rPr>
          <w:rFonts w:eastAsiaTheme="minorHAnsi" w:cs="Times New Roman"/>
          <w:caps/>
          <w:szCs w:val="22"/>
        </w:rPr>
      </w:pPr>
      <w:r w:rsidRPr="00E10C73">
        <w:rPr>
          <w:rFonts w:eastAsiaTheme="minorHAnsi" w:cs="Times New Roman"/>
          <w:caps/>
          <w:szCs w:val="22"/>
        </w:rPr>
        <w:t>ON A</w:t>
      </w:r>
    </w:p>
    <w:p w14:paraId="62857698" w14:textId="4F28CCE4" w:rsidR="00E10C73" w:rsidRPr="00E10C73" w:rsidRDefault="00D310E2" w:rsidP="00E10C73">
      <w:pPr>
        <w:spacing w:line="240" w:lineRule="auto"/>
        <w:jc w:val="center"/>
        <w:rPr>
          <w:rFonts w:ascii="Calibri" w:eastAsiaTheme="minorHAnsi" w:hAnsi="Calibri" w:cs="Times New Roman"/>
          <w:caps/>
          <w:szCs w:val="22"/>
        </w:rPr>
      </w:pPr>
      <w:r w:rsidRPr="00E10C73">
        <w:rPr>
          <w:rFonts w:ascii="Calibri" w:eastAsiaTheme="minorHAnsi" w:hAnsi="Calibri" w:cs="Times New Roman"/>
          <w:caps/>
          <w:szCs w:val="22"/>
        </w:rPr>
        <w:t>GRANT</w:t>
      </w:r>
    </w:p>
    <w:p w14:paraId="352389D9" w14:textId="77777777" w:rsidR="00E10C73" w:rsidRDefault="00E10C73" w:rsidP="00B05700">
      <w:pPr>
        <w:spacing w:line="276" w:lineRule="auto"/>
        <w:jc w:val="center"/>
        <w:rPr>
          <w:rFonts w:cs="Times New Roman"/>
          <w:bCs/>
          <w:color w:val="262626" w:themeColor="text1" w:themeTint="D9"/>
          <w:kern w:val="24"/>
          <w:szCs w:val="22"/>
        </w:rPr>
      </w:pPr>
    </w:p>
    <w:p w14:paraId="7433988D" w14:textId="77777777" w:rsidR="00F76E0A" w:rsidRPr="00F76E0A" w:rsidRDefault="00F76E0A" w:rsidP="00F76E0A">
      <w:pPr>
        <w:spacing w:line="276" w:lineRule="auto"/>
        <w:jc w:val="center"/>
        <w:rPr>
          <w:rFonts w:cs="Times New Roman"/>
          <w:bCs/>
          <w:color w:val="262626" w:themeColor="text1" w:themeTint="D9"/>
          <w:kern w:val="24"/>
          <w:szCs w:val="22"/>
        </w:rPr>
      </w:pPr>
      <w:r w:rsidRPr="00F76E0A">
        <w:rPr>
          <w:rFonts w:cs="Times New Roman"/>
          <w:bCs/>
          <w:color w:val="262626" w:themeColor="text1" w:themeTint="D9"/>
          <w:kern w:val="24"/>
          <w:szCs w:val="22"/>
        </w:rPr>
        <w:t xml:space="preserve">IN THE AMOUNT OF SDR 13.2 MILLION </w:t>
      </w:r>
    </w:p>
    <w:p w14:paraId="7A704305" w14:textId="77777777" w:rsidR="00F76E0A" w:rsidRPr="00F76E0A" w:rsidRDefault="00F76E0A" w:rsidP="00F76E0A">
      <w:pPr>
        <w:spacing w:line="276" w:lineRule="auto"/>
        <w:jc w:val="center"/>
        <w:rPr>
          <w:rFonts w:cs="Times New Roman"/>
          <w:bCs/>
          <w:color w:val="262626" w:themeColor="text1" w:themeTint="D9"/>
          <w:kern w:val="24"/>
          <w:szCs w:val="22"/>
        </w:rPr>
      </w:pPr>
      <w:r w:rsidRPr="00F76E0A">
        <w:rPr>
          <w:rFonts w:cs="Times New Roman"/>
          <w:bCs/>
          <w:color w:val="262626" w:themeColor="text1" w:themeTint="D9"/>
          <w:kern w:val="24"/>
          <w:szCs w:val="22"/>
        </w:rPr>
        <w:t>(US$18.51 MILLION EQUIVALENT)</w:t>
      </w:r>
    </w:p>
    <w:p w14:paraId="3FC802F0" w14:textId="77777777" w:rsidR="00F76E0A" w:rsidRPr="00F76E0A" w:rsidRDefault="00F76E0A" w:rsidP="00F76E0A">
      <w:pPr>
        <w:spacing w:line="276" w:lineRule="auto"/>
        <w:jc w:val="center"/>
        <w:rPr>
          <w:rFonts w:cs="Times New Roman"/>
          <w:bCs/>
          <w:color w:val="262626" w:themeColor="text1" w:themeTint="D9"/>
          <w:kern w:val="24"/>
          <w:szCs w:val="22"/>
        </w:rPr>
      </w:pPr>
    </w:p>
    <w:p w14:paraId="77258F38" w14:textId="77777777" w:rsidR="00F76E0A" w:rsidRPr="00F76E0A" w:rsidRDefault="00F76E0A" w:rsidP="00F76E0A">
      <w:pPr>
        <w:spacing w:line="276" w:lineRule="auto"/>
        <w:jc w:val="center"/>
        <w:rPr>
          <w:rFonts w:cs="Times New Roman"/>
          <w:bCs/>
          <w:color w:val="262626" w:themeColor="text1" w:themeTint="D9"/>
          <w:kern w:val="24"/>
          <w:szCs w:val="22"/>
        </w:rPr>
      </w:pPr>
      <w:r w:rsidRPr="00F76E0A">
        <w:rPr>
          <w:rFonts w:cs="Times New Roman"/>
          <w:bCs/>
          <w:color w:val="262626" w:themeColor="text1" w:themeTint="D9"/>
          <w:kern w:val="24"/>
          <w:szCs w:val="22"/>
        </w:rPr>
        <w:t>A GRANT</w:t>
      </w:r>
    </w:p>
    <w:p w14:paraId="76F455F8" w14:textId="77777777" w:rsidR="00F76E0A" w:rsidRPr="00F76E0A" w:rsidRDefault="00F76E0A" w:rsidP="00F76E0A">
      <w:pPr>
        <w:spacing w:line="276" w:lineRule="auto"/>
        <w:jc w:val="center"/>
        <w:rPr>
          <w:rFonts w:cs="Times New Roman"/>
          <w:bCs/>
          <w:color w:val="262626" w:themeColor="text1" w:themeTint="D9"/>
          <w:kern w:val="24"/>
          <w:szCs w:val="22"/>
        </w:rPr>
      </w:pPr>
      <w:r w:rsidRPr="00F76E0A">
        <w:rPr>
          <w:rFonts w:cs="Times New Roman"/>
          <w:bCs/>
          <w:color w:val="262626" w:themeColor="text1" w:themeTint="D9"/>
          <w:kern w:val="24"/>
          <w:szCs w:val="22"/>
        </w:rPr>
        <w:t xml:space="preserve">IN THE AMOUNT OF </w:t>
      </w:r>
    </w:p>
    <w:p w14:paraId="624DF2E8" w14:textId="16930A66" w:rsidR="00B05700" w:rsidRPr="007C6893" w:rsidRDefault="00F76E0A" w:rsidP="00F76E0A">
      <w:pPr>
        <w:spacing w:line="276" w:lineRule="auto"/>
        <w:jc w:val="center"/>
        <w:rPr>
          <w:rFonts w:cs="Times New Roman"/>
          <w:bCs/>
          <w:color w:val="262626" w:themeColor="text1" w:themeTint="D9"/>
          <w:kern w:val="24"/>
          <w:szCs w:val="22"/>
        </w:rPr>
      </w:pPr>
      <w:r w:rsidRPr="00F76E0A">
        <w:rPr>
          <w:rFonts w:cs="Times New Roman"/>
          <w:bCs/>
          <w:color w:val="262626" w:themeColor="text1" w:themeTint="D9"/>
          <w:kern w:val="24"/>
          <w:szCs w:val="22"/>
        </w:rPr>
        <w:t>US$2,393,224</w:t>
      </w:r>
    </w:p>
    <w:p w14:paraId="636C8C17" w14:textId="77777777" w:rsidR="00B05700" w:rsidRPr="007C6893" w:rsidRDefault="00B05700" w:rsidP="00B05700">
      <w:pPr>
        <w:spacing w:line="276" w:lineRule="auto"/>
        <w:jc w:val="center"/>
        <w:rPr>
          <w:rFonts w:cs="Times New Roman"/>
          <w:bCs/>
          <w:color w:val="262626" w:themeColor="text1" w:themeTint="D9"/>
          <w:kern w:val="24"/>
          <w:szCs w:val="22"/>
        </w:rPr>
      </w:pPr>
    </w:p>
    <w:p w14:paraId="56473814" w14:textId="77777777" w:rsidR="00B05700" w:rsidRPr="007C6893" w:rsidRDefault="00D310E2" w:rsidP="7D526688">
      <w:pPr>
        <w:spacing w:line="276" w:lineRule="auto"/>
        <w:jc w:val="center"/>
        <w:rPr>
          <w:rFonts w:cs="Times New Roman"/>
          <w:color w:val="262626" w:themeColor="text1" w:themeTint="D9"/>
          <w:kern w:val="24"/>
        </w:rPr>
      </w:pPr>
      <w:r w:rsidRPr="7D526688">
        <w:rPr>
          <w:rFonts w:cs="Times New Roman"/>
          <w:color w:val="262626" w:themeColor="text1" w:themeTint="D9"/>
          <w:kern w:val="24"/>
        </w:rPr>
        <w:t>TO {THE}</w:t>
      </w:r>
    </w:p>
    <w:p w14:paraId="053F3C6C" w14:textId="77777777" w:rsidR="00B05700" w:rsidRDefault="00D310E2" w:rsidP="00B05700">
      <w:pPr>
        <w:spacing w:line="276" w:lineRule="auto"/>
        <w:jc w:val="center"/>
        <w:rPr>
          <w:rFonts w:cs="Times New Roman"/>
          <w:bCs/>
          <w:color w:val="262626" w:themeColor="text1" w:themeTint="D9"/>
          <w:kern w:val="24"/>
          <w:szCs w:val="22"/>
        </w:rPr>
      </w:pPr>
      <w:r>
        <w:rPr>
          <w:rFonts w:cs="Times New Roman"/>
          <w:bCs/>
          <w:noProof/>
          <w:color w:val="262626" w:themeColor="text1" w:themeTint="D9"/>
          <w:kern w:val="24"/>
          <w:szCs w:val="22"/>
        </w:rPr>
        <w:t>Kingdom of Tonga</w:t>
      </w:r>
    </w:p>
    <w:p w14:paraId="65FDB6F3" w14:textId="77777777" w:rsidR="007C6893" w:rsidRPr="007C6893" w:rsidRDefault="007C6893" w:rsidP="00B05700">
      <w:pPr>
        <w:spacing w:line="276" w:lineRule="auto"/>
        <w:jc w:val="center"/>
        <w:rPr>
          <w:rFonts w:cs="Times New Roman"/>
          <w:bCs/>
          <w:color w:val="262626" w:themeColor="text1" w:themeTint="D9"/>
          <w:kern w:val="24"/>
          <w:szCs w:val="22"/>
        </w:rPr>
      </w:pPr>
    </w:p>
    <w:p w14:paraId="51607F90" w14:textId="77777777" w:rsidR="00B05700" w:rsidRPr="007C6893" w:rsidRDefault="00D310E2" w:rsidP="00B05700">
      <w:pPr>
        <w:spacing w:line="276" w:lineRule="auto"/>
        <w:jc w:val="center"/>
        <w:rPr>
          <w:rFonts w:cs="Times New Roman"/>
          <w:bCs/>
          <w:color w:val="262626" w:themeColor="text1" w:themeTint="D9"/>
          <w:kern w:val="24"/>
          <w:szCs w:val="22"/>
        </w:rPr>
      </w:pPr>
      <w:r w:rsidRPr="007C6893">
        <w:rPr>
          <w:rFonts w:cs="Times New Roman"/>
          <w:bCs/>
          <w:color w:val="262626" w:themeColor="text1" w:themeTint="D9"/>
          <w:kern w:val="24"/>
          <w:szCs w:val="22"/>
        </w:rPr>
        <w:t>FOR</w:t>
      </w:r>
    </w:p>
    <w:p w14:paraId="2A80FDDD" w14:textId="6079EF94" w:rsidR="001E619A" w:rsidRPr="00EE131D" w:rsidRDefault="00D310E2" w:rsidP="0654BEA2">
      <w:pPr>
        <w:spacing w:line="276" w:lineRule="auto"/>
        <w:ind w:left="521" w:right="523"/>
        <w:jc w:val="center"/>
        <w:rPr>
          <w:rFonts w:cs="Times New Roman"/>
          <w:color w:val="262626" w:themeColor="text1" w:themeTint="D9"/>
        </w:rPr>
      </w:pPr>
      <w:r w:rsidRPr="0654BEA2">
        <w:rPr>
          <w:rFonts w:cs="Times New Roman"/>
          <w:noProof/>
          <w:color w:val="262626" w:themeColor="text1" w:themeTint="D9"/>
          <w:kern w:val="24"/>
        </w:rPr>
        <w:t>Skills and Employment for Tongans</w:t>
      </w:r>
      <w:r w:rsidRPr="007C6893">
        <w:rPr>
          <w:rFonts w:cs="Times New Roman"/>
          <w:bCs/>
          <w:color w:val="262626" w:themeColor="text1" w:themeTint="D9"/>
          <w:kern w:val="24"/>
          <w:szCs w:val="22"/>
        </w:rPr>
        <w:br/>
      </w:r>
      <w:r w:rsidR="5088D17C" w:rsidRPr="00945CE5">
        <w:rPr>
          <w:rFonts w:cs="Times New Roman"/>
          <w:color w:val="262626" w:themeColor="text1" w:themeTint="D9"/>
          <w:highlight w:val="yellow"/>
        </w:rPr>
        <w:t>23 May 2025</w:t>
      </w:r>
    </w:p>
    <w:p w14:paraId="7EB28DAA" w14:textId="77777777" w:rsidR="0035024F" w:rsidRDefault="0035024F" w:rsidP="00E62627">
      <w:pPr>
        <w:spacing w:line="240" w:lineRule="auto"/>
        <w:ind w:left="90"/>
        <w:rPr>
          <w:rFonts w:cs="Times New Roman"/>
          <w:noProof/>
          <w:szCs w:val="22"/>
        </w:rPr>
      </w:pPr>
    </w:p>
    <w:p w14:paraId="2A12BFA8" w14:textId="77777777" w:rsidR="0035024F" w:rsidRDefault="0035024F" w:rsidP="00E62627">
      <w:pPr>
        <w:spacing w:line="240" w:lineRule="auto"/>
        <w:ind w:left="90"/>
        <w:rPr>
          <w:rFonts w:cs="Times New Roman"/>
          <w:noProof/>
          <w:szCs w:val="22"/>
        </w:rPr>
      </w:pPr>
    </w:p>
    <w:p w14:paraId="78E8F7DE" w14:textId="77777777" w:rsidR="0035024F" w:rsidRDefault="0035024F" w:rsidP="00E62627">
      <w:pPr>
        <w:spacing w:line="240" w:lineRule="auto"/>
        <w:ind w:left="90"/>
        <w:rPr>
          <w:rFonts w:cs="Times New Roman"/>
          <w:noProof/>
          <w:szCs w:val="22"/>
        </w:rPr>
      </w:pPr>
    </w:p>
    <w:p w14:paraId="0F564026" w14:textId="77777777" w:rsidR="0035024F" w:rsidRDefault="0035024F" w:rsidP="00E62627">
      <w:pPr>
        <w:spacing w:line="240" w:lineRule="auto"/>
        <w:ind w:left="90"/>
        <w:rPr>
          <w:rFonts w:cs="Times New Roman"/>
          <w:noProof/>
          <w:szCs w:val="22"/>
        </w:rPr>
      </w:pPr>
    </w:p>
    <w:p w14:paraId="26600E70" w14:textId="77777777" w:rsidR="0035024F" w:rsidRDefault="0035024F" w:rsidP="00E62627">
      <w:pPr>
        <w:spacing w:line="240" w:lineRule="auto"/>
        <w:ind w:left="90"/>
        <w:rPr>
          <w:rFonts w:cs="Times New Roman"/>
          <w:noProof/>
          <w:szCs w:val="22"/>
        </w:rPr>
      </w:pPr>
    </w:p>
    <w:p w14:paraId="573C3587" w14:textId="77777777" w:rsidR="0035024F" w:rsidRDefault="0035024F" w:rsidP="00E62627">
      <w:pPr>
        <w:spacing w:line="240" w:lineRule="auto"/>
        <w:ind w:left="90"/>
        <w:rPr>
          <w:rFonts w:cs="Times New Roman"/>
          <w:noProof/>
          <w:szCs w:val="22"/>
        </w:rPr>
      </w:pPr>
    </w:p>
    <w:p w14:paraId="5B4C93E0" w14:textId="77777777" w:rsidR="0035024F" w:rsidRDefault="0035024F" w:rsidP="00E62627">
      <w:pPr>
        <w:spacing w:line="240" w:lineRule="auto"/>
        <w:ind w:left="90"/>
        <w:rPr>
          <w:rFonts w:cs="Times New Roman"/>
          <w:noProof/>
          <w:szCs w:val="22"/>
        </w:rPr>
      </w:pPr>
    </w:p>
    <w:p w14:paraId="776C4B75" w14:textId="77777777" w:rsidR="007C6893" w:rsidRPr="007C6893" w:rsidRDefault="00D310E2" w:rsidP="0035024F">
      <w:pPr>
        <w:spacing w:line="240" w:lineRule="auto"/>
        <w:ind w:left="90"/>
        <w:jc w:val="center"/>
        <w:rPr>
          <w:rFonts w:cs="Times New Roman"/>
          <w:szCs w:val="22"/>
        </w:rPr>
      </w:pPr>
      <w:r w:rsidRPr="007C6893">
        <w:rPr>
          <w:rFonts w:cs="Times New Roman"/>
          <w:noProof/>
          <w:szCs w:val="22"/>
        </w:rPr>
        <w:t>Social Protection &amp; Jobs</w:t>
      </w:r>
    </w:p>
    <w:p w14:paraId="1097B607" w14:textId="77777777" w:rsidR="006F4A9A" w:rsidRDefault="00D310E2" w:rsidP="0035024F">
      <w:pPr>
        <w:spacing w:line="240" w:lineRule="auto"/>
        <w:ind w:left="90"/>
        <w:jc w:val="center"/>
        <w:rPr>
          <w:rFonts w:cs="Times New Roman"/>
          <w:noProof/>
          <w:szCs w:val="22"/>
        </w:rPr>
      </w:pPr>
      <w:r w:rsidRPr="007C6893">
        <w:rPr>
          <w:rFonts w:cs="Times New Roman"/>
          <w:noProof/>
          <w:szCs w:val="22"/>
        </w:rPr>
        <w:t>East Asia And Pacific</w:t>
      </w:r>
    </w:p>
    <w:p w14:paraId="272EDB06" w14:textId="3BAB7EE7" w:rsidR="008C44C1" w:rsidRPr="007C6893" w:rsidRDefault="008C44C1" w:rsidP="008C44C1">
      <w:pPr>
        <w:spacing w:line="276" w:lineRule="auto"/>
        <w:ind w:left="90"/>
        <w:rPr>
          <w:rFonts w:cs="Times New Roman"/>
          <w:szCs w:val="22"/>
        </w:rPr>
      </w:pPr>
    </w:p>
    <w:p w14:paraId="4B953CA9" w14:textId="77777777" w:rsidR="001E619A" w:rsidRDefault="001E619A" w:rsidP="00F156E8"/>
    <w:p w14:paraId="3745042D" w14:textId="77777777" w:rsidR="00205323" w:rsidRDefault="00205323" w:rsidP="002E2723">
      <w:pPr>
        <w:sectPr w:rsidR="00205323" w:rsidSect="00F70582">
          <w:headerReference w:type="default" r:id="rId11"/>
          <w:footerReference w:type="default" r:id="rId12"/>
          <w:headerReference w:type="first" r:id="rId13"/>
          <w:type w:val="continuous"/>
          <w:pgSz w:w="12240" w:h="15840" w:code="1"/>
          <w:pgMar w:top="1440" w:right="720" w:bottom="1440" w:left="720" w:header="720" w:footer="720" w:gutter="0"/>
          <w:pgBorders w:display="firstPage" w:offsetFrom="page">
            <w:top w:val="single" w:sz="36" w:space="24" w:color="2F5496"/>
            <w:left w:val="single" w:sz="36" w:space="24" w:color="2F5496"/>
            <w:bottom w:val="single" w:sz="36" w:space="24" w:color="2F5496"/>
            <w:right w:val="single" w:sz="36" w:space="24" w:color="2F5496"/>
          </w:pgBorders>
          <w:pgNumType w:fmt="lowerRoman"/>
          <w:cols w:space="720"/>
          <w:titlePg/>
          <w:docGrid w:linePitch="299"/>
        </w:sectPr>
      </w:pP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DD6229" w14:paraId="6B36B773" w14:textId="77777777" w:rsidTr="0654BEA2">
        <w:trPr>
          <w:jc w:val="center"/>
        </w:trPr>
        <w:tc>
          <w:tcPr>
            <w:tcW w:w="9450" w:type="dxa"/>
            <w:vAlign w:val="center"/>
          </w:tcPr>
          <w:p w14:paraId="6DBDF196" w14:textId="77777777" w:rsidR="00576120" w:rsidRPr="000E6FFF" w:rsidRDefault="00D310E2" w:rsidP="00024314">
            <w:pPr>
              <w:jc w:val="center"/>
              <w:rPr>
                <w:rFonts w:cs="Times New Roman"/>
                <w:szCs w:val="22"/>
              </w:rPr>
            </w:pPr>
            <w:r w:rsidRPr="000E6FFF">
              <w:rPr>
                <w:noProof/>
                <w:szCs w:val="22"/>
              </w:rPr>
              <w:lastRenderedPageBreak/>
              <mc:AlternateContent>
                <mc:Choice Requires="wps">
                  <w:drawing>
                    <wp:anchor distT="0" distB="0" distL="114300" distR="114300" simplePos="0" relativeHeight="251658242" behindDoc="0" locked="0" layoutInCell="1" allowOverlap="1" wp14:anchorId="3F20B05B" wp14:editId="641A5DC3">
                      <wp:simplePos x="0" y="0"/>
                      <wp:positionH relativeFrom="column">
                        <wp:posOffset>1762125</wp:posOffset>
                      </wp:positionH>
                      <wp:positionV relativeFrom="paragraph">
                        <wp:posOffset>155575</wp:posOffset>
                      </wp:positionV>
                      <wp:extent cx="0" cy="0"/>
                      <wp:effectExtent l="0" t="0" r="0" b="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BDD6EE"/>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5A68E0" id="Straight Connector 247"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2.25pt" to="138.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" strokecolor="#bdd6ee" strokeweight=".5pt">
                      <v:stroke joinstyle="miter"/>
                    </v:line>
                  </w:pict>
                </mc:Fallback>
              </mc:AlternateContent>
            </w:r>
            <w:r w:rsidRPr="000E6FFF">
              <w:rPr>
                <w:rFonts w:cs="Times New Roman"/>
                <w:szCs w:val="22"/>
              </w:rPr>
              <w:t xml:space="preserve">CURRENCY EQUIVALENTS </w:t>
            </w:r>
          </w:p>
          <w:p w14:paraId="2AE9ED06" w14:textId="77777777" w:rsidR="00576120" w:rsidRPr="000E6FFF" w:rsidRDefault="00576120" w:rsidP="00024314">
            <w:pPr>
              <w:jc w:val="center"/>
              <w:rPr>
                <w:rFonts w:cs="Times New Roman"/>
                <w:szCs w:val="22"/>
              </w:rPr>
            </w:pPr>
          </w:p>
        </w:tc>
      </w:tr>
      <w:tr w:rsidR="00DD6229" w14:paraId="0A9F53F0" w14:textId="77777777" w:rsidTr="0654BEA2">
        <w:trPr>
          <w:trHeight w:val="288"/>
          <w:jc w:val="center"/>
        </w:trPr>
        <w:tc>
          <w:tcPr>
            <w:tcW w:w="9450" w:type="dxa"/>
            <w:vAlign w:val="center"/>
            <w:hideMark/>
          </w:tcPr>
          <w:p w14:paraId="2D28A06D" w14:textId="77777777" w:rsidR="00EE131D" w:rsidRPr="000E6FFF" w:rsidRDefault="00D310E2" w:rsidP="00EE131D">
            <w:pPr>
              <w:jc w:val="center"/>
              <w:rPr>
                <w:rFonts w:cs="Times New Roman"/>
                <w:color w:val="595959" w:themeColor="text1" w:themeTint="A6"/>
                <w:szCs w:val="22"/>
              </w:rPr>
            </w:pPr>
            <w:r w:rsidRPr="000E6FFF">
              <w:rPr>
                <w:rFonts w:cs="Times New Roman"/>
                <w:color w:val="595959" w:themeColor="text1" w:themeTint="A6"/>
                <w:szCs w:val="22"/>
              </w:rPr>
              <w:t>(Exchange Rate Effective {</w:t>
            </w:r>
            <w:r w:rsidRPr="000E6FFF">
              <w:rPr>
                <w:rFonts w:cs="Times New Roman"/>
                <w:noProof/>
                <w:color w:val="595959" w:themeColor="text1" w:themeTint="A6"/>
                <w:szCs w:val="22"/>
              </w:rPr>
              <w:t>Oct 02, 2024</w:t>
            </w:r>
            <w:r w:rsidRPr="000E6FFF">
              <w:rPr>
                <w:rFonts w:cs="Times New Roman"/>
                <w:color w:val="595959" w:themeColor="text1" w:themeTint="A6"/>
                <w:szCs w:val="22"/>
              </w:rPr>
              <w:t>})</w:t>
            </w:r>
          </w:p>
        </w:tc>
      </w:tr>
      <w:tr w:rsidR="00DD6229" w14:paraId="17A06D41" w14:textId="77777777" w:rsidTr="0654BEA2">
        <w:trPr>
          <w:trHeight w:val="20"/>
          <w:jc w:val="center"/>
        </w:trPr>
        <w:tc>
          <w:tcPr>
            <w:tcW w:w="9450" w:type="dxa"/>
            <w:vAlign w:val="center"/>
          </w:tcPr>
          <w:p w14:paraId="1D63C59A" w14:textId="77777777" w:rsidR="00576120" w:rsidRPr="000E6FFF" w:rsidRDefault="00576120" w:rsidP="00024314">
            <w:pPr>
              <w:jc w:val="center"/>
              <w:rPr>
                <w:rFonts w:cs="Times New Roman"/>
                <w:szCs w:val="22"/>
              </w:rPr>
            </w:pPr>
          </w:p>
        </w:tc>
      </w:tr>
      <w:tr w:rsidR="00DD6229" w14:paraId="68496CEB" w14:textId="77777777" w:rsidTr="0654BEA2">
        <w:trPr>
          <w:jc w:val="center"/>
        </w:trPr>
        <w:tc>
          <w:tcPr>
            <w:tcW w:w="9450" w:type="dxa"/>
            <w:vAlign w:val="center"/>
            <w:hideMark/>
          </w:tcPr>
          <w:tbl>
            <w:tblPr>
              <w:tblStyle w:val="TableGrid"/>
              <w:tblW w:w="5385"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70"/>
              <w:gridCol w:w="3015"/>
            </w:tblGrid>
            <w:tr w:rsidR="00DD6229" w14:paraId="17466E15" w14:textId="77777777" w:rsidTr="0654BEA2">
              <w:trPr>
                <w:trHeight w:val="399"/>
                <w:jc w:val="center"/>
              </w:trPr>
              <w:tc>
                <w:tcPr>
                  <w:tcW w:w="2370" w:type="dxa"/>
                  <w:tcBorders>
                    <w:top w:val="nil"/>
                    <w:left w:val="nil"/>
                    <w:bottom w:val="dashed" w:sz="4" w:space="0" w:color="D9D9D9" w:themeColor="background1" w:themeShade="D9"/>
                    <w:right w:val="nil"/>
                  </w:tcBorders>
                  <w:vAlign w:val="center"/>
                  <w:hideMark/>
                </w:tcPr>
                <w:p w14:paraId="008C14F5" w14:textId="77777777" w:rsidR="00576120" w:rsidRPr="000E6FFF" w:rsidRDefault="00D310E2" w:rsidP="00024314">
                  <w:pPr>
                    <w:ind w:left="-900" w:firstLine="900"/>
                    <w:jc w:val="right"/>
                    <w:rPr>
                      <w:rFonts w:cs="Times New Roman"/>
                      <w:szCs w:val="22"/>
                    </w:rPr>
                  </w:pPr>
                  <w:r w:rsidRPr="000E6FFF">
                    <w:rPr>
                      <w:rFonts w:cs="Times New Roman"/>
                      <w:szCs w:val="22"/>
                    </w:rPr>
                    <w:t xml:space="preserve">Currency Unit =                                    </w:t>
                  </w:r>
                </w:p>
              </w:tc>
              <w:tc>
                <w:tcPr>
                  <w:tcW w:w="3015" w:type="dxa"/>
                  <w:tcBorders>
                    <w:top w:val="nil"/>
                    <w:left w:val="nil"/>
                    <w:bottom w:val="dashed" w:sz="4" w:space="0" w:color="D9D9D9" w:themeColor="background1" w:themeShade="D9"/>
                    <w:right w:val="nil"/>
                  </w:tcBorders>
                  <w:vAlign w:val="center"/>
                </w:tcPr>
                <w:p w14:paraId="190CB347" w14:textId="10A42FDD" w:rsidR="00576120" w:rsidRPr="000E6FFF" w:rsidRDefault="00F76E0A" w:rsidP="00024314">
                  <w:pPr>
                    <w:rPr>
                      <w:rFonts w:cs="Times New Roman"/>
                      <w:szCs w:val="22"/>
                    </w:rPr>
                  </w:pPr>
                  <w:r w:rsidRPr="00F76E0A">
                    <w:rPr>
                      <w:rFonts w:cs="Times New Roman"/>
                      <w:szCs w:val="22"/>
                    </w:rPr>
                    <w:t>Tongan Pa’anga (TOP)</w:t>
                  </w:r>
                </w:p>
              </w:tc>
            </w:tr>
            <w:tr w:rsidR="00DD6229" w14:paraId="0A3093F4" w14:textId="77777777" w:rsidTr="0654BEA2">
              <w:trPr>
                <w:trHeight w:val="399"/>
                <w:jc w:val="center"/>
              </w:trPr>
              <w:tc>
                <w:tcPr>
                  <w:tcW w:w="2370" w:type="dxa"/>
                  <w:tcBorders>
                    <w:top w:val="dashed" w:sz="4" w:space="0" w:color="D9D9D9" w:themeColor="background1" w:themeShade="D9"/>
                    <w:left w:val="nil"/>
                    <w:bottom w:val="dashed" w:sz="4" w:space="0" w:color="D9D9D9" w:themeColor="background1" w:themeShade="D9"/>
                    <w:right w:val="nil"/>
                  </w:tcBorders>
                  <w:vAlign w:val="center"/>
                  <w:hideMark/>
                </w:tcPr>
                <w:p w14:paraId="03F9DEF5" w14:textId="0EEF43E1" w:rsidR="00576120" w:rsidRPr="000E6FFF" w:rsidRDefault="00F76E0A" w:rsidP="00024314">
                  <w:pPr>
                    <w:jc w:val="right"/>
                    <w:rPr>
                      <w:rFonts w:cs="Times New Roman"/>
                      <w:szCs w:val="22"/>
                    </w:rPr>
                  </w:pPr>
                  <w:r>
                    <w:rPr>
                      <w:rFonts w:cs="Times New Roman"/>
                      <w:szCs w:val="22"/>
                    </w:rPr>
                    <w:t xml:space="preserve">TOP 2.24 </w:t>
                  </w:r>
                  <w:r w:rsidRPr="000E6FFF">
                    <w:rPr>
                      <w:rFonts w:cs="Times New Roman"/>
                      <w:szCs w:val="22"/>
                    </w:rPr>
                    <w:t>=</w:t>
                  </w:r>
                </w:p>
              </w:tc>
              <w:tc>
                <w:tcPr>
                  <w:tcW w:w="3015" w:type="dxa"/>
                  <w:tcBorders>
                    <w:top w:val="dashed" w:sz="4" w:space="0" w:color="D9D9D9" w:themeColor="background1" w:themeShade="D9"/>
                    <w:left w:val="nil"/>
                    <w:bottom w:val="dashed" w:sz="4" w:space="0" w:color="D9D9D9" w:themeColor="background1" w:themeShade="D9"/>
                    <w:right w:val="nil"/>
                  </w:tcBorders>
                  <w:vAlign w:val="center"/>
                  <w:hideMark/>
                </w:tcPr>
                <w:p w14:paraId="23EB0521" w14:textId="77777777" w:rsidR="00576120" w:rsidRPr="000E6FFF" w:rsidRDefault="00D310E2" w:rsidP="00024314">
                  <w:pPr>
                    <w:rPr>
                      <w:rFonts w:cs="Times New Roman"/>
                      <w:szCs w:val="22"/>
                    </w:rPr>
                  </w:pPr>
                  <w:r w:rsidRPr="000E6FFF">
                    <w:rPr>
                      <w:rFonts w:cs="Times New Roman"/>
                      <w:szCs w:val="22"/>
                    </w:rPr>
                    <w:t>US$1</w:t>
                  </w:r>
                </w:p>
              </w:tc>
            </w:tr>
            <w:tr w:rsidR="00DD6229" w14:paraId="6F8ECBB6" w14:textId="77777777" w:rsidTr="0654BEA2">
              <w:trPr>
                <w:trHeight w:val="399"/>
                <w:jc w:val="center"/>
              </w:trPr>
              <w:tc>
                <w:tcPr>
                  <w:tcW w:w="2370" w:type="dxa"/>
                  <w:tcBorders>
                    <w:top w:val="dashed" w:sz="4" w:space="0" w:color="D9D9D9" w:themeColor="background1" w:themeShade="D9"/>
                    <w:left w:val="nil"/>
                    <w:bottom w:val="nil"/>
                    <w:right w:val="nil"/>
                  </w:tcBorders>
                  <w:vAlign w:val="center"/>
                  <w:hideMark/>
                </w:tcPr>
                <w:p w14:paraId="04A8A204" w14:textId="0BDEC92F" w:rsidR="00576120" w:rsidRPr="000E6FFF" w:rsidRDefault="00D310E2" w:rsidP="00024314">
                  <w:pPr>
                    <w:jc w:val="right"/>
                    <w:rPr>
                      <w:rFonts w:cs="Times New Roman"/>
                      <w:szCs w:val="22"/>
                    </w:rPr>
                  </w:pPr>
                  <w:r w:rsidRPr="000E6FFF">
                    <w:rPr>
                      <w:rFonts w:cs="Times New Roman"/>
                      <w:szCs w:val="22"/>
                    </w:rPr>
                    <w:t>US$</w:t>
                  </w:r>
                  <w:r w:rsidR="00F76E0A">
                    <w:rPr>
                      <w:rFonts w:cs="Times New Roman"/>
                      <w:szCs w:val="22"/>
                    </w:rPr>
                    <w:t>1.32</w:t>
                  </w:r>
                  <w:r w:rsidRPr="000E6FFF">
                    <w:rPr>
                      <w:rFonts w:cs="Times New Roman"/>
                      <w:szCs w:val="22"/>
                    </w:rPr>
                    <w:t xml:space="preserve"> =</w:t>
                  </w:r>
                </w:p>
              </w:tc>
              <w:tc>
                <w:tcPr>
                  <w:tcW w:w="3015" w:type="dxa"/>
                  <w:tcBorders>
                    <w:top w:val="dashed" w:sz="4" w:space="0" w:color="D9D9D9" w:themeColor="background1" w:themeShade="D9"/>
                    <w:left w:val="nil"/>
                    <w:bottom w:val="nil"/>
                    <w:right w:val="nil"/>
                  </w:tcBorders>
                  <w:vAlign w:val="center"/>
                  <w:hideMark/>
                </w:tcPr>
                <w:p w14:paraId="545C2F48" w14:textId="77777777" w:rsidR="00576120" w:rsidRPr="000E6FFF" w:rsidRDefault="00D310E2" w:rsidP="00024314">
                  <w:pPr>
                    <w:rPr>
                      <w:rFonts w:cs="Times New Roman"/>
                      <w:szCs w:val="22"/>
                    </w:rPr>
                  </w:pPr>
                  <w:r w:rsidRPr="000E6FFF">
                    <w:rPr>
                      <w:rFonts w:cs="Times New Roman"/>
                      <w:szCs w:val="22"/>
                    </w:rPr>
                    <w:t>SDR 1</w:t>
                  </w:r>
                </w:p>
              </w:tc>
            </w:tr>
          </w:tbl>
          <w:p w14:paraId="5429F283" w14:textId="77777777" w:rsidR="00576120" w:rsidRPr="000E6FFF" w:rsidRDefault="00576120" w:rsidP="00024314">
            <w:pPr>
              <w:jc w:val="center"/>
              <w:rPr>
                <w:rFonts w:cs="Times New Roman"/>
                <w:szCs w:val="22"/>
              </w:rPr>
            </w:pPr>
          </w:p>
        </w:tc>
      </w:tr>
      <w:tr w:rsidR="00DD6229" w14:paraId="42537B07" w14:textId="77777777" w:rsidTr="0654BEA2">
        <w:trPr>
          <w:jc w:val="center"/>
        </w:trPr>
        <w:tc>
          <w:tcPr>
            <w:tcW w:w="9450" w:type="dxa"/>
            <w:vAlign w:val="center"/>
          </w:tcPr>
          <w:p w14:paraId="63E471B3" w14:textId="77777777" w:rsidR="00576120" w:rsidRPr="000E6FFF" w:rsidRDefault="00576120" w:rsidP="00024314">
            <w:pPr>
              <w:ind w:left="-900" w:firstLine="900"/>
              <w:jc w:val="center"/>
              <w:rPr>
                <w:rFonts w:cs="Times New Roman"/>
                <w:szCs w:val="22"/>
              </w:rPr>
            </w:pPr>
          </w:p>
          <w:p w14:paraId="4DEAC34F" w14:textId="77777777" w:rsidR="00576120" w:rsidRPr="000E6FFF" w:rsidRDefault="00D310E2" w:rsidP="00024314">
            <w:pPr>
              <w:ind w:left="-900" w:firstLine="900"/>
              <w:jc w:val="center"/>
              <w:rPr>
                <w:rFonts w:cs="Times New Roman"/>
                <w:szCs w:val="22"/>
              </w:rPr>
            </w:pPr>
            <w:r w:rsidRPr="000E6FFF">
              <w:rPr>
                <w:rFonts w:cs="Times New Roman"/>
                <w:szCs w:val="22"/>
              </w:rPr>
              <w:t>FISCAL YEAR</w:t>
            </w:r>
          </w:p>
        </w:tc>
      </w:tr>
      <w:tr w:rsidR="00DD6229" w14:paraId="7681C67B" w14:textId="77777777" w:rsidTr="0654BEA2">
        <w:trPr>
          <w:trHeight w:val="297"/>
          <w:jc w:val="center"/>
        </w:trPr>
        <w:tc>
          <w:tcPr>
            <w:tcW w:w="9450" w:type="dxa"/>
            <w:vAlign w:val="center"/>
            <w:hideMark/>
          </w:tcPr>
          <w:p w14:paraId="17A38068" w14:textId="3AC02A1C" w:rsidR="00576120" w:rsidRPr="000E6FFF" w:rsidRDefault="00F76E0A" w:rsidP="00024314">
            <w:pPr>
              <w:ind w:left="-900" w:firstLine="900"/>
              <w:jc w:val="center"/>
              <w:rPr>
                <w:rFonts w:cs="Times New Roman"/>
                <w:szCs w:val="22"/>
              </w:rPr>
            </w:pPr>
            <w:r w:rsidRPr="00F76E0A">
              <w:rPr>
                <w:rFonts w:cs="Times New Roman"/>
                <w:szCs w:val="22"/>
              </w:rPr>
              <w:t>July 1 – June 30</w:t>
            </w:r>
          </w:p>
        </w:tc>
      </w:tr>
    </w:tbl>
    <w:p w14:paraId="6BA85F6E" w14:textId="77777777" w:rsidR="00576120" w:rsidRDefault="00576120" w:rsidP="00D70B84">
      <w:pPr>
        <w:spacing w:line="240" w:lineRule="auto"/>
      </w:pPr>
    </w:p>
    <w:p w14:paraId="3561FDD1" w14:textId="77777777" w:rsidR="00576120" w:rsidRDefault="00576120" w:rsidP="00D70B84">
      <w:pPr>
        <w:spacing w:line="240" w:lineRule="auto"/>
      </w:pPr>
    </w:p>
    <w:p w14:paraId="0B530256" w14:textId="77777777" w:rsidR="00205323" w:rsidRDefault="00205323" w:rsidP="00D70B84">
      <w:pPr>
        <w:spacing w:line="240" w:lineRule="auto"/>
        <w:sectPr w:rsidR="00205323" w:rsidSect="00F70582">
          <w:footerReference w:type="default" r:id="rId14"/>
          <w:pgSz w:w="12240" w:h="15840" w:code="1"/>
          <w:pgMar w:top="1440" w:right="720" w:bottom="1440" w:left="720" w:header="720" w:footer="720" w:gutter="0"/>
          <w:pgNumType w:start="1"/>
          <w:cols w:space="720"/>
          <w:docGrid w:linePitch="286"/>
        </w:sectPr>
      </w:pPr>
    </w:p>
    <w:p w14:paraId="0A8D54B1" w14:textId="77777777" w:rsidR="00B2131B" w:rsidRDefault="00D310E2" w:rsidP="009C33B8">
      <w:pPr>
        <w:spacing w:line="14" w:lineRule="exact"/>
      </w:pPr>
      <w:r w:rsidRPr="001604E6">
        <w:rPr>
          <w:rFonts w:ascii="Arial" w:eastAsia="Times New Roman" w:hAnsi="Arial" w:cs="Arial"/>
          <w:noProof/>
          <w:color w:val="000000"/>
          <w:sz w:val="24"/>
          <w:szCs w:val="24"/>
        </w:rPr>
        <mc:AlternateContent>
          <mc:Choice Requires="wps">
            <w:drawing>
              <wp:anchor distT="45720" distB="45720" distL="114300" distR="114300" simplePos="0" relativeHeight="251658243" behindDoc="0" locked="0" layoutInCell="1" allowOverlap="1" wp14:anchorId="628BDF59" wp14:editId="2B044D8C">
                <wp:simplePos x="0" y="0"/>
                <wp:positionH relativeFrom="margin">
                  <wp:posOffset>177800</wp:posOffset>
                </wp:positionH>
                <wp:positionV relativeFrom="paragraph">
                  <wp:posOffset>170180</wp:posOffset>
                </wp:positionV>
                <wp:extent cx="6527800" cy="1631950"/>
                <wp:effectExtent l="0" t="0" r="2540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631950"/>
                        </a:xfrm>
                        <a:prstGeom prst="rect">
                          <a:avLst/>
                        </a:prstGeom>
                        <a:noFill/>
                        <a:ln w="9525">
                          <a:solidFill>
                            <a:sysClr val="window" lastClr="FFFFFF">
                              <a:lumMod val="85000"/>
                            </a:sysClr>
                          </a:solidFill>
                          <a:miter lim="800000"/>
                          <a:headEnd/>
                          <a:tailEnd/>
                        </a:ln>
                      </wps:spPr>
                      <wps:txbx>
                        <w:txbxContent>
                          <w:tbl>
                            <w:tblPr>
                              <w:tblStyle w:val="TableGrid2"/>
                              <w:tblW w:w="10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0" w:type="dxa"/>
                              </w:tblCellMar>
                              <w:tblLook w:val="04A0" w:firstRow="1" w:lastRow="0" w:firstColumn="1" w:lastColumn="0" w:noHBand="0" w:noVBand="1"/>
                            </w:tblPr>
                            <w:tblGrid>
                              <w:gridCol w:w="3900"/>
                              <w:gridCol w:w="6270"/>
                            </w:tblGrid>
                            <w:tr w:rsidR="00DD6229" w14:paraId="5C21248D" w14:textId="77777777" w:rsidTr="00EE131D">
                              <w:trPr>
                                <w:trHeight w:val="20"/>
                                <w:jc w:val="center"/>
                              </w:trPr>
                              <w:tc>
                                <w:tcPr>
                                  <w:tcW w:w="3900" w:type="dxa"/>
                                  <w:vAlign w:val="center"/>
                                  <w:hideMark/>
                                </w:tcPr>
                                <w:p w14:paraId="6FD0C95E"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Regional Vice President:</w:t>
                                  </w:r>
                                </w:p>
                              </w:tc>
                              <w:tc>
                                <w:tcPr>
                                  <w:tcW w:w="6270" w:type="dxa"/>
                                  <w:vAlign w:val="center"/>
                                  <w:hideMark/>
                                </w:tcPr>
                                <w:p w14:paraId="37CA04A6" w14:textId="77777777" w:rsidR="00EE131D" w:rsidRPr="00EE131D" w:rsidRDefault="00D310E2">
                                  <w:pPr>
                                    <w:tabs>
                                      <w:tab w:val="left" w:pos="360"/>
                                      <w:tab w:val="left" w:pos="450"/>
                                      <w:tab w:val="left" w:pos="1420"/>
                                    </w:tabs>
                                    <w:spacing w:before="40" w:after="40"/>
                                    <w:ind w:left="360" w:right="-14"/>
                                    <w:rPr>
                                      <w:rFonts w:eastAsiaTheme="minorHAnsi"/>
                                      <w:color w:val="000000"/>
                                      <w:szCs w:val="22"/>
                                    </w:rPr>
                                  </w:pPr>
                                  <w:r w:rsidRPr="00EE131D">
                                    <w:rPr>
                                      <w:rFonts w:eastAsiaTheme="minorHAnsi"/>
                                      <w:noProof/>
                                      <w:color w:val="000000"/>
                                      <w:szCs w:val="22"/>
                                    </w:rPr>
                                    <w:t>Manuela V. Ferro</w:t>
                                  </w:r>
                                </w:p>
                              </w:tc>
                            </w:tr>
                            <w:tr w:rsidR="00DD6229" w14:paraId="2D36F072" w14:textId="77777777" w:rsidTr="00EE131D">
                              <w:trPr>
                                <w:trHeight w:val="20"/>
                                <w:jc w:val="center"/>
                              </w:trPr>
                              <w:tc>
                                <w:tcPr>
                                  <w:tcW w:w="3900" w:type="dxa"/>
                                  <w:vAlign w:val="center"/>
                                  <w:hideMark/>
                                </w:tcPr>
                                <w:p w14:paraId="7E8423AA"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Country Director:</w:t>
                                  </w:r>
                                </w:p>
                              </w:tc>
                              <w:tc>
                                <w:tcPr>
                                  <w:tcW w:w="6270" w:type="dxa"/>
                                  <w:vAlign w:val="center"/>
                                  <w:hideMark/>
                                </w:tcPr>
                                <w:p w14:paraId="2E5926EC" w14:textId="77777777" w:rsidR="00EE131D" w:rsidRPr="00EE131D" w:rsidRDefault="00D310E2">
                                  <w:pPr>
                                    <w:tabs>
                                      <w:tab w:val="left" w:pos="360"/>
                                      <w:tab w:val="left" w:pos="450"/>
                                      <w:tab w:val="left" w:pos="1420"/>
                                    </w:tabs>
                                    <w:spacing w:before="40" w:after="40"/>
                                    <w:ind w:left="360" w:right="-14"/>
                                    <w:rPr>
                                      <w:rFonts w:eastAsiaTheme="minorHAnsi"/>
                                      <w:color w:val="000000"/>
                                      <w:szCs w:val="22"/>
                                    </w:rPr>
                                  </w:pPr>
                                  <w:r w:rsidRPr="00EE131D">
                                    <w:rPr>
                                      <w:rFonts w:eastAsiaTheme="minorHAnsi"/>
                                      <w:noProof/>
                                      <w:color w:val="000000"/>
                                      <w:szCs w:val="22"/>
                                    </w:rPr>
                                    <w:t>Stephen N. Ndegwa</w:t>
                                  </w:r>
                                </w:p>
                              </w:tc>
                            </w:tr>
                            <w:tr w:rsidR="00DD6229" w14:paraId="0EB3D64B" w14:textId="77777777" w:rsidTr="00EE131D">
                              <w:trPr>
                                <w:trHeight w:val="20"/>
                                <w:jc w:val="center"/>
                              </w:trPr>
                              <w:tc>
                                <w:tcPr>
                                  <w:tcW w:w="3900" w:type="dxa"/>
                                  <w:vAlign w:val="center"/>
                                  <w:hideMark/>
                                </w:tcPr>
                                <w:p w14:paraId="2FB30E8C"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Regional Director:</w:t>
                                  </w:r>
                                </w:p>
                              </w:tc>
                              <w:tc>
                                <w:tcPr>
                                  <w:tcW w:w="6270" w:type="dxa"/>
                                  <w:vAlign w:val="center"/>
                                  <w:hideMark/>
                                </w:tcPr>
                                <w:p w14:paraId="0341CF21" w14:textId="77777777" w:rsidR="00EE131D" w:rsidRPr="00EE131D" w:rsidRDefault="00D310E2">
                                  <w:pPr>
                                    <w:tabs>
                                      <w:tab w:val="left" w:pos="360"/>
                                      <w:tab w:val="left" w:pos="450"/>
                                      <w:tab w:val="left" w:pos="1420"/>
                                    </w:tabs>
                                    <w:spacing w:before="40" w:after="40"/>
                                    <w:ind w:left="360" w:right="-14"/>
                                    <w:rPr>
                                      <w:rFonts w:eastAsiaTheme="minorHAnsi"/>
                                      <w:color w:val="000000"/>
                                      <w:szCs w:val="22"/>
                                    </w:rPr>
                                  </w:pPr>
                                  <w:r w:rsidRPr="00EE131D">
                                    <w:rPr>
                                      <w:rFonts w:eastAsiaTheme="minorHAnsi"/>
                                      <w:noProof/>
                                      <w:color w:val="000000"/>
                                      <w:szCs w:val="22"/>
                                    </w:rPr>
                                    <w:t>Alberto Rodriguez</w:t>
                                  </w:r>
                                </w:p>
                              </w:tc>
                            </w:tr>
                            <w:tr w:rsidR="00DD6229" w14:paraId="42AFD057" w14:textId="77777777" w:rsidTr="00EE131D">
                              <w:trPr>
                                <w:trHeight w:val="20"/>
                                <w:jc w:val="center"/>
                              </w:trPr>
                              <w:tc>
                                <w:tcPr>
                                  <w:tcW w:w="3900" w:type="dxa"/>
                                  <w:vAlign w:val="center"/>
                                  <w:hideMark/>
                                </w:tcPr>
                                <w:p w14:paraId="2430C2A8"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Practice Manager:</w:t>
                                  </w:r>
                                </w:p>
                              </w:tc>
                              <w:tc>
                                <w:tcPr>
                                  <w:tcW w:w="6270" w:type="dxa"/>
                                  <w:vAlign w:val="center"/>
                                  <w:hideMark/>
                                </w:tcPr>
                                <w:p w14:paraId="7DA8757A" w14:textId="1DB11198" w:rsidR="00EE131D" w:rsidRPr="00EE131D" w:rsidRDefault="006E07A2">
                                  <w:pPr>
                                    <w:tabs>
                                      <w:tab w:val="left" w:pos="360"/>
                                      <w:tab w:val="left" w:pos="450"/>
                                      <w:tab w:val="left" w:pos="1420"/>
                                    </w:tabs>
                                    <w:spacing w:before="40" w:after="40"/>
                                    <w:ind w:left="360" w:right="-14"/>
                                    <w:rPr>
                                      <w:rFonts w:eastAsiaTheme="minorHAnsi"/>
                                      <w:color w:val="000000"/>
                                      <w:szCs w:val="22"/>
                                    </w:rPr>
                                  </w:pPr>
                                  <w:r w:rsidRPr="006E07A2">
                                    <w:rPr>
                                      <w:rFonts w:eastAsiaTheme="minorHAnsi"/>
                                      <w:noProof/>
                                      <w:color w:val="000000"/>
                                      <w:szCs w:val="22"/>
                                    </w:rPr>
                                    <w:t>Camilla Holmemo</w:t>
                                  </w:r>
                                </w:p>
                              </w:tc>
                            </w:tr>
                            <w:tr w:rsidR="00DD6229" w:rsidRPr="008B6CF1" w14:paraId="632C3199" w14:textId="77777777" w:rsidTr="00EE131D">
                              <w:trPr>
                                <w:trHeight w:val="20"/>
                                <w:jc w:val="center"/>
                              </w:trPr>
                              <w:tc>
                                <w:tcPr>
                                  <w:tcW w:w="3900" w:type="dxa"/>
                                  <w:vAlign w:val="center"/>
                                  <w:hideMark/>
                                </w:tcPr>
                                <w:p w14:paraId="6DD87FBB"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Task Team Leader (s):</w:t>
                                  </w:r>
                                </w:p>
                              </w:tc>
                              <w:tc>
                                <w:tcPr>
                                  <w:tcW w:w="6270" w:type="dxa"/>
                                  <w:vAlign w:val="center"/>
                                  <w:hideMark/>
                                </w:tcPr>
                                <w:p w14:paraId="25A918E1" w14:textId="77777777" w:rsidR="00EE131D" w:rsidRPr="00FF579F" w:rsidRDefault="00D310E2">
                                  <w:pPr>
                                    <w:tabs>
                                      <w:tab w:val="left" w:pos="360"/>
                                      <w:tab w:val="left" w:pos="450"/>
                                      <w:tab w:val="left" w:pos="1420"/>
                                    </w:tabs>
                                    <w:spacing w:before="40" w:after="40"/>
                                    <w:ind w:left="360" w:right="-14"/>
                                    <w:rPr>
                                      <w:rFonts w:eastAsiaTheme="minorHAnsi"/>
                                      <w:color w:val="000000"/>
                                      <w:szCs w:val="22"/>
                                      <w:lang w:val="pt-BR"/>
                                    </w:rPr>
                                  </w:pPr>
                                  <w:r w:rsidRPr="00FF579F">
                                    <w:rPr>
                                      <w:rFonts w:eastAsiaTheme="minorHAnsi"/>
                                      <w:noProof/>
                                      <w:color w:val="000000"/>
                                      <w:szCs w:val="22"/>
                                      <w:lang w:val="pt-BR"/>
                                    </w:rPr>
                                    <w:t>Kenia Hatsue Silva Parsons, Janssen Edelweiss Nunes Fernandes Teixeira, Toufiq Ahmed</w:t>
                                  </w:r>
                                </w:p>
                              </w:tc>
                            </w:tr>
                            <w:tr w:rsidR="00DD6229" w14:paraId="551E0A9B" w14:textId="77777777" w:rsidTr="00EE131D">
                              <w:trPr>
                                <w:trHeight w:val="20"/>
                                <w:jc w:val="center"/>
                              </w:trPr>
                              <w:tc>
                                <w:tcPr>
                                  <w:tcW w:w="3900" w:type="dxa"/>
                                  <w:vAlign w:val="center"/>
                                </w:tcPr>
                                <w:p w14:paraId="3177ADD3" w14:textId="77777777" w:rsidR="00F816FF" w:rsidRPr="00EE131D" w:rsidRDefault="00D310E2">
                                  <w:pPr>
                                    <w:spacing w:before="40" w:after="40"/>
                                    <w:jc w:val="right"/>
                                    <w:rPr>
                                      <w:rFonts w:eastAsiaTheme="minorHAnsi"/>
                                      <w:color w:val="000000"/>
                                      <w:szCs w:val="22"/>
                                    </w:rPr>
                                  </w:pPr>
                                  <w:r>
                                    <w:rPr>
                                      <w:color w:val="000000"/>
                                    </w:rPr>
                                    <w:t>ICR Main Contributor:</w:t>
                                  </w:r>
                                </w:p>
                              </w:tc>
                              <w:tc>
                                <w:tcPr>
                                  <w:tcW w:w="6270" w:type="dxa"/>
                                  <w:vAlign w:val="center"/>
                                </w:tcPr>
                                <w:p w14:paraId="57543910" w14:textId="5746C77C" w:rsidR="00F816FF" w:rsidRPr="00EE131D" w:rsidRDefault="00F76E0A" w:rsidP="0064722E">
                                  <w:pPr>
                                    <w:autoSpaceDE w:val="0"/>
                                    <w:autoSpaceDN w:val="0"/>
                                    <w:adjustRightInd w:val="0"/>
                                    <w:ind w:left="315"/>
                                    <w:rPr>
                                      <w:rFonts w:eastAsiaTheme="minorHAnsi"/>
                                      <w:color w:val="000000"/>
                                      <w:szCs w:val="22"/>
                                    </w:rPr>
                                  </w:pPr>
                                  <w:r>
                                    <w:rPr>
                                      <w:rFonts w:eastAsiaTheme="minorHAnsi"/>
                                      <w:color w:val="000000"/>
                                      <w:szCs w:val="22"/>
                                    </w:rPr>
                                    <w:t xml:space="preserve">Aishwarya Patil, Sandor </w:t>
                                  </w:r>
                                  <w:r w:rsidRPr="00F76E0A">
                                    <w:rPr>
                                      <w:rFonts w:eastAsiaTheme="minorHAnsi"/>
                                      <w:color w:val="000000"/>
                                      <w:szCs w:val="22"/>
                                    </w:rPr>
                                    <w:t>Karacsony</w:t>
                                  </w:r>
                                </w:p>
                              </w:tc>
                            </w:tr>
                          </w:tbl>
                          <w:p w14:paraId="7C89B672" w14:textId="77777777" w:rsidR="00EE131D" w:rsidRDefault="00EE131D" w:rsidP="00EE131D">
                            <w:pPr>
                              <w:spacing w:line="14" w:lineRule="exact"/>
                              <w:rPr>
                                <w:rFonts w:ascii="Calibri" w:eastAsia="Times New Roman" w:hAnsi="Calibri" w:cs="Arial"/>
                                <w:color w:val="000000"/>
                                <w:sz w:val="24"/>
                                <w:szCs w:val="24"/>
                              </w:rPr>
                            </w:pPr>
                          </w:p>
                        </w:txbxContent>
                      </wps:txbx>
                      <wps:bodyPr rot="0" vert="horz" wrap="square" anchor="ctr" anchorCtr="0"/>
                    </wps:wsp>
                  </a:graphicData>
                </a:graphic>
                <wp14:sizeRelH relativeFrom="margin">
                  <wp14:pctWidth>0</wp14:pctWidth>
                </wp14:sizeRelH>
                <wp14:sizeRelV relativeFrom="margin">
                  <wp14:pctHeight>0</wp14:pctHeight>
                </wp14:sizeRelV>
              </wp:anchor>
            </w:drawing>
          </mc:Choice>
          <mc:Fallback>
            <w:pict>
              <v:shapetype w14:anchorId="628BDF59" id="_x0000_t202" coordsize="21600,21600" o:spt="202" path="m,l,21600r21600,l21600,xe">
                <v:stroke joinstyle="miter"/>
                <v:path gradientshapeok="t" o:connecttype="rect"/>
              </v:shapetype>
              <v:shape id="Text Box 4" o:spid="_x0000_s1026" type="#_x0000_t202" style="position:absolute;margin-left:14pt;margin-top:13.4pt;width:514pt;height:128.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" filled="f" strokecolor="#d9d9d9">
                <v:textbox>
                  <w:txbxContent>
                    <w:tbl>
                      <w:tblPr>
                        <w:tblStyle w:val="TableGrid2"/>
                        <w:tblW w:w="10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0" w:type="dxa"/>
                        </w:tblCellMar>
                        <w:tblLook w:val="04A0" w:firstRow="1" w:lastRow="0" w:firstColumn="1" w:lastColumn="0" w:noHBand="0" w:noVBand="1"/>
                      </w:tblPr>
                      <w:tblGrid>
                        <w:gridCol w:w="3900"/>
                        <w:gridCol w:w="6270"/>
                      </w:tblGrid>
                      <w:tr w:rsidR="00DD6229" w14:paraId="5C21248D" w14:textId="77777777" w:rsidTr="00EE131D">
                        <w:trPr>
                          <w:trHeight w:val="20"/>
                          <w:jc w:val="center"/>
                        </w:trPr>
                        <w:tc>
                          <w:tcPr>
                            <w:tcW w:w="3900" w:type="dxa"/>
                            <w:vAlign w:val="center"/>
                            <w:hideMark/>
                          </w:tcPr>
                          <w:p w14:paraId="6FD0C95E"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Regional Vice President:</w:t>
                            </w:r>
                          </w:p>
                        </w:tc>
                        <w:tc>
                          <w:tcPr>
                            <w:tcW w:w="6270" w:type="dxa"/>
                            <w:vAlign w:val="center"/>
                            <w:hideMark/>
                          </w:tcPr>
                          <w:p w14:paraId="37CA04A6" w14:textId="77777777" w:rsidR="00EE131D" w:rsidRPr="00EE131D" w:rsidRDefault="00D310E2">
                            <w:pPr>
                              <w:tabs>
                                <w:tab w:val="left" w:pos="360"/>
                                <w:tab w:val="left" w:pos="450"/>
                                <w:tab w:val="left" w:pos="1420"/>
                              </w:tabs>
                              <w:spacing w:before="40" w:after="40"/>
                              <w:ind w:left="360" w:right="-14"/>
                              <w:rPr>
                                <w:rFonts w:eastAsiaTheme="minorHAnsi"/>
                                <w:color w:val="000000"/>
                                <w:szCs w:val="22"/>
                              </w:rPr>
                            </w:pPr>
                            <w:r w:rsidRPr="00EE131D">
                              <w:rPr>
                                <w:rFonts w:eastAsiaTheme="minorHAnsi"/>
                                <w:noProof/>
                                <w:color w:val="000000"/>
                                <w:szCs w:val="22"/>
                              </w:rPr>
                              <w:t>Manuela V. Ferro</w:t>
                            </w:r>
                          </w:p>
                        </w:tc>
                      </w:tr>
                      <w:tr w:rsidR="00DD6229" w14:paraId="2D36F072" w14:textId="77777777" w:rsidTr="00EE131D">
                        <w:trPr>
                          <w:trHeight w:val="20"/>
                          <w:jc w:val="center"/>
                        </w:trPr>
                        <w:tc>
                          <w:tcPr>
                            <w:tcW w:w="3900" w:type="dxa"/>
                            <w:vAlign w:val="center"/>
                            <w:hideMark/>
                          </w:tcPr>
                          <w:p w14:paraId="7E8423AA"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Country Director:</w:t>
                            </w:r>
                          </w:p>
                        </w:tc>
                        <w:tc>
                          <w:tcPr>
                            <w:tcW w:w="6270" w:type="dxa"/>
                            <w:vAlign w:val="center"/>
                            <w:hideMark/>
                          </w:tcPr>
                          <w:p w14:paraId="2E5926EC" w14:textId="77777777" w:rsidR="00EE131D" w:rsidRPr="00EE131D" w:rsidRDefault="00D310E2">
                            <w:pPr>
                              <w:tabs>
                                <w:tab w:val="left" w:pos="360"/>
                                <w:tab w:val="left" w:pos="450"/>
                                <w:tab w:val="left" w:pos="1420"/>
                              </w:tabs>
                              <w:spacing w:before="40" w:after="40"/>
                              <w:ind w:left="360" w:right="-14"/>
                              <w:rPr>
                                <w:rFonts w:eastAsiaTheme="minorHAnsi"/>
                                <w:color w:val="000000"/>
                                <w:szCs w:val="22"/>
                              </w:rPr>
                            </w:pPr>
                            <w:r w:rsidRPr="00EE131D">
                              <w:rPr>
                                <w:rFonts w:eastAsiaTheme="minorHAnsi"/>
                                <w:noProof/>
                                <w:color w:val="000000"/>
                                <w:szCs w:val="22"/>
                              </w:rPr>
                              <w:t>Stephen N. Ndegwa</w:t>
                            </w:r>
                          </w:p>
                        </w:tc>
                      </w:tr>
                      <w:tr w:rsidR="00DD6229" w14:paraId="0EB3D64B" w14:textId="77777777" w:rsidTr="00EE131D">
                        <w:trPr>
                          <w:trHeight w:val="20"/>
                          <w:jc w:val="center"/>
                        </w:trPr>
                        <w:tc>
                          <w:tcPr>
                            <w:tcW w:w="3900" w:type="dxa"/>
                            <w:vAlign w:val="center"/>
                            <w:hideMark/>
                          </w:tcPr>
                          <w:p w14:paraId="2FB30E8C"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Regional Director:</w:t>
                            </w:r>
                          </w:p>
                        </w:tc>
                        <w:tc>
                          <w:tcPr>
                            <w:tcW w:w="6270" w:type="dxa"/>
                            <w:vAlign w:val="center"/>
                            <w:hideMark/>
                          </w:tcPr>
                          <w:p w14:paraId="0341CF21" w14:textId="77777777" w:rsidR="00EE131D" w:rsidRPr="00EE131D" w:rsidRDefault="00D310E2">
                            <w:pPr>
                              <w:tabs>
                                <w:tab w:val="left" w:pos="360"/>
                                <w:tab w:val="left" w:pos="450"/>
                                <w:tab w:val="left" w:pos="1420"/>
                              </w:tabs>
                              <w:spacing w:before="40" w:after="40"/>
                              <w:ind w:left="360" w:right="-14"/>
                              <w:rPr>
                                <w:rFonts w:eastAsiaTheme="minorHAnsi"/>
                                <w:color w:val="000000"/>
                                <w:szCs w:val="22"/>
                              </w:rPr>
                            </w:pPr>
                            <w:r w:rsidRPr="00EE131D">
                              <w:rPr>
                                <w:rFonts w:eastAsiaTheme="minorHAnsi"/>
                                <w:noProof/>
                                <w:color w:val="000000"/>
                                <w:szCs w:val="22"/>
                              </w:rPr>
                              <w:t>Alberto Rodriguez</w:t>
                            </w:r>
                          </w:p>
                        </w:tc>
                      </w:tr>
                      <w:tr w:rsidR="00DD6229" w14:paraId="42AFD057" w14:textId="77777777" w:rsidTr="00EE131D">
                        <w:trPr>
                          <w:trHeight w:val="20"/>
                          <w:jc w:val="center"/>
                        </w:trPr>
                        <w:tc>
                          <w:tcPr>
                            <w:tcW w:w="3900" w:type="dxa"/>
                            <w:vAlign w:val="center"/>
                            <w:hideMark/>
                          </w:tcPr>
                          <w:p w14:paraId="2430C2A8"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Practice Manager:</w:t>
                            </w:r>
                          </w:p>
                        </w:tc>
                        <w:tc>
                          <w:tcPr>
                            <w:tcW w:w="6270" w:type="dxa"/>
                            <w:vAlign w:val="center"/>
                            <w:hideMark/>
                          </w:tcPr>
                          <w:p w14:paraId="7DA8757A" w14:textId="1DB11198" w:rsidR="00EE131D" w:rsidRPr="00EE131D" w:rsidRDefault="006E07A2">
                            <w:pPr>
                              <w:tabs>
                                <w:tab w:val="left" w:pos="360"/>
                                <w:tab w:val="left" w:pos="450"/>
                                <w:tab w:val="left" w:pos="1420"/>
                              </w:tabs>
                              <w:spacing w:before="40" w:after="40"/>
                              <w:ind w:left="360" w:right="-14"/>
                              <w:rPr>
                                <w:rFonts w:eastAsiaTheme="minorHAnsi"/>
                                <w:color w:val="000000"/>
                                <w:szCs w:val="22"/>
                              </w:rPr>
                            </w:pPr>
                            <w:r w:rsidRPr="006E07A2">
                              <w:rPr>
                                <w:rFonts w:eastAsiaTheme="minorHAnsi"/>
                                <w:noProof/>
                                <w:color w:val="000000"/>
                                <w:szCs w:val="22"/>
                              </w:rPr>
                              <w:t>Camilla Holmemo</w:t>
                            </w:r>
                          </w:p>
                        </w:tc>
                      </w:tr>
                      <w:tr w:rsidR="00DD6229" w:rsidRPr="008B6CF1" w14:paraId="632C3199" w14:textId="77777777" w:rsidTr="00EE131D">
                        <w:trPr>
                          <w:trHeight w:val="20"/>
                          <w:jc w:val="center"/>
                        </w:trPr>
                        <w:tc>
                          <w:tcPr>
                            <w:tcW w:w="3900" w:type="dxa"/>
                            <w:vAlign w:val="center"/>
                            <w:hideMark/>
                          </w:tcPr>
                          <w:p w14:paraId="6DD87FBB" w14:textId="77777777" w:rsidR="00EE131D" w:rsidRPr="00EE131D" w:rsidRDefault="00D310E2">
                            <w:pPr>
                              <w:spacing w:before="40" w:after="40"/>
                              <w:jc w:val="right"/>
                              <w:rPr>
                                <w:rFonts w:eastAsiaTheme="minorHAnsi"/>
                                <w:color w:val="000000"/>
                                <w:szCs w:val="22"/>
                              </w:rPr>
                            </w:pPr>
                            <w:r w:rsidRPr="00EE131D">
                              <w:rPr>
                                <w:rFonts w:eastAsiaTheme="minorHAnsi"/>
                                <w:color w:val="000000"/>
                                <w:szCs w:val="22"/>
                              </w:rPr>
                              <w:t>Task Team Leader (s):</w:t>
                            </w:r>
                          </w:p>
                        </w:tc>
                        <w:tc>
                          <w:tcPr>
                            <w:tcW w:w="6270" w:type="dxa"/>
                            <w:vAlign w:val="center"/>
                            <w:hideMark/>
                          </w:tcPr>
                          <w:p w14:paraId="25A918E1" w14:textId="77777777" w:rsidR="00EE131D" w:rsidRPr="00FF579F" w:rsidRDefault="00D310E2">
                            <w:pPr>
                              <w:tabs>
                                <w:tab w:val="left" w:pos="360"/>
                                <w:tab w:val="left" w:pos="450"/>
                                <w:tab w:val="left" w:pos="1420"/>
                              </w:tabs>
                              <w:spacing w:before="40" w:after="40"/>
                              <w:ind w:left="360" w:right="-14"/>
                              <w:rPr>
                                <w:rFonts w:eastAsiaTheme="minorHAnsi"/>
                                <w:color w:val="000000"/>
                                <w:szCs w:val="22"/>
                                <w:lang w:val="pt-BR"/>
                              </w:rPr>
                            </w:pPr>
                            <w:r w:rsidRPr="00FF579F">
                              <w:rPr>
                                <w:rFonts w:eastAsiaTheme="minorHAnsi"/>
                                <w:noProof/>
                                <w:color w:val="000000"/>
                                <w:szCs w:val="22"/>
                                <w:lang w:val="pt-BR"/>
                              </w:rPr>
                              <w:t>Kenia Hatsue Silva Parsons, Janssen Edelweiss Nunes Fernandes Teixeira, Toufiq Ahmed</w:t>
                            </w:r>
                          </w:p>
                        </w:tc>
                      </w:tr>
                      <w:tr w:rsidR="00DD6229" w14:paraId="551E0A9B" w14:textId="77777777" w:rsidTr="00EE131D">
                        <w:trPr>
                          <w:trHeight w:val="20"/>
                          <w:jc w:val="center"/>
                        </w:trPr>
                        <w:tc>
                          <w:tcPr>
                            <w:tcW w:w="3900" w:type="dxa"/>
                            <w:vAlign w:val="center"/>
                          </w:tcPr>
                          <w:p w14:paraId="3177ADD3" w14:textId="77777777" w:rsidR="00F816FF" w:rsidRPr="00EE131D" w:rsidRDefault="00D310E2">
                            <w:pPr>
                              <w:spacing w:before="40" w:after="40"/>
                              <w:jc w:val="right"/>
                              <w:rPr>
                                <w:rFonts w:eastAsiaTheme="minorHAnsi"/>
                                <w:color w:val="000000"/>
                                <w:szCs w:val="22"/>
                              </w:rPr>
                            </w:pPr>
                            <w:r>
                              <w:rPr>
                                <w:color w:val="000000"/>
                              </w:rPr>
                              <w:t>ICR Main Contributor:</w:t>
                            </w:r>
                          </w:p>
                        </w:tc>
                        <w:tc>
                          <w:tcPr>
                            <w:tcW w:w="6270" w:type="dxa"/>
                            <w:vAlign w:val="center"/>
                          </w:tcPr>
                          <w:p w14:paraId="57543910" w14:textId="5746C77C" w:rsidR="00F816FF" w:rsidRPr="00EE131D" w:rsidRDefault="00F76E0A" w:rsidP="0064722E">
                            <w:pPr>
                              <w:autoSpaceDE w:val="0"/>
                              <w:autoSpaceDN w:val="0"/>
                              <w:adjustRightInd w:val="0"/>
                              <w:ind w:left="315"/>
                              <w:rPr>
                                <w:rFonts w:eastAsiaTheme="minorHAnsi"/>
                                <w:color w:val="000000"/>
                                <w:szCs w:val="22"/>
                              </w:rPr>
                            </w:pPr>
                            <w:r>
                              <w:rPr>
                                <w:rFonts w:eastAsiaTheme="minorHAnsi"/>
                                <w:color w:val="000000"/>
                                <w:szCs w:val="22"/>
                              </w:rPr>
                              <w:t xml:space="preserve">Aishwarya Patil, Sandor </w:t>
                            </w:r>
                            <w:r w:rsidRPr="00F76E0A">
                              <w:rPr>
                                <w:rFonts w:eastAsiaTheme="minorHAnsi"/>
                                <w:color w:val="000000"/>
                                <w:szCs w:val="22"/>
                              </w:rPr>
                              <w:t>Karacsony</w:t>
                            </w:r>
                          </w:p>
                        </w:tc>
                      </w:tr>
                    </w:tbl>
                    <w:p w14:paraId="7C89B672" w14:textId="77777777" w:rsidR="00EE131D" w:rsidRDefault="00EE131D" w:rsidP="00EE131D">
                      <w:pPr>
                        <w:spacing w:line="14" w:lineRule="exact"/>
                        <w:rPr>
                          <w:rFonts w:ascii="Calibri" w:eastAsia="Times New Roman" w:hAnsi="Calibri" w:cs="Arial"/>
                          <w:color w:val="000000"/>
                          <w:sz w:val="24"/>
                          <w:szCs w:val="24"/>
                        </w:rPr>
                      </w:pPr>
                    </w:p>
                  </w:txbxContent>
                </v:textbox>
                <w10:wrap type="square" anchorx="margin"/>
              </v:shape>
            </w:pict>
          </mc:Fallback>
        </mc:AlternateContent>
      </w:r>
      <w:r w:rsidR="00222A29">
        <w:br w:type="page"/>
      </w: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115" w:type="dxa"/>
          <w:right w:w="115" w:type="dxa"/>
        </w:tblCellMar>
        <w:tblLook w:val="04A0" w:firstRow="1" w:lastRow="0" w:firstColumn="1" w:lastColumn="0" w:noHBand="0" w:noVBand="1"/>
      </w:tblPr>
      <w:tblGrid>
        <w:gridCol w:w="11070"/>
      </w:tblGrid>
      <w:tr w:rsidR="00DD6229" w14:paraId="193CB18D" w14:textId="77777777" w:rsidTr="002E7CAB">
        <w:trPr>
          <w:trHeight w:val="432"/>
        </w:trPr>
        <w:tc>
          <w:tcPr>
            <w:tcW w:w="11070" w:type="dxa"/>
            <w:shd w:val="clear" w:color="auto" w:fill="F2F2F2" w:themeFill="background1" w:themeFillShade="F2"/>
            <w:vAlign w:val="center"/>
            <w:hideMark/>
          </w:tcPr>
          <w:p w14:paraId="6AF6CDA9" w14:textId="77777777" w:rsidR="002E7CAB" w:rsidRPr="00DC4148" w:rsidRDefault="00D310E2" w:rsidP="005C4476">
            <w:r w:rsidRPr="00DC4148">
              <w:rPr>
                <w:b/>
                <w:bCs/>
              </w:rPr>
              <w:lastRenderedPageBreak/>
              <w:t>ABBREVIATIONS AND ACRONYMS</w:t>
            </w:r>
          </w:p>
        </w:tc>
      </w:tr>
    </w:tbl>
    <w:p w14:paraId="48742A17" w14:textId="77777777" w:rsidR="00265FBA" w:rsidRDefault="00265FBA" w:rsidP="00D70B84">
      <w:pPr>
        <w:spacing w:line="240" w:lineRule="auto"/>
      </w:pPr>
    </w:p>
    <w:p w14:paraId="2B7F9337" w14:textId="77777777" w:rsidR="00ED1A51" w:rsidRDefault="00ED1A51" w:rsidP="00ED1A51">
      <w:pPr>
        <w:spacing w:line="240" w:lineRule="auto"/>
      </w:pPr>
    </w:p>
    <w:p w14:paraId="583F7D2B" w14:textId="77777777" w:rsidR="000D263E" w:rsidRDefault="000D263E" w:rsidP="001A7519">
      <w:pPr>
        <w:spacing w:line="14" w:lineRule="exact"/>
      </w:pPr>
      <w:bookmarkStart w:id="0" w:name="SECTION3"/>
      <w:bookmarkEnd w:id="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8640"/>
      </w:tblGrid>
      <w:tr w:rsidR="008F2B6C" w:rsidRPr="008F2B6C" w14:paraId="753AF3AE" w14:textId="77777777" w:rsidTr="00524024">
        <w:trPr>
          <w:tblHeader/>
          <w:tblCellSpacing w:w="15" w:type="dxa"/>
        </w:trPr>
        <w:tc>
          <w:tcPr>
            <w:tcW w:w="1935" w:type="dxa"/>
            <w:vAlign w:val="center"/>
            <w:hideMark/>
          </w:tcPr>
          <w:p w14:paraId="25F9F037" w14:textId="77777777" w:rsidR="008F2B6C" w:rsidRPr="008F2B6C" w:rsidRDefault="008F2B6C" w:rsidP="008F2B6C">
            <w:pPr>
              <w:rPr>
                <w:b/>
                <w:bCs/>
              </w:rPr>
            </w:pPr>
            <w:r w:rsidRPr="008F2B6C">
              <w:rPr>
                <w:b/>
                <w:bCs/>
              </w:rPr>
              <w:t>Acronym</w:t>
            </w:r>
          </w:p>
        </w:tc>
        <w:tc>
          <w:tcPr>
            <w:tcW w:w="8595" w:type="dxa"/>
            <w:vAlign w:val="center"/>
            <w:hideMark/>
          </w:tcPr>
          <w:p w14:paraId="0081237C" w14:textId="77777777" w:rsidR="008F2B6C" w:rsidRPr="008F2B6C" w:rsidRDefault="008F2B6C" w:rsidP="008F2B6C">
            <w:pPr>
              <w:rPr>
                <w:b/>
                <w:bCs/>
              </w:rPr>
            </w:pPr>
            <w:r w:rsidRPr="008F2B6C">
              <w:rPr>
                <w:b/>
                <w:bCs/>
              </w:rPr>
              <w:t>Full Name</w:t>
            </w:r>
          </w:p>
        </w:tc>
      </w:tr>
      <w:tr w:rsidR="008F2B6C" w:rsidRPr="008F2B6C" w14:paraId="14081558" w14:textId="77777777" w:rsidTr="00524024">
        <w:trPr>
          <w:tblCellSpacing w:w="15" w:type="dxa"/>
        </w:trPr>
        <w:tc>
          <w:tcPr>
            <w:tcW w:w="1935" w:type="dxa"/>
            <w:vAlign w:val="center"/>
            <w:hideMark/>
          </w:tcPr>
          <w:p w14:paraId="71A35DC9" w14:textId="77777777" w:rsidR="008F2B6C" w:rsidRPr="008F2B6C" w:rsidRDefault="008F2B6C" w:rsidP="008F2B6C">
            <w:r w:rsidRPr="008F2B6C">
              <w:t>ASP</w:t>
            </w:r>
          </w:p>
        </w:tc>
        <w:tc>
          <w:tcPr>
            <w:tcW w:w="8595" w:type="dxa"/>
            <w:vAlign w:val="center"/>
            <w:hideMark/>
          </w:tcPr>
          <w:p w14:paraId="2351CBE7" w14:textId="77777777" w:rsidR="008F2B6C" w:rsidRPr="008F2B6C" w:rsidRDefault="008F2B6C" w:rsidP="008F2B6C">
            <w:r w:rsidRPr="008F2B6C">
              <w:t>Adaptive Social Protection</w:t>
            </w:r>
          </w:p>
        </w:tc>
      </w:tr>
      <w:tr w:rsidR="008F2B6C" w:rsidRPr="008F2B6C" w14:paraId="201022F5" w14:textId="77777777" w:rsidTr="00524024">
        <w:trPr>
          <w:tblCellSpacing w:w="15" w:type="dxa"/>
        </w:trPr>
        <w:tc>
          <w:tcPr>
            <w:tcW w:w="1935" w:type="dxa"/>
            <w:vAlign w:val="center"/>
            <w:hideMark/>
          </w:tcPr>
          <w:p w14:paraId="15277BD5" w14:textId="77777777" w:rsidR="008F2B6C" w:rsidRPr="008F2B6C" w:rsidRDefault="008F2B6C" w:rsidP="008F2B6C">
            <w:r w:rsidRPr="008F2B6C">
              <w:t>BCR</w:t>
            </w:r>
          </w:p>
        </w:tc>
        <w:tc>
          <w:tcPr>
            <w:tcW w:w="8595" w:type="dxa"/>
            <w:vAlign w:val="center"/>
            <w:hideMark/>
          </w:tcPr>
          <w:p w14:paraId="26C649F6" w14:textId="77777777" w:rsidR="008F2B6C" w:rsidRPr="008F2B6C" w:rsidRDefault="008F2B6C" w:rsidP="008F2B6C">
            <w:r w:rsidRPr="008F2B6C">
              <w:t>Benefit-Cost Ratio</w:t>
            </w:r>
          </w:p>
        </w:tc>
      </w:tr>
      <w:tr w:rsidR="008F2B6C" w:rsidRPr="008F2B6C" w14:paraId="69C13C4D" w14:textId="77777777" w:rsidTr="00524024">
        <w:trPr>
          <w:tblCellSpacing w:w="15" w:type="dxa"/>
        </w:trPr>
        <w:tc>
          <w:tcPr>
            <w:tcW w:w="1935" w:type="dxa"/>
            <w:vAlign w:val="center"/>
            <w:hideMark/>
          </w:tcPr>
          <w:p w14:paraId="2619DA83" w14:textId="77777777" w:rsidR="008F2B6C" w:rsidRPr="008F2B6C" w:rsidRDefault="008F2B6C" w:rsidP="008F2B6C">
            <w:r w:rsidRPr="008F2B6C">
              <w:t>CCT</w:t>
            </w:r>
          </w:p>
        </w:tc>
        <w:tc>
          <w:tcPr>
            <w:tcW w:w="8595" w:type="dxa"/>
            <w:vAlign w:val="center"/>
            <w:hideMark/>
          </w:tcPr>
          <w:p w14:paraId="48E08E55" w14:textId="77777777" w:rsidR="008F2B6C" w:rsidRPr="008F2B6C" w:rsidRDefault="008F2B6C" w:rsidP="008F2B6C">
            <w:r w:rsidRPr="008F2B6C">
              <w:t>Conditional Cash Transfer</w:t>
            </w:r>
          </w:p>
        </w:tc>
      </w:tr>
      <w:tr w:rsidR="008F2B6C" w:rsidRPr="008F2B6C" w14:paraId="7B8C055E" w14:textId="77777777" w:rsidTr="00524024">
        <w:trPr>
          <w:tblCellSpacing w:w="15" w:type="dxa"/>
        </w:trPr>
        <w:tc>
          <w:tcPr>
            <w:tcW w:w="1935" w:type="dxa"/>
            <w:vAlign w:val="center"/>
            <w:hideMark/>
          </w:tcPr>
          <w:p w14:paraId="3533459E" w14:textId="77777777" w:rsidR="008F2B6C" w:rsidRPr="008F2B6C" w:rsidRDefault="008F2B6C" w:rsidP="008F2B6C">
            <w:r w:rsidRPr="008F2B6C">
              <w:t>CSU</w:t>
            </w:r>
          </w:p>
        </w:tc>
        <w:tc>
          <w:tcPr>
            <w:tcW w:w="8595" w:type="dxa"/>
            <w:vAlign w:val="center"/>
            <w:hideMark/>
          </w:tcPr>
          <w:p w14:paraId="0B028A9B" w14:textId="77777777" w:rsidR="008F2B6C" w:rsidRPr="008F2B6C" w:rsidRDefault="008F2B6C" w:rsidP="008F2B6C">
            <w:r w:rsidRPr="008F2B6C">
              <w:t>Central Services Unit</w:t>
            </w:r>
          </w:p>
        </w:tc>
      </w:tr>
      <w:tr w:rsidR="008F2B6C" w:rsidRPr="008F2B6C" w14:paraId="507CE636" w14:textId="77777777" w:rsidTr="00524024">
        <w:trPr>
          <w:tblCellSpacing w:w="15" w:type="dxa"/>
        </w:trPr>
        <w:tc>
          <w:tcPr>
            <w:tcW w:w="1935" w:type="dxa"/>
            <w:vAlign w:val="center"/>
            <w:hideMark/>
          </w:tcPr>
          <w:p w14:paraId="45B6D5AB" w14:textId="77777777" w:rsidR="008F2B6C" w:rsidRPr="008F2B6C" w:rsidRDefault="008F2B6C" w:rsidP="008F2B6C">
            <w:r w:rsidRPr="008F2B6C">
              <w:t>DFAT</w:t>
            </w:r>
          </w:p>
        </w:tc>
        <w:tc>
          <w:tcPr>
            <w:tcW w:w="8595" w:type="dxa"/>
            <w:vAlign w:val="center"/>
            <w:hideMark/>
          </w:tcPr>
          <w:p w14:paraId="122FD7F7" w14:textId="77777777" w:rsidR="008F2B6C" w:rsidRPr="008F2B6C" w:rsidRDefault="008F2B6C" w:rsidP="008F2B6C">
            <w:r w:rsidRPr="008F2B6C">
              <w:t>Department of Foreign Affairs and Trade (Australia)</w:t>
            </w:r>
          </w:p>
        </w:tc>
      </w:tr>
      <w:tr w:rsidR="008F2B6C" w:rsidRPr="008F2B6C" w14:paraId="1B1D64C7" w14:textId="77777777" w:rsidTr="00524024">
        <w:trPr>
          <w:tblCellSpacing w:w="15" w:type="dxa"/>
        </w:trPr>
        <w:tc>
          <w:tcPr>
            <w:tcW w:w="1935" w:type="dxa"/>
            <w:vAlign w:val="center"/>
            <w:hideMark/>
          </w:tcPr>
          <w:p w14:paraId="62988A65" w14:textId="77777777" w:rsidR="008F2B6C" w:rsidRPr="008F2B6C" w:rsidRDefault="008F2B6C" w:rsidP="008F2B6C">
            <w:r w:rsidRPr="008F2B6C">
              <w:t>DPO</w:t>
            </w:r>
          </w:p>
        </w:tc>
        <w:tc>
          <w:tcPr>
            <w:tcW w:w="8595" w:type="dxa"/>
            <w:vAlign w:val="center"/>
            <w:hideMark/>
          </w:tcPr>
          <w:p w14:paraId="11022A4C" w14:textId="77777777" w:rsidR="008F2B6C" w:rsidRPr="008F2B6C" w:rsidRDefault="008F2B6C" w:rsidP="008F2B6C">
            <w:r w:rsidRPr="008F2B6C">
              <w:t>Development Policy Operation</w:t>
            </w:r>
          </w:p>
        </w:tc>
      </w:tr>
      <w:tr w:rsidR="008F2B6C" w:rsidRPr="008F2B6C" w14:paraId="42FC08A9" w14:textId="77777777" w:rsidTr="00524024">
        <w:trPr>
          <w:tblCellSpacing w:w="15" w:type="dxa"/>
        </w:trPr>
        <w:tc>
          <w:tcPr>
            <w:tcW w:w="1935" w:type="dxa"/>
            <w:vAlign w:val="center"/>
            <w:hideMark/>
          </w:tcPr>
          <w:p w14:paraId="51AFDE7D" w14:textId="77777777" w:rsidR="008F2B6C" w:rsidRPr="008F2B6C" w:rsidRDefault="008F2B6C" w:rsidP="008F2B6C">
            <w:r w:rsidRPr="008F2B6C">
              <w:t>EA</w:t>
            </w:r>
          </w:p>
        </w:tc>
        <w:tc>
          <w:tcPr>
            <w:tcW w:w="8595" w:type="dxa"/>
            <w:vAlign w:val="center"/>
            <w:hideMark/>
          </w:tcPr>
          <w:p w14:paraId="62F74417" w14:textId="77777777" w:rsidR="008F2B6C" w:rsidRPr="008F2B6C" w:rsidRDefault="008F2B6C" w:rsidP="008F2B6C">
            <w:r w:rsidRPr="008F2B6C">
              <w:t>Environmental Assessment</w:t>
            </w:r>
          </w:p>
        </w:tc>
      </w:tr>
      <w:tr w:rsidR="008F2B6C" w:rsidRPr="008F2B6C" w14:paraId="7B25B37C" w14:textId="77777777" w:rsidTr="00524024">
        <w:trPr>
          <w:tblCellSpacing w:w="15" w:type="dxa"/>
        </w:trPr>
        <w:tc>
          <w:tcPr>
            <w:tcW w:w="1935" w:type="dxa"/>
            <w:vAlign w:val="center"/>
            <w:hideMark/>
          </w:tcPr>
          <w:p w14:paraId="59E52139" w14:textId="77777777" w:rsidR="008F2B6C" w:rsidRPr="008F2B6C" w:rsidRDefault="008F2B6C" w:rsidP="008F2B6C">
            <w:r w:rsidRPr="008F2B6C">
              <w:t>FM</w:t>
            </w:r>
          </w:p>
        </w:tc>
        <w:tc>
          <w:tcPr>
            <w:tcW w:w="8595" w:type="dxa"/>
            <w:vAlign w:val="center"/>
            <w:hideMark/>
          </w:tcPr>
          <w:p w14:paraId="46385BC7" w14:textId="77777777" w:rsidR="008F2B6C" w:rsidRPr="008F2B6C" w:rsidRDefault="008F2B6C" w:rsidP="008F2B6C">
            <w:r w:rsidRPr="008F2B6C">
              <w:t>Financial Management</w:t>
            </w:r>
          </w:p>
        </w:tc>
      </w:tr>
      <w:tr w:rsidR="008F2B6C" w:rsidRPr="008F2B6C" w14:paraId="3CBA7EA8" w14:textId="77777777" w:rsidTr="00524024">
        <w:trPr>
          <w:tblCellSpacing w:w="15" w:type="dxa"/>
        </w:trPr>
        <w:tc>
          <w:tcPr>
            <w:tcW w:w="1935" w:type="dxa"/>
            <w:vAlign w:val="center"/>
            <w:hideMark/>
          </w:tcPr>
          <w:p w14:paraId="7063A636" w14:textId="77777777" w:rsidR="008F2B6C" w:rsidRPr="008F2B6C" w:rsidRDefault="008F2B6C" w:rsidP="008F2B6C">
            <w:r w:rsidRPr="008F2B6C">
              <w:t>GoT</w:t>
            </w:r>
          </w:p>
        </w:tc>
        <w:tc>
          <w:tcPr>
            <w:tcW w:w="8595" w:type="dxa"/>
            <w:vAlign w:val="center"/>
            <w:hideMark/>
          </w:tcPr>
          <w:p w14:paraId="39EC63B9" w14:textId="77777777" w:rsidR="008F2B6C" w:rsidRPr="008F2B6C" w:rsidRDefault="008F2B6C" w:rsidP="008F2B6C">
            <w:r w:rsidRPr="008F2B6C">
              <w:t>Government of Tonga</w:t>
            </w:r>
          </w:p>
        </w:tc>
      </w:tr>
      <w:tr w:rsidR="008F2B6C" w:rsidRPr="008F2B6C" w14:paraId="243FAF04" w14:textId="77777777" w:rsidTr="00524024">
        <w:trPr>
          <w:tblCellSpacing w:w="15" w:type="dxa"/>
        </w:trPr>
        <w:tc>
          <w:tcPr>
            <w:tcW w:w="1935" w:type="dxa"/>
            <w:vAlign w:val="center"/>
            <w:hideMark/>
          </w:tcPr>
          <w:p w14:paraId="5999D3B0" w14:textId="77777777" w:rsidR="008F2B6C" w:rsidRPr="008F2B6C" w:rsidRDefault="008F2B6C" w:rsidP="008F2B6C">
            <w:r w:rsidRPr="008F2B6C">
              <w:t>GRM</w:t>
            </w:r>
          </w:p>
        </w:tc>
        <w:tc>
          <w:tcPr>
            <w:tcW w:w="8595" w:type="dxa"/>
            <w:vAlign w:val="center"/>
            <w:hideMark/>
          </w:tcPr>
          <w:p w14:paraId="7D5AECE9" w14:textId="77777777" w:rsidR="008F2B6C" w:rsidRPr="008F2B6C" w:rsidRDefault="008F2B6C" w:rsidP="008F2B6C">
            <w:r w:rsidRPr="008F2B6C">
              <w:t>Grievance Redress Mechanism</w:t>
            </w:r>
          </w:p>
        </w:tc>
      </w:tr>
      <w:tr w:rsidR="008F2B6C" w:rsidRPr="008F2B6C" w14:paraId="5E1E2BF0" w14:textId="77777777" w:rsidTr="00524024">
        <w:trPr>
          <w:tblCellSpacing w:w="15" w:type="dxa"/>
        </w:trPr>
        <w:tc>
          <w:tcPr>
            <w:tcW w:w="1935" w:type="dxa"/>
            <w:vAlign w:val="center"/>
            <w:hideMark/>
          </w:tcPr>
          <w:p w14:paraId="3A29F668" w14:textId="77777777" w:rsidR="008F2B6C" w:rsidRPr="008F2B6C" w:rsidRDefault="008F2B6C" w:rsidP="008F2B6C">
            <w:r w:rsidRPr="008F2B6C">
              <w:t>HEIS</w:t>
            </w:r>
          </w:p>
        </w:tc>
        <w:tc>
          <w:tcPr>
            <w:tcW w:w="8595" w:type="dxa"/>
            <w:vAlign w:val="center"/>
            <w:hideMark/>
          </w:tcPr>
          <w:p w14:paraId="76DED855" w14:textId="77777777" w:rsidR="008F2B6C" w:rsidRPr="008F2B6C" w:rsidRDefault="008F2B6C" w:rsidP="008F2B6C">
            <w:r w:rsidRPr="008F2B6C">
              <w:t>Household Income and Expenditure Survey</w:t>
            </w:r>
          </w:p>
        </w:tc>
      </w:tr>
      <w:tr w:rsidR="008F2B6C" w:rsidRPr="008F2B6C" w14:paraId="5E73DE29" w14:textId="77777777" w:rsidTr="00524024">
        <w:trPr>
          <w:tblCellSpacing w:w="15" w:type="dxa"/>
        </w:trPr>
        <w:tc>
          <w:tcPr>
            <w:tcW w:w="1935" w:type="dxa"/>
            <w:vAlign w:val="center"/>
            <w:hideMark/>
          </w:tcPr>
          <w:p w14:paraId="46888827" w14:textId="77777777" w:rsidR="008F2B6C" w:rsidRPr="008F2B6C" w:rsidRDefault="008F2B6C" w:rsidP="008F2B6C">
            <w:r w:rsidRPr="008F2B6C">
              <w:t>ICR</w:t>
            </w:r>
          </w:p>
        </w:tc>
        <w:tc>
          <w:tcPr>
            <w:tcW w:w="8595" w:type="dxa"/>
            <w:vAlign w:val="center"/>
            <w:hideMark/>
          </w:tcPr>
          <w:p w14:paraId="7EDC2492" w14:textId="77777777" w:rsidR="008F2B6C" w:rsidRPr="008F2B6C" w:rsidRDefault="008F2B6C" w:rsidP="008F2B6C">
            <w:r w:rsidRPr="008F2B6C">
              <w:t>Implementation Completion and Results Report</w:t>
            </w:r>
          </w:p>
        </w:tc>
      </w:tr>
      <w:tr w:rsidR="008F2B6C" w:rsidRPr="008F2B6C" w14:paraId="46996140" w14:textId="77777777" w:rsidTr="00524024">
        <w:trPr>
          <w:tblCellSpacing w:w="15" w:type="dxa"/>
        </w:trPr>
        <w:tc>
          <w:tcPr>
            <w:tcW w:w="1935" w:type="dxa"/>
            <w:vAlign w:val="center"/>
            <w:hideMark/>
          </w:tcPr>
          <w:p w14:paraId="1E1EC51B" w14:textId="77777777" w:rsidR="008F2B6C" w:rsidRPr="008F2B6C" w:rsidRDefault="008F2B6C" w:rsidP="008F2B6C">
            <w:r w:rsidRPr="008F2B6C">
              <w:t>IDA</w:t>
            </w:r>
          </w:p>
        </w:tc>
        <w:tc>
          <w:tcPr>
            <w:tcW w:w="8595" w:type="dxa"/>
            <w:vAlign w:val="center"/>
            <w:hideMark/>
          </w:tcPr>
          <w:p w14:paraId="1D7C5A1A" w14:textId="77777777" w:rsidR="008F2B6C" w:rsidRPr="008F2B6C" w:rsidRDefault="008F2B6C" w:rsidP="008F2B6C">
            <w:r w:rsidRPr="008F2B6C">
              <w:t>International Development Association</w:t>
            </w:r>
          </w:p>
        </w:tc>
      </w:tr>
      <w:tr w:rsidR="008F2B6C" w:rsidRPr="008F2B6C" w14:paraId="210D6EA3" w14:textId="77777777" w:rsidTr="00524024">
        <w:trPr>
          <w:tblCellSpacing w:w="15" w:type="dxa"/>
        </w:trPr>
        <w:tc>
          <w:tcPr>
            <w:tcW w:w="1935" w:type="dxa"/>
            <w:vAlign w:val="center"/>
            <w:hideMark/>
          </w:tcPr>
          <w:p w14:paraId="0534AADF" w14:textId="77777777" w:rsidR="008F2B6C" w:rsidRPr="008F2B6C" w:rsidRDefault="008F2B6C" w:rsidP="008F2B6C">
            <w:r w:rsidRPr="008F2B6C">
              <w:t>IELTS</w:t>
            </w:r>
          </w:p>
        </w:tc>
        <w:tc>
          <w:tcPr>
            <w:tcW w:w="8595" w:type="dxa"/>
            <w:vAlign w:val="center"/>
            <w:hideMark/>
          </w:tcPr>
          <w:p w14:paraId="508BDF96" w14:textId="77777777" w:rsidR="008F2B6C" w:rsidRPr="008F2B6C" w:rsidRDefault="008F2B6C" w:rsidP="008F2B6C">
            <w:r w:rsidRPr="008F2B6C">
              <w:t>International English Language Testing System</w:t>
            </w:r>
          </w:p>
        </w:tc>
      </w:tr>
      <w:tr w:rsidR="008F2B6C" w:rsidRPr="008F2B6C" w14:paraId="606EC752" w14:textId="77777777" w:rsidTr="00524024">
        <w:trPr>
          <w:tblCellSpacing w:w="15" w:type="dxa"/>
        </w:trPr>
        <w:tc>
          <w:tcPr>
            <w:tcW w:w="1935" w:type="dxa"/>
            <w:vAlign w:val="center"/>
            <w:hideMark/>
          </w:tcPr>
          <w:p w14:paraId="1B5A2155" w14:textId="77777777" w:rsidR="008F2B6C" w:rsidRPr="008F2B6C" w:rsidRDefault="008F2B6C" w:rsidP="008F2B6C">
            <w:r w:rsidRPr="008F2B6C">
              <w:t>IPF</w:t>
            </w:r>
          </w:p>
        </w:tc>
        <w:tc>
          <w:tcPr>
            <w:tcW w:w="8595" w:type="dxa"/>
            <w:vAlign w:val="center"/>
            <w:hideMark/>
          </w:tcPr>
          <w:p w14:paraId="6BBD839B" w14:textId="77777777" w:rsidR="008F2B6C" w:rsidRPr="008F2B6C" w:rsidRDefault="008F2B6C" w:rsidP="008F2B6C">
            <w:r w:rsidRPr="008F2B6C">
              <w:t>Investment Project Financing</w:t>
            </w:r>
          </w:p>
        </w:tc>
      </w:tr>
      <w:tr w:rsidR="008F2B6C" w:rsidRPr="008F2B6C" w14:paraId="4CBA7979" w14:textId="77777777" w:rsidTr="00524024">
        <w:trPr>
          <w:tblCellSpacing w:w="15" w:type="dxa"/>
        </w:trPr>
        <w:tc>
          <w:tcPr>
            <w:tcW w:w="1935" w:type="dxa"/>
            <w:vAlign w:val="center"/>
            <w:hideMark/>
          </w:tcPr>
          <w:p w14:paraId="14E171EE" w14:textId="77777777" w:rsidR="008F2B6C" w:rsidRPr="008F2B6C" w:rsidRDefault="008F2B6C" w:rsidP="008F2B6C">
            <w:r w:rsidRPr="008F2B6C">
              <w:t>ISR</w:t>
            </w:r>
          </w:p>
        </w:tc>
        <w:tc>
          <w:tcPr>
            <w:tcW w:w="8595" w:type="dxa"/>
            <w:vAlign w:val="center"/>
            <w:hideMark/>
          </w:tcPr>
          <w:p w14:paraId="27DC6279" w14:textId="77777777" w:rsidR="008F2B6C" w:rsidRPr="008F2B6C" w:rsidRDefault="008F2B6C" w:rsidP="008F2B6C">
            <w:r w:rsidRPr="008F2B6C">
              <w:t>Implementation Status and Results Report</w:t>
            </w:r>
          </w:p>
        </w:tc>
      </w:tr>
      <w:tr w:rsidR="008F2B6C" w:rsidRPr="008F2B6C" w14:paraId="434F1BF0" w14:textId="77777777" w:rsidTr="00524024">
        <w:trPr>
          <w:tblCellSpacing w:w="15" w:type="dxa"/>
        </w:trPr>
        <w:tc>
          <w:tcPr>
            <w:tcW w:w="1935" w:type="dxa"/>
            <w:vAlign w:val="center"/>
            <w:hideMark/>
          </w:tcPr>
          <w:p w14:paraId="28D2F5AB" w14:textId="77777777" w:rsidR="008F2B6C" w:rsidRPr="008F2B6C" w:rsidRDefault="008F2B6C" w:rsidP="008F2B6C">
            <w:r w:rsidRPr="008F2B6C">
              <w:t>IRI</w:t>
            </w:r>
          </w:p>
        </w:tc>
        <w:tc>
          <w:tcPr>
            <w:tcW w:w="8595" w:type="dxa"/>
            <w:vAlign w:val="center"/>
            <w:hideMark/>
          </w:tcPr>
          <w:p w14:paraId="40276B60" w14:textId="77777777" w:rsidR="008F2B6C" w:rsidRPr="008F2B6C" w:rsidRDefault="008F2B6C" w:rsidP="008F2B6C">
            <w:r w:rsidRPr="008F2B6C">
              <w:t>Intermediate Results Indicator</w:t>
            </w:r>
          </w:p>
        </w:tc>
      </w:tr>
      <w:tr w:rsidR="008F2B6C" w:rsidRPr="008F2B6C" w14:paraId="6A19AEC8" w14:textId="77777777" w:rsidTr="00524024">
        <w:trPr>
          <w:tblCellSpacing w:w="15" w:type="dxa"/>
        </w:trPr>
        <w:tc>
          <w:tcPr>
            <w:tcW w:w="1935" w:type="dxa"/>
            <w:vAlign w:val="center"/>
            <w:hideMark/>
          </w:tcPr>
          <w:p w14:paraId="4CEFACC4" w14:textId="77777777" w:rsidR="008F2B6C" w:rsidRPr="008F2B6C" w:rsidRDefault="008F2B6C" w:rsidP="008F2B6C">
            <w:r w:rsidRPr="008F2B6C">
              <w:t>M&amp;E</w:t>
            </w:r>
          </w:p>
        </w:tc>
        <w:tc>
          <w:tcPr>
            <w:tcW w:w="8595" w:type="dxa"/>
            <w:vAlign w:val="center"/>
            <w:hideMark/>
          </w:tcPr>
          <w:p w14:paraId="21C3A83B" w14:textId="77777777" w:rsidR="008F2B6C" w:rsidRPr="008F2B6C" w:rsidRDefault="008F2B6C" w:rsidP="008F2B6C">
            <w:r w:rsidRPr="008F2B6C">
              <w:t>Monitoring and Evaluation</w:t>
            </w:r>
          </w:p>
        </w:tc>
      </w:tr>
      <w:tr w:rsidR="008F2B6C" w:rsidRPr="008F2B6C" w14:paraId="3062ADA8" w14:textId="77777777" w:rsidTr="00524024">
        <w:trPr>
          <w:tblCellSpacing w:w="15" w:type="dxa"/>
        </w:trPr>
        <w:tc>
          <w:tcPr>
            <w:tcW w:w="1935" w:type="dxa"/>
            <w:vAlign w:val="center"/>
            <w:hideMark/>
          </w:tcPr>
          <w:p w14:paraId="76531634" w14:textId="77777777" w:rsidR="008F2B6C" w:rsidRPr="008F2B6C" w:rsidRDefault="008F2B6C" w:rsidP="008F2B6C">
            <w:r w:rsidRPr="008F2B6C">
              <w:t>MET</w:t>
            </w:r>
          </w:p>
        </w:tc>
        <w:tc>
          <w:tcPr>
            <w:tcW w:w="8595" w:type="dxa"/>
            <w:vAlign w:val="center"/>
            <w:hideMark/>
          </w:tcPr>
          <w:p w14:paraId="6C87CA24" w14:textId="77777777" w:rsidR="008F2B6C" w:rsidRPr="008F2B6C" w:rsidRDefault="008F2B6C" w:rsidP="008F2B6C">
            <w:r w:rsidRPr="008F2B6C">
              <w:t>Ministry of Education and Training</w:t>
            </w:r>
          </w:p>
        </w:tc>
      </w:tr>
      <w:tr w:rsidR="008F2B6C" w:rsidRPr="008F2B6C" w14:paraId="1A76A48E" w14:textId="77777777" w:rsidTr="00524024">
        <w:trPr>
          <w:tblCellSpacing w:w="15" w:type="dxa"/>
        </w:trPr>
        <w:tc>
          <w:tcPr>
            <w:tcW w:w="1935" w:type="dxa"/>
            <w:vAlign w:val="center"/>
            <w:hideMark/>
          </w:tcPr>
          <w:p w14:paraId="54ACD322" w14:textId="77777777" w:rsidR="008F2B6C" w:rsidRPr="008F2B6C" w:rsidRDefault="008F2B6C" w:rsidP="008F2B6C">
            <w:r w:rsidRPr="008F2B6C">
              <w:t>MFNP</w:t>
            </w:r>
          </w:p>
        </w:tc>
        <w:tc>
          <w:tcPr>
            <w:tcW w:w="8595" w:type="dxa"/>
            <w:vAlign w:val="center"/>
            <w:hideMark/>
          </w:tcPr>
          <w:p w14:paraId="052C95AC" w14:textId="77777777" w:rsidR="008F2B6C" w:rsidRPr="008F2B6C" w:rsidRDefault="008F2B6C" w:rsidP="008F2B6C">
            <w:r w:rsidRPr="008F2B6C">
              <w:t>Ministry of Finance and National Planning</w:t>
            </w:r>
          </w:p>
        </w:tc>
      </w:tr>
      <w:tr w:rsidR="008F2B6C" w:rsidRPr="008F2B6C" w14:paraId="6A788C5B" w14:textId="77777777" w:rsidTr="00524024">
        <w:trPr>
          <w:tblCellSpacing w:w="15" w:type="dxa"/>
        </w:trPr>
        <w:tc>
          <w:tcPr>
            <w:tcW w:w="1935" w:type="dxa"/>
            <w:vAlign w:val="center"/>
            <w:hideMark/>
          </w:tcPr>
          <w:p w14:paraId="5493907C" w14:textId="77777777" w:rsidR="008F2B6C" w:rsidRPr="008F2B6C" w:rsidRDefault="008F2B6C" w:rsidP="008F2B6C">
            <w:r w:rsidRPr="008F2B6C">
              <w:t>MIA</w:t>
            </w:r>
          </w:p>
        </w:tc>
        <w:tc>
          <w:tcPr>
            <w:tcW w:w="8595" w:type="dxa"/>
            <w:vAlign w:val="center"/>
            <w:hideMark/>
          </w:tcPr>
          <w:p w14:paraId="3C1AC807" w14:textId="77777777" w:rsidR="008F2B6C" w:rsidRPr="008F2B6C" w:rsidRDefault="008F2B6C" w:rsidP="008F2B6C">
            <w:r w:rsidRPr="008F2B6C">
              <w:t>Ministry of Internal Affairs</w:t>
            </w:r>
          </w:p>
        </w:tc>
      </w:tr>
      <w:tr w:rsidR="008F2B6C" w:rsidRPr="008F2B6C" w14:paraId="337E1E0A" w14:textId="77777777" w:rsidTr="00524024">
        <w:trPr>
          <w:tblCellSpacing w:w="15" w:type="dxa"/>
        </w:trPr>
        <w:tc>
          <w:tcPr>
            <w:tcW w:w="1935" w:type="dxa"/>
            <w:vAlign w:val="center"/>
            <w:hideMark/>
          </w:tcPr>
          <w:p w14:paraId="2DAD7AC4" w14:textId="77777777" w:rsidR="008F2B6C" w:rsidRPr="008F2B6C" w:rsidRDefault="008F2B6C" w:rsidP="008F2B6C">
            <w:r w:rsidRPr="008F2B6C">
              <w:t>MIS</w:t>
            </w:r>
          </w:p>
        </w:tc>
        <w:tc>
          <w:tcPr>
            <w:tcW w:w="8595" w:type="dxa"/>
            <w:vAlign w:val="center"/>
            <w:hideMark/>
          </w:tcPr>
          <w:p w14:paraId="734B86C5" w14:textId="77777777" w:rsidR="008F2B6C" w:rsidRPr="008F2B6C" w:rsidRDefault="008F2B6C" w:rsidP="008F2B6C">
            <w:r w:rsidRPr="008F2B6C">
              <w:t>Management Information System</w:t>
            </w:r>
          </w:p>
        </w:tc>
      </w:tr>
      <w:tr w:rsidR="008F2B6C" w:rsidRPr="008F2B6C" w14:paraId="0948B58A" w14:textId="77777777" w:rsidTr="00524024">
        <w:trPr>
          <w:tblCellSpacing w:w="15" w:type="dxa"/>
        </w:trPr>
        <w:tc>
          <w:tcPr>
            <w:tcW w:w="1935" w:type="dxa"/>
            <w:vAlign w:val="center"/>
            <w:hideMark/>
          </w:tcPr>
          <w:p w14:paraId="085343D2" w14:textId="77777777" w:rsidR="008F2B6C" w:rsidRPr="008F2B6C" w:rsidRDefault="008F2B6C" w:rsidP="008F2B6C">
            <w:r w:rsidRPr="008F2B6C">
              <w:t>OED</w:t>
            </w:r>
          </w:p>
        </w:tc>
        <w:tc>
          <w:tcPr>
            <w:tcW w:w="8595" w:type="dxa"/>
            <w:vAlign w:val="center"/>
            <w:hideMark/>
          </w:tcPr>
          <w:p w14:paraId="7D5D8F20" w14:textId="77777777" w:rsidR="008F2B6C" w:rsidRPr="008F2B6C" w:rsidRDefault="008F2B6C" w:rsidP="008F2B6C">
            <w:r w:rsidRPr="008F2B6C">
              <w:t>Overseas Employment Division</w:t>
            </w:r>
          </w:p>
        </w:tc>
      </w:tr>
      <w:tr w:rsidR="008F2B6C" w:rsidRPr="008F2B6C" w14:paraId="67BA267C" w14:textId="77777777" w:rsidTr="00524024">
        <w:trPr>
          <w:tblCellSpacing w:w="15" w:type="dxa"/>
        </w:trPr>
        <w:tc>
          <w:tcPr>
            <w:tcW w:w="1935" w:type="dxa"/>
            <w:vAlign w:val="center"/>
            <w:hideMark/>
          </w:tcPr>
          <w:p w14:paraId="45692CCC" w14:textId="77777777" w:rsidR="008F2B6C" w:rsidRPr="008F2B6C" w:rsidRDefault="008F2B6C" w:rsidP="008F2B6C">
            <w:r w:rsidRPr="008F2B6C">
              <w:t>PAD</w:t>
            </w:r>
          </w:p>
        </w:tc>
        <w:tc>
          <w:tcPr>
            <w:tcW w:w="8595" w:type="dxa"/>
            <w:vAlign w:val="center"/>
            <w:hideMark/>
          </w:tcPr>
          <w:p w14:paraId="6EE87AC1" w14:textId="77777777" w:rsidR="008F2B6C" w:rsidRPr="008F2B6C" w:rsidRDefault="008F2B6C" w:rsidP="008F2B6C">
            <w:r w:rsidRPr="008F2B6C">
              <w:t>Project Appraisal Document</w:t>
            </w:r>
          </w:p>
        </w:tc>
      </w:tr>
      <w:tr w:rsidR="008F2B6C" w:rsidRPr="008F2B6C" w14:paraId="5BBD8497" w14:textId="77777777" w:rsidTr="00524024">
        <w:trPr>
          <w:tblCellSpacing w:w="15" w:type="dxa"/>
        </w:trPr>
        <w:tc>
          <w:tcPr>
            <w:tcW w:w="1935" w:type="dxa"/>
            <w:vAlign w:val="center"/>
            <w:hideMark/>
          </w:tcPr>
          <w:p w14:paraId="6B63644C" w14:textId="77777777" w:rsidR="008F2B6C" w:rsidRPr="008F2B6C" w:rsidRDefault="008F2B6C" w:rsidP="008F2B6C">
            <w:r w:rsidRPr="008F2B6C">
              <w:t>PDO</w:t>
            </w:r>
          </w:p>
        </w:tc>
        <w:tc>
          <w:tcPr>
            <w:tcW w:w="8595" w:type="dxa"/>
            <w:vAlign w:val="center"/>
            <w:hideMark/>
          </w:tcPr>
          <w:p w14:paraId="5F0B9E1C" w14:textId="77777777" w:rsidR="008F2B6C" w:rsidRPr="008F2B6C" w:rsidRDefault="008F2B6C" w:rsidP="008F2B6C">
            <w:r w:rsidRPr="008F2B6C">
              <w:t>Project Development Objective</w:t>
            </w:r>
          </w:p>
        </w:tc>
      </w:tr>
      <w:tr w:rsidR="008F2B6C" w:rsidRPr="008F2B6C" w14:paraId="70597FF1" w14:textId="77777777" w:rsidTr="00524024">
        <w:trPr>
          <w:tblCellSpacing w:w="15" w:type="dxa"/>
        </w:trPr>
        <w:tc>
          <w:tcPr>
            <w:tcW w:w="1935" w:type="dxa"/>
            <w:vAlign w:val="center"/>
            <w:hideMark/>
          </w:tcPr>
          <w:p w14:paraId="10948EB1" w14:textId="77777777" w:rsidR="008F2B6C" w:rsidRPr="008F2B6C" w:rsidRDefault="008F2B6C" w:rsidP="008F2B6C">
            <w:r w:rsidRPr="008F2B6C">
              <w:t>PIC</w:t>
            </w:r>
          </w:p>
        </w:tc>
        <w:tc>
          <w:tcPr>
            <w:tcW w:w="8595" w:type="dxa"/>
            <w:vAlign w:val="center"/>
            <w:hideMark/>
          </w:tcPr>
          <w:p w14:paraId="2E32DD1D" w14:textId="77777777" w:rsidR="008F2B6C" w:rsidRPr="008F2B6C" w:rsidRDefault="008F2B6C" w:rsidP="008F2B6C">
            <w:r w:rsidRPr="008F2B6C">
              <w:t>Pacific Island Country</w:t>
            </w:r>
          </w:p>
        </w:tc>
      </w:tr>
      <w:tr w:rsidR="008F2B6C" w:rsidRPr="008F2B6C" w14:paraId="69A1A0B6" w14:textId="77777777" w:rsidTr="00524024">
        <w:trPr>
          <w:tblCellSpacing w:w="15" w:type="dxa"/>
        </w:trPr>
        <w:tc>
          <w:tcPr>
            <w:tcW w:w="1935" w:type="dxa"/>
            <w:vAlign w:val="center"/>
            <w:hideMark/>
          </w:tcPr>
          <w:p w14:paraId="348E3BA9" w14:textId="77777777" w:rsidR="008F2B6C" w:rsidRPr="008F2B6C" w:rsidRDefault="008F2B6C" w:rsidP="008F2B6C">
            <w:r w:rsidRPr="008F2B6C">
              <w:t>PLF</w:t>
            </w:r>
          </w:p>
        </w:tc>
        <w:tc>
          <w:tcPr>
            <w:tcW w:w="8595" w:type="dxa"/>
            <w:vAlign w:val="center"/>
            <w:hideMark/>
          </w:tcPr>
          <w:p w14:paraId="4F9386A7" w14:textId="77777777" w:rsidR="008F2B6C" w:rsidRPr="008F2B6C" w:rsidRDefault="008F2B6C" w:rsidP="008F2B6C">
            <w:r w:rsidRPr="008F2B6C">
              <w:t>Pacific Labour Facility</w:t>
            </w:r>
          </w:p>
        </w:tc>
      </w:tr>
      <w:tr w:rsidR="008F2B6C" w:rsidRPr="008F2B6C" w14:paraId="4C40B569" w14:textId="77777777" w:rsidTr="00524024">
        <w:trPr>
          <w:tblCellSpacing w:w="15" w:type="dxa"/>
        </w:trPr>
        <w:tc>
          <w:tcPr>
            <w:tcW w:w="1935" w:type="dxa"/>
            <w:vAlign w:val="center"/>
            <w:hideMark/>
          </w:tcPr>
          <w:p w14:paraId="789F6378" w14:textId="77777777" w:rsidR="008F2B6C" w:rsidRPr="008F2B6C" w:rsidRDefault="008F2B6C" w:rsidP="008F2B6C">
            <w:r w:rsidRPr="008F2B6C">
              <w:lastRenderedPageBreak/>
              <w:t>PMT</w:t>
            </w:r>
          </w:p>
        </w:tc>
        <w:tc>
          <w:tcPr>
            <w:tcW w:w="8595" w:type="dxa"/>
            <w:vAlign w:val="center"/>
            <w:hideMark/>
          </w:tcPr>
          <w:p w14:paraId="15B7EE61" w14:textId="77777777" w:rsidR="008F2B6C" w:rsidRPr="008F2B6C" w:rsidRDefault="008F2B6C" w:rsidP="008F2B6C">
            <w:r w:rsidRPr="008F2B6C">
              <w:t>Proxy Means Test</w:t>
            </w:r>
          </w:p>
        </w:tc>
      </w:tr>
      <w:tr w:rsidR="008F2B6C" w:rsidRPr="008F2B6C" w14:paraId="369FF87A" w14:textId="77777777" w:rsidTr="00524024">
        <w:trPr>
          <w:tblCellSpacing w:w="15" w:type="dxa"/>
        </w:trPr>
        <w:tc>
          <w:tcPr>
            <w:tcW w:w="1935" w:type="dxa"/>
            <w:vAlign w:val="center"/>
            <w:hideMark/>
          </w:tcPr>
          <w:p w14:paraId="697C637F" w14:textId="77777777" w:rsidR="008F2B6C" w:rsidRPr="008F2B6C" w:rsidRDefault="008F2B6C" w:rsidP="008F2B6C">
            <w:r w:rsidRPr="008F2B6C">
              <w:t>PMU</w:t>
            </w:r>
          </w:p>
        </w:tc>
        <w:tc>
          <w:tcPr>
            <w:tcW w:w="8595" w:type="dxa"/>
            <w:vAlign w:val="center"/>
            <w:hideMark/>
          </w:tcPr>
          <w:p w14:paraId="6401DD9F" w14:textId="77777777" w:rsidR="008F2B6C" w:rsidRPr="008F2B6C" w:rsidRDefault="008F2B6C" w:rsidP="008F2B6C">
            <w:r w:rsidRPr="008F2B6C">
              <w:t>Project Management Unit</w:t>
            </w:r>
          </w:p>
        </w:tc>
      </w:tr>
      <w:tr w:rsidR="008F2B6C" w:rsidRPr="008F2B6C" w14:paraId="2B5731AE" w14:textId="77777777" w:rsidTr="00524024">
        <w:trPr>
          <w:tblCellSpacing w:w="15" w:type="dxa"/>
        </w:trPr>
        <w:tc>
          <w:tcPr>
            <w:tcW w:w="1935" w:type="dxa"/>
            <w:vAlign w:val="center"/>
            <w:hideMark/>
          </w:tcPr>
          <w:p w14:paraId="320C2063" w14:textId="77777777" w:rsidR="008F2B6C" w:rsidRPr="008F2B6C" w:rsidRDefault="008F2B6C" w:rsidP="008F2B6C">
            <w:r w:rsidRPr="008F2B6C">
              <w:t>QIG</w:t>
            </w:r>
          </w:p>
        </w:tc>
        <w:tc>
          <w:tcPr>
            <w:tcW w:w="8595" w:type="dxa"/>
            <w:vAlign w:val="center"/>
            <w:hideMark/>
          </w:tcPr>
          <w:p w14:paraId="1643350F" w14:textId="77777777" w:rsidR="008F2B6C" w:rsidRPr="008F2B6C" w:rsidRDefault="008F2B6C" w:rsidP="008F2B6C">
            <w:r w:rsidRPr="008F2B6C">
              <w:t>Quality Improvement Grant</w:t>
            </w:r>
          </w:p>
        </w:tc>
      </w:tr>
      <w:tr w:rsidR="008F2B6C" w:rsidRPr="008F2B6C" w14:paraId="54D80125" w14:textId="77777777" w:rsidTr="00524024">
        <w:trPr>
          <w:tblCellSpacing w:w="15" w:type="dxa"/>
        </w:trPr>
        <w:tc>
          <w:tcPr>
            <w:tcW w:w="1935" w:type="dxa"/>
            <w:vAlign w:val="center"/>
            <w:hideMark/>
          </w:tcPr>
          <w:p w14:paraId="4B19A0A6" w14:textId="77777777" w:rsidR="008F2B6C" w:rsidRPr="008F2B6C" w:rsidRDefault="008F2B6C" w:rsidP="008F2B6C">
            <w:r w:rsidRPr="008F2B6C">
              <w:t>RF</w:t>
            </w:r>
          </w:p>
        </w:tc>
        <w:tc>
          <w:tcPr>
            <w:tcW w:w="8595" w:type="dxa"/>
            <w:vAlign w:val="center"/>
            <w:hideMark/>
          </w:tcPr>
          <w:p w14:paraId="3134E23D" w14:textId="77777777" w:rsidR="008F2B6C" w:rsidRPr="008F2B6C" w:rsidRDefault="008F2B6C" w:rsidP="008F2B6C">
            <w:r w:rsidRPr="008F2B6C">
              <w:t>Results Framework</w:t>
            </w:r>
          </w:p>
        </w:tc>
      </w:tr>
      <w:tr w:rsidR="008F2B6C" w:rsidRPr="008F2B6C" w14:paraId="2B3A25C2" w14:textId="77777777" w:rsidTr="00524024">
        <w:trPr>
          <w:tblCellSpacing w:w="15" w:type="dxa"/>
        </w:trPr>
        <w:tc>
          <w:tcPr>
            <w:tcW w:w="1935" w:type="dxa"/>
            <w:vAlign w:val="center"/>
            <w:hideMark/>
          </w:tcPr>
          <w:p w14:paraId="7DB0D11D" w14:textId="77777777" w:rsidR="008F2B6C" w:rsidRPr="008F2B6C" w:rsidRDefault="008F2B6C" w:rsidP="008F2B6C">
            <w:r w:rsidRPr="008F2B6C">
              <w:t>SDR</w:t>
            </w:r>
          </w:p>
        </w:tc>
        <w:tc>
          <w:tcPr>
            <w:tcW w:w="8595" w:type="dxa"/>
            <w:vAlign w:val="center"/>
            <w:hideMark/>
          </w:tcPr>
          <w:p w14:paraId="03533C3A" w14:textId="77777777" w:rsidR="008F2B6C" w:rsidRPr="008F2B6C" w:rsidRDefault="008F2B6C" w:rsidP="008F2B6C">
            <w:r w:rsidRPr="008F2B6C">
              <w:t>Special Drawing Rights</w:t>
            </w:r>
          </w:p>
        </w:tc>
      </w:tr>
      <w:tr w:rsidR="008F2B6C" w:rsidRPr="008F2B6C" w14:paraId="6026E96E" w14:textId="77777777" w:rsidTr="00524024">
        <w:trPr>
          <w:tblCellSpacing w:w="15" w:type="dxa"/>
        </w:trPr>
        <w:tc>
          <w:tcPr>
            <w:tcW w:w="1935" w:type="dxa"/>
            <w:vAlign w:val="center"/>
            <w:hideMark/>
          </w:tcPr>
          <w:p w14:paraId="70C74F27" w14:textId="77777777" w:rsidR="008F2B6C" w:rsidRPr="008F2B6C" w:rsidRDefault="008F2B6C" w:rsidP="008F2B6C">
            <w:r w:rsidRPr="008F2B6C">
              <w:t>SET</w:t>
            </w:r>
          </w:p>
        </w:tc>
        <w:tc>
          <w:tcPr>
            <w:tcW w:w="8595" w:type="dxa"/>
            <w:vAlign w:val="center"/>
            <w:hideMark/>
          </w:tcPr>
          <w:p w14:paraId="29348D8B" w14:textId="77777777" w:rsidR="008F2B6C" w:rsidRPr="008F2B6C" w:rsidRDefault="008F2B6C" w:rsidP="008F2B6C">
            <w:r w:rsidRPr="008F2B6C">
              <w:t>Skills and Employment for Tongans Project</w:t>
            </w:r>
          </w:p>
        </w:tc>
      </w:tr>
      <w:tr w:rsidR="008F2B6C" w:rsidRPr="008F2B6C" w14:paraId="2BE5B5F5" w14:textId="77777777" w:rsidTr="00524024">
        <w:trPr>
          <w:tblCellSpacing w:w="15" w:type="dxa"/>
        </w:trPr>
        <w:tc>
          <w:tcPr>
            <w:tcW w:w="1935" w:type="dxa"/>
            <w:vAlign w:val="center"/>
            <w:hideMark/>
          </w:tcPr>
          <w:p w14:paraId="4FD61C4B" w14:textId="77777777" w:rsidR="008F2B6C" w:rsidRPr="008F2B6C" w:rsidRDefault="008F2B6C" w:rsidP="008F2B6C">
            <w:r w:rsidRPr="008F2B6C">
              <w:t>SPDD</w:t>
            </w:r>
          </w:p>
        </w:tc>
        <w:tc>
          <w:tcPr>
            <w:tcW w:w="8595" w:type="dxa"/>
            <w:vAlign w:val="center"/>
            <w:hideMark/>
          </w:tcPr>
          <w:p w14:paraId="64084255" w14:textId="77777777" w:rsidR="008F2B6C" w:rsidRPr="008F2B6C" w:rsidRDefault="008F2B6C" w:rsidP="008F2B6C">
            <w:r w:rsidRPr="008F2B6C">
              <w:t>Social Protection and Disability Division</w:t>
            </w:r>
          </w:p>
        </w:tc>
      </w:tr>
      <w:tr w:rsidR="008F2B6C" w:rsidRPr="008F2B6C" w14:paraId="598883F8" w14:textId="77777777" w:rsidTr="00524024">
        <w:trPr>
          <w:tblCellSpacing w:w="15" w:type="dxa"/>
        </w:trPr>
        <w:tc>
          <w:tcPr>
            <w:tcW w:w="1935" w:type="dxa"/>
            <w:vAlign w:val="center"/>
            <w:hideMark/>
          </w:tcPr>
          <w:p w14:paraId="2682543E" w14:textId="77777777" w:rsidR="008F2B6C" w:rsidRPr="008F2B6C" w:rsidRDefault="008F2B6C" w:rsidP="008F2B6C">
            <w:r w:rsidRPr="008F2B6C">
              <w:t>STEP</w:t>
            </w:r>
          </w:p>
        </w:tc>
        <w:tc>
          <w:tcPr>
            <w:tcW w:w="8595" w:type="dxa"/>
            <w:vAlign w:val="center"/>
            <w:hideMark/>
          </w:tcPr>
          <w:p w14:paraId="70E69900" w14:textId="77777777" w:rsidR="008F2B6C" w:rsidRPr="008F2B6C" w:rsidRDefault="008F2B6C" w:rsidP="008F2B6C">
            <w:r w:rsidRPr="008F2B6C">
              <w:t>Systematic Tracking of Exchanges in Procurement</w:t>
            </w:r>
          </w:p>
        </w:tc>
      </w:tr>
      <w:tr w:rsidR="008F2B6C" w:rsidRPr="008F2B6C" w14:paraId="2BFB20DF" w14:textId="77777777" w:rsidTr="00524024">
        <w:trPr>
          <w:tblCellSpacing w:w="15" w:type="dxa"/>
        </w:trPr>
        <w:tc>
          <w:tcPr>
            <w:tcW w:w="1935" w:type="dxa"/>
            <w:vAlign w:val="center"/>
            <w:hideMark/>
          </w:tcPr>
          <w:p w14:paraId="653B9B61" w14:textId="77777777" w:rsidR="008F2B6C" w:rsidRPr="008F2B6C" w:rsidRDefault="008F2B6C" w:rsidP="008F2B6C">
            <w:r w:rsidRPr="008F2B6C">
              <w:t>STC</w:t>
            </w:r>
          </w:p>
        </w:tc>
        <w:tc>
          <w:tcPr>
            <w:tcW w:w="8595" w:type="dxa"/>
            <w:vAlign w:val="center"/>
            <w:hideMark/>
          </w:tcPr>
          <w:p w14:paraId="3AC4D3B9" w14:textId="77777777" w:rsidR="008F2B6C" w:rsidRPr="008F2B6C" w:rsidRDefault="008F2B6C" w:rsidP="008F2B6C">
            <w:r w:rsidRPr="008F2B6C">
              <w:t>Short-Term Consultant</w:t>
            </w:r>
          </w:p>
        </w:tc>
      </w:tr>
      <w:tr w:rsidR="008F2B6C" w:rsidRPr="008F2B6C" w14:paraId="0B2979B5" w14:textId="77777777" w:rsidTr="00524024">
        <w:trPr>
          <w:tblCellSpacing w:w="15" w:type="dxa"/>
        </w:trPr>
        <w:tc>
          <w:tcPr>
            <w:tcW w:w="1935" w:type="dxa"/>
            <w:vAlign w:val="center"/>
            <w:hideMark/>
          </w:tcPr>
          <w:p w14:paraId="5C28DB7C" w14:textId="77777777" w:rsidR="008F2B6C" w:rsidRPr="008F2B6C" w:rsidRDefault="008F2B6C" w:rsidP="008F2B6C">
            <w:r w:rsidRPr="008F2B6C">
              <w:t>TA</w:t>
            </w:r>
          </w:p>
        </w:tc>
        <w:tc>
          <w:tcPr>
            <w:tcW w:w="8595" w:type="dxa"/>
            <w:vAlign w:val="center"/>
            <w:hideMark/>
          </w:tcPr>
          <w:p w14:paraId="26790109" w14:textId="77777777" w:rsidR="008F2B6C" w:rsidRPr="008F2B6C" w:rsidRDefault="008F2B6C" w:rsidP="008F2B6C">
            <w:r w:rsidRPr="008F2B6C">
              <w:t>Technical Assistance</w:t>
            </w:r>
          </w:p>
        </w:tc>
      </w:tr>
      <w:tr w:rsidR="008F2B6C" w:rsidRPr="008F2B6C" w14:paraId="43853F85" w14:textId="77777777" w:rsidTr="00524024">
        <w:trPr>
          <w:tblCellSpacing w:w="15" w:type="dxa"/>
        </w:trPr>
        <w:tc>
          <w:tcPr>
            <w:tcW w:w="1935" w:type="dxa"/>
            <w:vAlign w:val="center"/>
            <w:hideMark/>
          </w:tcPr>
          <w:p w14:paraId="512EDA83" w14:textId="77777777" w:rsidR="008F2B6C" w:rsidRPr="008F2B6C" w:rsidRDefault="008F2B6C" w:rsidP="008F2B6C">
            <w:r w:rsidRPr="008F2B6C">
              <w:t>TLMS</w:t>
            </w:r>
          </w:p>
        </w:tc>
        <w:tc>
          <w:tcPr>
            <w:tcW w:w="8595" w:type="dxa"/>
            <w:vAlign w:val="center"/>
            <w:hideMark/>
          </w:tcPr>
          <w:p w14:paraId="0D81B18E" w14:textId="77777777" w:rsidR="008F2B6C" w:rsidRPr="008F2B6C" w:rsidRDefault="008F2B6C" w:rsidP="008F2B6C">
            <w:r w:rsidRPr="008F2B6C">
              <w:t>Temporary Labor Mobility Scheme</w:t>
            </w:r>
          </w:p>
        </w:tc>
      </w:tr>
      <w:tr w:rsidR="008F2B6C" w:rsidRPr="008F2B6C" w14:paraId="75486CCB" w14:textId="77777777" w:rsidTr="00524024">
        <w:trPr>
          <w:tblCellSpacing w:w="15" w:type="dxa"/>
        </w:trPr>
        <w:tc>
          <w:tcPr>
            <w:tcW w:w="1935" w:type="dxa"/>
            <w:vAlign w:val="center"/>
            <w:hideMark/>
          </w:tcPr>
          <w:p w14:paraId="69E2AE3A" w14:textId="77777777" w:rsidR="008F2B6C" w:rsidRPr="008F2B6C" w:rsidRDefault="008F2B6C" w:rsidP="008F2B6C">
            <w:r w:rsidRPr="008F2B6C">
              <w:t>TNQAB</w:t>
            </w:r>
          </w:p>
        </w:tc>
        <w:tc>
          <w:tcPr>
            <w:tcW w:w="8595" w:type="dxa"/>
            <w:vAlign w:val="center"/>
            <w:hideMark/>
          </w:tcPr>
          <w:p w14:paraId="3842C9E7" w14:textId="77777777" w:rsidR="008F2B6C" w:rsidRPr="008F2B6C" w:rsidRDefault="008F2B6C" w:rsidP="008F2B6C">
            <w:r w:rsidRPr="008F2B6C">
              <w:t>Tonga National Qualifications and Accreditation Board</w:t>
            </w:r>
          </w:p>
        </w:tc>
      </w:tr>
      <w:tr w:rsidR="008F2B6C" w:rsidRPr="008F2B6C" w14:paraId="6F796025" w14:textId="77777777" w:rsidTr="00524024">
        <w:trPr>
          <w:tblCellSpacing w:w="15" w:type="dxa"/>
        </w:trPr>
        <w:tc>
          <w:tcPr>
            <w:tcW w:w="1935" w:type="dxa"/>
            <w:vAlign w:val="center"/>
            <w:hideMark/>
          </w:tcPr>
          <w:p w14:paraId="7682ABB1" w14:textId="77777777" w:rsidR="008F2B6C" w:rsidRPr="008F2B6C" w:rsidRDefault="008F2B6C" w:rsidP="008F2B6C">
            <w:r w:rsidRPr="008F2B6C">
              <w:t>ToC</w:t>
            </w:r>
          </w:p>
        </w:tc>
        <w:tc>
          <w:tcPr>
            <w:tcW w:w="8595" w:type="dxa"/>
            <w:vAlign w:val="center"/>
            <w:hideMark/>
          </w:tcPr>
          <w:p w14:paraId="0E01A090" w14:textId="77777777" w:rsidR="008F2B6C" w:rsidRPr="008F2B6C" w:rsidRDefault="008F2B6C" w:rsidP="008F2B6C">
            <w:r w:rsidRPr="008F2B6C">
              <w:t>Theory of Change</w:t>
            </w:r>
          </w:p>
        </w:tc>
      </w:tr>
      <w:tr w:rsidR="008F2B6C" w:rsidRPr="008F2B6C" w14:paraId="0FB81DDE" w14:textId="77777777" w:rsidTr="00524024">
        <w:trPr>
          <w:tblCellSpacing w:w="15" w:type="dxa"/>
        </w:trPr>
        <w:tc>
          <w:tcPr>
            <w:tcW w:w="1935" w:type="dxa"/>
            <w:vAlign w:val="center"/>
            <w:hideMark/>
          </w:tcPr>
          <w:p w14:paraId="1E6A4F40" w14:textId="77777777" w:rsidR="008F2B6C" w:rsidRPr="008F2B6C" w:rsidRDefault="008F2B6C" w:rsidP="008F2B6C">
            <w:r w:rsidRPr="008F2B6C">
              <w:t>TOP</w:t>
            </w:r>
          </w:p>
        </w:tc>
        <w:tc>
          <w:tcPr>
            <w:tcW w:w="8595" w:type="dxa"/>
            <w:vAlign w:val="center"/>
            <w:hideMark/>
          </w:tcPr>
          <w:p w14:paraId="6F6EFBA0" w14:textId="77777777" w:rsidR="008F2B6C" w:rsidRPr="008F2B6C" w:rsidRDefault="008F2B6C" w:rsidP="008F2B6C">
            <w:r w:rsidRPr="008F2B6C">
              <w:t>Tongan Pa’anga</w:t>
            </w:r>
          </w:p>
        </w:tc>
      </w:tr>
      <w:tr w:rsidR="008F2B6C" w:rsidRPr="008F2B6C" w14:paraId="693C8EFF" w14:textId="77777777" w:rsidTr="00524024">
        <w:trPr>
          <w:tblCellSpacing w:w="15" w:type="dxa"/>
        </w:trPr>
        <w:tc>
          <w:tcPr>
            <w:tcW w:w="1935" w:type="dxa"/>
            <w:vAlign w:val="center"/>
            <w:hideMark/>
          </w:tcPr>
          <w:p w14:paraId="255E8120" w14:textId="77777777" w:rsidR="008F2B6C" w:rsidRPr="008F2B6C" w:rsidRDefault="008F2B6C" w:rsidP="008F2B6C">
            <w:r w:rsidRPr="008F2B6C">
              <w:t>TSSF</w:t>
            </w:r>
          </w:p>
        </w:tc>
        <w:tc>
          <w:tcPr>
            <w:tcW w:w="8595" w:type="dxa"/>
            <w:vAlign w:val="center"/>
            <w:hideMark/>
          </w:tcPr>
          <w:p w14:paraId="358C7A4C" w14:textId="77777777" w:rsidR="008F2B6C" w:rsidRPr="008F2B6C" w:rsidRDefault="008F2B6C" w:rsidP="008F2B6C">
            <w:r w:rsidRPr="008F2B6C">
              <w:t>TVET Student Support Fund</w:t>
            </w:r>
          </w:p>
        </w:tc>
      </w:tr>
      <w:tr w:rsidR="008F2B6C" w:rsidRPr="008F2B6C" w14:paraId="406CFFA1" w14:textId="77777777" w:rsidTr="00524024">
        <w:trPr>
          <w:tblCellSpacing w:w="15" w:type="dxa"/>
        </w:trPr>
        <w:tc>
          <w:tcPr>
            <w:tcW w:w="1935" w:type="dxa"/>
            <w:vAlign w:val="center"/>
            <w:hideMark/>
          </w:tcPr>
          <w:p w14:paraId="5346C139" w14:textId="77777777" w:rsidR="008F2B6C" w:rsidRPr="008F2B6C" w:rsidRDefault="008F2B6C" w:rsidP="008F2B6C">
            <w:r w:rsidRPr="008F2B6C">
              <w:t>TVET</w:t>
            </w:r>
          </w:p>
        </w:tc>
        <w:tc>
          <w:tcPr>
            <w:tcW w:w="8595" w:type="dxa"/>
            <w:vAlign w:val="center"/>
            <w:hideMark/>
          </w:tcPr>
          <w:p w14:paraId="5C6F99D2" w14:textId="77777777" w:rsidR="008F2B6C" w:rsidRPr="008F2B6C" w:rsidRDefault="008F2B6C" w:rsidP="008F2B6C">
            <w:r w:rsidRPr="008F2B6C">
              <w:t>Technical and Vocational Education and Training</w:t>
            </w:r>
          </w:p>
        </w:tc>
      </w:tr>
      <w:tr w:rsidR="008F2B6C" w:rsidRPr="008F2B6C" w14:paraId="6F8CF98C" w14:textId="77777777" w:rsidTr="00524024">
        <w:trPr>
          <w:tblCellSpacing w:w="15" w:type="dxa"/>
        </w:trPr>
        <w:tc>
          <w:tcPr>
            <w:tcW w:w="1935" w:type="dxa"/>
            <w:vAlign w:val="center"/>
            <w:hideMark/>
          </w:tcPr>
          <w:p w14:paraId="3097A45F" w14:textId="77777777" w:rsidR="008F2B6C" w:rsidRPr="008F2B6C" w:rsidRDefault="008F2B6C" w:rsidP="008F2B6C">
            <w:r w:rsidRPr="008F2B6C">
              <w:t>WB</w:t>
            </w:r>
          </w:p>
        </w:tc>
        <w:tc>
          <w:tcPr>
            <w:tcW w:w="8595" w:type="dxa"/>
            <w:vAlign w:val="center"/>
            <w:hideMark/>
          </w:tcPr>
          <w:p w14:paraId="4489A508" w14:textId="77777777" w:rsidR="008F2B6C" w:rsidRPr="008F2B6C" w:rsidRDefault="008F2B6C" w:rsidP="008F2B6C">
            <w:r w:rsidRPr="008F2B6C">
              <w:t>World Bank</w:t>
            </w:r>
          </w:p>
        </w:tc>
      </w:tr>
    </w:tbl>
    <w:p w14:paraId="16B1D2CF" w14:textId="77777777" w:rsidR="000D263E" w:rsidRDefault="000D263E">
      <w:pPr>
        <w:sectPr w:rsidR="000D263E" w:rsidSect="00F70582">
          <w:footerReference w:type="default" r:id="rId15"/>
          <w:type w:val="continuous"/>
          <w:pgSz w:w="12240" w:h="15840" w:code="1"/>
          <w:pgMar w:top="1440" w:right="720" w:bottom="1440" w:left="720" w:header="720" w:footer="720" w:gutter="0"/>
          <w:pgNumType w:fmt="lowerRoman"/>
          <w:cols w:space="720"/>
          <w:titlePg/>
          <w:docGrid w:linePitch="286"/>
        </w:sectPr>
      </w:pPr>
    </w:p>
    <w:p w14:paraId="3EF1102A" w14:textId="77777777" w:rsidR="002061DD" w:rsidRPr="003476D0" w:rsidRDefault="002061DD" w:rsidP="002061DD">
      <w:pPr>
        <w:spacing w:line="240" w:lineRule="auto"/>
        <w:rPr>
          <w:rFonts w:cs="Times New Roman"/>
          <w:b/>
          <w:bCs/>
          <w:caps/>
        </w:rPr>
      </w:pPr>
    </w:p>
    <w:sdt>
      <w:sdtPr>
        <w:rPr>
          <w:rFonts w:ascii="Arial" w:eastAsia="Times New Roman" w:hAnsi="Arial" w:cs="Arial"/>
          <w:i/>
          <w:iCs/>
          <w:caps/>
          <w:noProof/>
          <w:color w:val="000000"/>
          <w:sz w:val="24"/>
          <w:szCs w:val="24"/>
        </w:rPr>
        <w:id w:val="2032212123"/>
        <w:docPartObj>
          <w:docPartGallery w:val="Table of Contents"/>
          <w:docPartUnique/>
        </w:docPartObj>
      </w:sdtPr>
      <w:sdtEndPr>
        <w:rPr>
          <w:rFonts w:ascii="Calibri" w:hAnsi="Calibri"/>
          <w:b/>
          <w:bCs/>
          <w:i w:val="0"/>
          <w:iCs w:val="0"/>
          <w:color w:val="000000" w:themeColor="text1"/>
          <w:sz w:val="22"/>
          <w:szCs w:val="22"/>
        </w:rPr>
      </w:sdtEndPr>
      <w:sdtContent>
        <w:p w14:paraId="4105E13E" w14:textId="77777777" w:rsidR="002061DD" w:rsidRPr="008A6DED" w:rsidRDefault="00D310E2" w:rsidP="002061DD">
          <w:pPr>
            <w:spacing w:before="120"/>
            <w:ind w:left="2880" w:firstLine="720"/>
            <w:rPr>
              <w:rFonts w:asciiTheme="majorHAnsi" w:eastAsia="Times New Roman" w:hAnsiTheme="majorHAnsi" w:cstheme="majorHAnsi"/>
              <w:b/>
              <w:bCs/>
            </w:rPr>
          </w:pPr>
          <w:r w:rsidRPr="008A6DED">
            <w:rPr>
              <w:rFonts w:asciiTheme="majorHAnsi" w:eastAsia="Times New Roman" w:hAnsiTheme="majorHAnsi" w:cstheme="majorHAnsi"/>
              <w:b/>
              <w:bCs/>
            </w:rPr>
            <w:t>TABLE OF CONTENTS</w:t>
          </w:r>
        </w:p>
        <w:p w14:paraId="199ED407" w14:textId="77777777" w:rsidR="002061DD" w:rsidRPr="00510BE1" w:rsidRDefault="002061DD" w:rsidP="002061DD">
          <w:pPr>
            <w:widowControl w:val="0"/>
            <w:autoSpaceDE w:val="0"/>
            <w:autoSpaceDN w:val="0"/>
            <w:adjustRightInd w:val="0"/>
            <w:spacing w:line="240" w:lineRule="auto"/>
            <w:rPr>
              <w:rFonts w:ascii="Calibri" w:eastAsia="Times New Roman" w:hAnsi="Calibri" w:cs="Arial"/>
              <w:color w:val="000000"/>
            </w:rPr>
          </w:pPr>
        </w:p>
        <w:p w14:paraId="09058C70" w14:textId="49808CE6" w:rsidR="00C275A1" w:rsidRDefault="00D310E2">
          <w:pPr>
            <w:pStyle w:val="TOC1"/>
            <w:rPr>
              <w:b w:val="0"/>
              <w:noProof/>
              <w:kern w:val="2"/>
              <w:szCs w:val="24"/>
              <w14:ligatures w14:val="standardContextual"/>
            </w:rPr>
          </w:pPr>
          <w:r>
            <w:rPr>
              <w:rFonts w:ascii="Calibri" w:eastAsia="Times New Roman" w:hAnsi="Calibri" w:cs="Times New Roman"/>
            </w:rPr>
            <w:fldChar w:fldCharType="begin"/>
          </w:r>
          <w:r>
            <w:rPr>
              <w:rFonts w:ascii="Calibri" w:eastAsia="Times New Roman" w:hAnsi="Calibri" w:cs="Times New Roman"/>
            </w:rPr>
            <w:instrText xml:space="preserve"> TOC \o "1-4" \h \z \u </w:instrText>
          </w:r>
          <w:r>
            <w:rPr>
              <w:rFonts w:ascii="Calibri" w:eastAsia="Times New Roman" w:hAnsi="Calibri" w:cs="Times New Roman"/>
            </w:rPr>
            <w:fldChar w:fldCharType="separate"/>
          </w:r>
          <w:hyperlink w:anchor="_Toc198922294" w:history="1">
            <w:r w:rsidR="00C275A1" w:rsidRPr="006135C8">
              <w:rPr>
                <w:rStyle w:val="Hyperlink"/>
                <w:bCs/>
                <w:noProof/>
              </w:rPr>
              <w:t>DATA SHEET</w:t>
            </w:r>
            <w:r w:rsidR="00C275A1">
              <w:rPr>
                <w:noProof/>
                <w:webHidden/>
              </w:rPr>
              <w:tab/>
            </w:r>
            <w:r w:rsidR="00C275A1">
              <w:rPr>
                <w:noProof/>
                <w:webHidden/>
              </w:rPr>
              <w:fldChar w:fldCharType="begin"/>
            </w:r>
            <w:r w:rsidR="00C275A1">
              <w:rPr>
                <w:noProof/>
                <w:webHidden/>
              </w:rPr>
              <w:instrText xml:space="preserve"> PAGEREF _Toc198922294 \h </w:instrText>
            </w:r>
            <w:r w:rsidR="00C275A1">
              <w:rPr>
                <w:noProof/>
                <w:webHidden/>
              </w:rPr>
            </w:r>
            <w:r w:rsidR="00C275A1">
              <w:rPr>
                <w:noProof/>
                <w:webHidden/>
              </w:rPr>
              <w:fldChar w:fldCharType="separate"/>
            </w:r>
            <w:r w:rsidR="00C275A1">
              <w:rPr>
                <w:noProof/>
                <w:webHidden/>
              </w:rPr>
              <w:t>i</w:t>
            </w:r>
            <w:r w:rsidR="00C275A1">
              <w:rPr>
                <w:noProof/>
                <w:webHidden/>
              </w:rPr>
              <w:fldChar w:fldCharType="end"/>
            </w:r>
          </w:hyperlink>
        </w:p>
        <w:p w14:paraId="34E95B89" w14:textId="366C983F" w:rsidR="00C275A1" w:rsidRDefault="00C275A1">
          <w:pPr>
            <w:pStyle w:val="TOC3"/>
            <w:tabs>
              <w:tab w:val="left" w:pos="960"/>
              <w:tab w:val="right" w:leader="dot" w:pos="10790"/>
            </w:tabs>
            <w:rPr>
              <w:rFonts w:cstheme="minorBidi"/>
              <w:b w:val="0"/>
              <w:noProof/>
              <w:kern w:val="2"/>
              <w:sz w:val="24"/>
              <w:szCs w:val="24"/>
              <w14:ligatures w14:val="standardContextual"/>
            </w:rPr>
          </w:pPr>
          <w:hyperlink w:anchor="_Toc198922295" w:history="1">
            <w:r w:rsidRPr="006135C8">
              <w:rPr>
                <w:rStyle w:val="Hyperlink"/>
                <w:noProof/>
              </w:rPr>
              <w:t>I.</w:t>
            </w:r>
            <w:r>
              <w:rPr>
                <w:rFonts w:cstheme="minorBidi"/>
                <w:b w:val="0"/>
                <w:noProof/>
                <w:kern w:val="2"/>
                <w:sz w:val="24"/>
                <w:szCs w:val="24"/>
                <w14:ligatures w14:val="standardContextual"/>
              </w:rPr>
              <w:tab/>
            </w:r>
            <w:r w:rsidRPr="006135C8">
              <w:rPr>
                <w:rStyle w:val="Hyperlink"/>
                <w:rFonts w:eastAsia="Times New Roman"/>
                <w:noProof/>
              </w:rPr>
              <w:t>PROJECT CONTEXT AND DEVELOPMENT OBJECTIVES</w:t>
            </w:r>
            <w:r>
              <w:rPr>
                <w:noProof/>
                <w:webHidden/>
              </w:rPr>
              <w:tab/>
            </w:r>
            <w:r>
              <w:rPr>
                <w:noProof/>
                <w:webHidden/>
              </w:rPr>
              <w:fldChar w:fldCharType="begin"/>
            </w:r>
            <w:r>
              <w:rPr>
                <w:noProof/>
                <w:webHidden/>
              </w:rPr>
              <w:instrText xml:space="preserve"> PAGEREF _Toc198922295 \h </w:instrText>
            </w:r>
            <w:r>
              <w:rPr>
                <w:noProof/>
                <w:webHidden/>
              </w:rPr>
            </w:r>
            <w:r>
              <w:rPr>
                <w:noProof/>
                <w:webHidden/>
              </w:rPr>
              <w:fldChar w:fldCharType="separate"/>
            </w:r>
            <w:r>
              <w:rPr>
                <w:noProof/>
                <w:webHidden/>
              </w:rPr>
              <w:t>1</w:t>
            </w:r>
            <w:r>
              <w:rPr>
                <w:noProof/>
                <w:webHidden/>
              </w:rPr>
              <w:fldChar w:fldCharType="end"/>
            </w:r>
          </w:hyperlink>
        </w:p>
        <w:p w14:paraId="77696F1B" w14:textId="7C67043D" w:rsidR="00C275A1" w:rsidRDefault="00C275A1">
          <w:pPr>
            <w:pStyle w:val="TOC3"/>
            <w:tabs>
              <w:tab w:val="left" w:pos="960"/>
              <w:tab w:val="right" w:leader="dot" w:pos="10790"/>
            </w:tabs>
            <w:rPr>
              <w:rFonts w:cstheme="minorBidi"/>
              <w:b w:val="0"/>
              <w:noProof/>
              <w:kern w:val="2"/>
              <w:sz w:val="24"/>
              <w:szCs w:val="24"/>
              <w14:ligatures w14:val="standardContextual"/>
            </w:rPr>
          </w:pPr>
          <w:hyperlink w:anchor="_Toc198922296" w:history="1">
            <w:r w:rsidRPr="006135C8">
              <w:rPr>
                <w:rStyle w:val="Hyperlink"/>
                <w:noProof/>
              </w:rPr>
              <w:t>II.</w:t>
            </w:r>
            <w:r>
              <w:rPr>
                <w:rFonts w:cstheme="minorBidi"/>
                <w:b w:val="0"/>
                <w:noProof/>
                <w:kern w:val="2"/>
                <w:sz w:val="24"/>
                <w:szCs w:val="24"/>
                <w14:ligatures w14:val="standardContextual"/>
              </w:rPr>
              <w:tab/>
            </w:r>
            <w:r w:rsidRPr="006135C8">
              <w:rPr>
                <w:rStyle w:val="Hyperlink"/>
                <w:rFonts w:eastAsia="Times New Roman"/>
                <w:noProof/>
              </w:rPr>
              <w:t>OUTCOME</w:t>
            </w:r>
            <w:r>
              <w:rPr>
                <w:noProof/>
                <w:webHidden/>
              </w:rPr>
              <w:tab/>
            </w:r>
            <w:r>
              <w:rPr>
                <w:noProof/>
                <w:webHidden/>
              </w:rPr>
              <w:fldChar w:fldCharType="begin"/>
            </w:r>
            <w:r>
              <w:rPr>
                <w:noProof/>
                <w:webHidden/>
              </w:rPr>
              <w:instrText xml:space="preserve"> PAGEREF _Toc198922296 \h </w:instrText>
            </w:r>
            <w:r>
              <w:rPr>
                <w:noProof/>
                <w:webHidden/>
              </w:rPr>
            </w:r>
            <w:r>
              <w:rPr>
                <w:noProof/>
                <w:webHidden/>
              </w:rPr>
              <w:fldChar w:fldCharType="separate"/>
            </w:r>
            <w:r>
              <w:rPr>
                <w:noProof/>
                <w:webHidden/>
              </w:rPr>
              <w:t>8</w:t>
            </w:r>
            <w:r>
              <w:rPr>
                <w:noProof/>
                <w:webHidden/>
              </w:rPr>
              <w:fldChar w:fldCharType="end"/>
            </w:r>
          </w:hyperlink>
        </w:p>
        <w:p w14:paraId="22D864EF" w14:textId="5450CFBB" w:rsidR="00C275A1" w:rsidRDefault="00C275A1">
          <w:pPr>
            <w:pStyle w:val="TOC3"/>
            <w:tabs>
              <w:tab w:val="left" w:pos="960"/>
              <w:tab w:val="right" w:leader="dot" w:pos="10790"/>
            </w:tabs>
            <w:rPr>
              <w:rFonts w:cstheme="minorBidi"/>
              <w:b w:val="0"/>
              <w:noProof/>
              <w:kern w:val="2"/>
              <w:sz w:val="24"/>
              <w:szCs w:val="24"/>
              <w14:ligatures w14:val="standardContextual"/>
            </w:rPr>
          </w:pPr>
          <w:hyperlink w:anchor="_Toc198922297" w:history="1">
            <w:r w:rsidRPr="006135C8">
              <w:rPr>
                <w:rStyle w:val="Hyperlink"/>
                <w:noProof/>
              </w:rPr>
              <w:t>III.</w:t>
            </w:r>
            <w:r>
              <w:rPr>
                <w:rFonts w:cstheme="minorBidi"/>
                <w:b w:val="0"/>
                <w:noProof/>
                <w:kern w:val="2"/>
                <w:sz w:val="24"/>
                <w:szCs w:val="24"/>
                <w14:ligatures w14:val="standardContextual"/>
              </w:rPr>
              <w:tab/>
            </w:r>
            <w:r w:rsidRPr="006135C8">
              <w:rPr>
                <w:rStyle w:val="Hyperlink"/>
                <w:rFonts w:eastAsia="Times New Roman"/>
                <w:noProof/>
              </w:rPr>
              <w:t>KEY FACTORS AFFECTED IMPLEMENTATION AND OUTCOME</w:t>
            </w:r>
            <w:r>
              <w:rPr>
                <w:noProof/>
                <w:webHidden/>
              </w:rPr>
              <w:tab/>
            </w:r>
            <w:r>
              <w:rPr>
                <w:noProof/>
                <w:webHidden/>
              </w:rPr>
              <w:fldChar w:fldCharType="begin"/>
            </w:r>
            <w:r>
              <w:rPr>
                <w:noProof/>
                <w:webHidden/>
              </w:rPr>
              <w:instrText xml:space="preserve"> PAGEREF _Toc198922297 \h </w:instrText>
            </w:r>
            <w:r>
              <w:rPr>
                <w:noProof/>
                <w:webHidden/>
              </w:rPr>
            </w:r>
            <w:r>
              <w:rPr>
                <w:noProof/>
                <w:webHidden/>
              </w:rPr>
              <w:fldChar w:fldCharType="separate"/>
            </w:r>
            <w:r>
              <w:rPr>
                <w:noProof/>
                <w:webHidden/>
              </w:rPr>
              <w:t>13</w:t>
            </w:r>
            <w:r>
              <w:rPr>
                <w:noProof/>
                <w:webHidden/>
              </w:rPr>
              <w:fldChar w:fldCharType="end"/>
            </w:r>
          </w:hyperlink>
        </w:p>
        <w:p w14:paraId="62A4DDB1" w14:textId="16A9ECA8" w:rsidR="00C275A1" w:rsidRDefault="00C275A1">
          <w:pPr>
            <w:pStyle w:val="TOC3"/>
            <w:tabs>
              <w:tab w:val="left" w:pos="960"/>
              <w:tab w:val="right" w:leader="dot" w:pos="10790"/>
            </w:tabs>
            <w:rPr>
              <w:rFonts w:cstheme="minorBidi"/>
              <w:b w:val="0"/>
              <w:noProof/>
              <w:kern w:val="2"/>
              <w:sz w:val="24"/>
              <w:szCs w:val="24"/>
              <w14:ligatures w14:val="standardContextual"/>
            </w:rPr>
          </w:pPr>
          <w:hyperlink w:anchor="_Toc198922298" w:history="1">
            <w:r w:rsidRPr="006135C8">
              <w:rPr>
                <w:rStyle w:val="Hyperlink"/>
                <w:noProof/>
              </w:rPr>
              <w:t>IV.</w:t>
            </w:r>
            <w:r>
              <w:rPr>
                <w:rFonts w:cstheme="minorBidi"/>
                <w:b w:val="0"/>
                <w:noProof/>
                <w:kern w:val="2"/>
                <w:sz w:val="24"/>
                <w:szCs w:val="24"/>
                <w14:ligatures w14:val="standardContextual"/>
              </w:rPr>
              <w:tab/>
            </w:r>
            <w:r w:rsidRPr="006135C8">
              <w:rPr>
                <w:rStyle w:val="Hyperlink"/>
                <w:rFonts w:eastAsia="Times New Roman"/>
                <w:noProof/>
              </w:rPr>
              <w:t>BANK PERFORMANCE, COMPLIANCE ISSUES, AND RISK TO DEVELOPMENT OUTCOME</w:t>
            </w:r>
            <w:r>
              <w:rPr>
                <w:noProof/>
                <w:webHidden/>
              </w:rPr>
              <w:tab/>
            </w:r>
            <w:r>
              <w:rPr>
                <w:noProof/>
                <w:webHidden/>
              </w:rPr>
              <w:fldChar w:fldCharType="begin"/>
            </w:r>
            <w:r>
              <w:rPr>
                <w:noProof/>
                <w:webHidden/>
              </w:rPr>
              <w:instrText xml:space="preserve"> PAGEREF _Toc198922298 \h </w:instrText>
            </w:r>
            <w:r>
              <w:rPr>
                <w:noProof/>
                <w:webHidden/>
              </w:rPr>
            </w:r>
            <w:r>
              <w:rPr>
                <w:noProof/>
                <w:webHidden/>
              </w:rPr>
              <w:fldChar w:fldCharType="separate"/>
            </w:r>
            <w:r>
              <w:rPr>
                <w:noProof/>
                <w:webHidden/>
              </w:rPr>
              <w:t>15</w:t>
            </w:r>
            <w:r>
              <w:rPr>
                <w:noProof/>
                <w:webHidden/>
              </w:rPr>
              <w:fldChar w:fldCharType="end"/>
            </w:r>
          </w:hyperlink>
        </w:p>
        <w:p w14:paraId="69D9CA55" w14:textId="3C17C978" w:rsidR="00C275A1" w:rsidRDefault="00C275A1">
          <w:pPr>
            <w:pStyle w:val="TOC3"/>
            <w:tabs>
              <w:tab w:val="left" w:pos="960"/>
              <w:tab w:val="right" w:leader="dot" w:pos="10790"/>
            </w:tabs>
            <w:rPr>
              <w:rFonts w:cstheme="minorBidi"/>
              <w:b w:val="0"/>
              <w:noProof/>
              <w:kern w:val="2"/>
              <w:sz w:val="24"/>
              <w:szCs w:val="24"/>
              <w14:ligatures w14:val="standardContextual"/>
            </w:rPr>
          </w:pPr>
          <w:hyperlink w:anchor="_Toc198922299" w:history="1">
            <w:r w:rsidRPr="006135C8">
              <w:rPr>
                <w:rStyle w:val="Hyperlink"/>
                <w:noProof/>
              </w:rPr>
              <w:t>V.</w:t>
            </w:r>
            <w:r>
              <w:rPr>
                <w:rFonts w:cstheme="minorBidi"/>
                <w:b w:val="0"/>
                <w:noProof/>
                <w:kern w:val="2"/>
                <w:sz w:val="24"/>
                <w:szCs w:val="24"/>
                <w14:ligatures w14:val="standardContextual"/>
              </w:rPr>
              <w:tab/>
            </w:r>
            <w:r w:rsidRPr="006135C8">
              <w:rPr>
                <w:rStyle w:val="Hyperlink"/>
                <w:rFonts w:eastAsia="Times New Roman"/>
                <w:noProof/>
              </w:rPr>
              <w:t>LESSONS AND RECOMMENDATIONS</w:t>
            </w:r>
            <w:r>
              <w:rPr>
                <w:noProof/>
                <w:webHidden/>
              </w:rPr>
              <w:tab/>
            </w:r>
            <w:r>
              <w:rPr>
                <w:noProof/>
                <w:webHidden/>
              </w:rPr>
              <w:fldChar w:fldCharType="begin"/>
            </w:r>
            <w:r>
              <w:rPr>
                <w:noProof/>
                <w:webHidden/>
              </w:rPr>
              <w:instrText xml:space="preserve"> PAGEREF _Toc198922299 \h </w:instrText>
            </w:r>
            <w:r>
              <w:rPr>
                <w:noProof/>
                <w:webHidden/>
              </w:rPr>
            </w:r>
            <w:r>
              <w:rPr>
                <w:noProof/>
                <w:webHidden/>
              </w:rPr>
              <w:fldChar w:fldCharType="separate"/>
            </w:r>
            <w:r>
              <w:rPr>
                <w:noProof/>
                <w:webHidden/>
              </w:rPr>
              <w:t>19</w:t>
            </w:r>
            <w:r>
              <w:rPr>
                <w:noProof/>
                <w:webHidden/>
              </w:rPr>
              <w:fldChar w:fldCharType="end"/>
            </w:r>
          </w:hyperlink>
        </w:p>
        <w:p w14:paraId="63340275" w14:textId="0EA00A7E" w:rsidR="00C275A1" w:rsidRDefault="00C275A1">
          <w:pPr>
            <w:pStyle w:val="TOC3"/>
            <w:tabs>
              <w:tab w:val="right" w:leader="dot" w:pos="10790"/>
            </w:tabs>
            <w:rPr>
              <w:rFonts w:cstheme="minorBidi"/>
              <w:b w:val="0"/>
              <w:noProof/>
              <w:kern w:val="2"/>
              <w:sz w:val="24"/>
              <w:szCs w:val="24"/>
              <w14:ligatures w14:val="standardContextual"/>
            </w:rPr>
          </w:pPr>
          <w:hyperlink w:anchor="_Toc198922300" w:history="1">
            <w:r w:rsidRPr="006135C8">
              <w:rPr>
                <w:rStyle w:val="Hyperlink"/>
                <w:rFonts w:cstheme="minorHAnsi"/>
                <w:bCs/>
                <w:noProof/>
              </w:rPr>
              <w:t>ANNEX 1. RESULTS FRAMEWORK AND KEY OUTPUTS</w:t>
            </w:r>
            <w:r>
              <w:rPr>
                <w:noProof/>
                <w:webHidden/>
              </w:rPr>
              <w:tab/>
            </w:r>
            <w:r>
              <w:rPr>
                <w:noProof/>
                <w:webHidden/>
              </w:rPr>
              <w:fldChar w:fldCharType="begin"/>
            </w:r>
            <w:r>
              <w:rPr>
                <w:noProof/>
                <w:webHidden/>
              </w:rPr>
              <w:instrText xml:space="preserve"> PAGEREF _Toc198922300 \h </w:instrText>
            </w:r>
            <w:r>
              <w:rPr>
                <w:noProof/>
                <w:webHidden/>
              </w:rPr>
            </w:r>
            <w:r>
              <w:rPr>
                <w:noProof/>
                <w:webHidden/>
              </w:rPr>
              <w:fldChar w:fldCharType="separate"/>
            </w:r>
            <w:r>
              <w:rPr>
                <w:noProof/>
                <w:webHidden/>
              </w:rPr>
              <w:t>21</w:t>
            </w:r>
            <w:r>
              <w:rPr>
                <w:noProof/>
                <w:webHidden/>
              </w:rPr>
              <w:fldChar w:fldCharType="end"/>
            </w:r>
          </w:hyperlink>
        </w:p>
        <w:p w14:paraId="5D4F2BB4" w14:textId="1E872F4C" w:rsidR="00C275A1" w:rsidRDefault="00C275A1">
          <w:pPr>
            <w:pStyle w:val="TOC3"/>
            <w:tabs>
              <w:tab w:val="right" w:leader="dot" w:pos="10790"/>
            </w:tabs>
            <w:rPr>
              <w:rFonts w:cstheme="minorBidi"/>
              <w:b w:val="0"/>
              <w:noProof/>
              <w:kern w:val="2"/>
              <w:sz w:val="24"/>
              <w:szCs w:val="24"/>
              <w14:ligatures w14:val="standardContextual"/>
            </w:rPr>
          </w:pPr>
          <w:hyperlink w:anchor="_Toc198922301" w:history="1">
            <w:r w:rsidRPr="006135C8">
              <w:rPr>
                <w:rStyle w:val="Hyperlink"/>
                <w:rFonts w:eastAsia="Times New Roman"/>
                <w:noProof/>
              </w:rPr>
              <w:t>ANNEX 2. BANK LENDING AND IMPLEMENTATION SUPPORT/SUPERVISION</w:t>
            </w:r>
            <w:r>
              <w:rPr>
                <w:noProof/>
                <w:webHidden/>
              </w:rPr>
              <w:tab/>
            </w:r>
            <w:r>
              <w:rPr>
                <w:noProof/>
                <w:webHidden/>
              </w:rPr>
              <w:fldChar w:fldCharType="begin"/>
            </w:r>
            <w:r>
              <w:rPr>
                <w:noProof/>
                <w:webHidden/>
              </w:rPr>
              <w:instrText xml:space="preserve"> PAGEREF _Toc198922301 \h </w:instrText>
            </w:r>
            <w:r>
              <w:rPr>
                <w:noProof/>
                <w:webHidden/>
              </w:rPr>
            </w:r>
            <w:r>
              <w:rPr>
                <w:noProof/>
                <w:webHidden/>
              </w:rPr>
              <w:fldChar w:fldCharType="separate"/>
            </w:r>
            <w:r>
              <w:rPr>
                <w:noProof/>
                <w:webHidden/>
              </w:rPr>
              <w:t>28</w:t>
            </w:r>
            <w:r>
              <w:rPr>
                <w:noProof/>
                <w:webHidden/>
              </w:rPr>
              <w:fldChar w:fldCharType="end"/>
            </w:r>
          </w:hyperlink>
        </w:p>
        <w:p w14:paraId="414C7321" w14:textId="50DF86F8" w:rsidR="00C275A1" w:rsidRDefault="00C275A1">
          <w:pPr>
            <w:pStyle w:val="TOC3"/>
            <w:tabs>
              <w:tab w:val="right" w:leader="dot" w:pos="10790"/>
            </w:tabs>
            <w:rPr>
              <w:rFonts w:cstheme="minorBidi"/>
              <w:b w:val="0"/>
              <w:noProof/>
              <w:kern w:val="2"/>
              <w:sz w:val="24"/>
              <w:szCs w:val="24"/>
              <w14:ligatures w14:val="standardContextual"/>
            </w:rPr>
          </w:pPr>
          <w:hyperlink w:anchor="_Toc198922302" w:history="1">
            <w:r w:rsidRPr="006135C8">
              <w:rPr>
                <w:rStyle w:val="Hyperlink"/>
                <w:rFonts w:eastAsia="Times New Roman"/>
                <w:noProof/>
              </w:rPr>
              <w:t>ANNEX 3. PROJECT COST BY COMPONENT</w:t>
            </w:r>
            <w:r>
              <w:rPr>
                <w:noProof/>
                <w:webHidden/>
              </w:rPr>
              <w:tab/>
            </w:r>
            <w:r>
              <w:rPr>
                <w:noProof/>
                <w:webHidden/>
              </w:rPr>
              <w:fldChar w:fldCharType="begin"/>
            </w:r>
            <w:r>
              <w:rPr>
                <w:noProof/>
                <w:webHidden/>
              </w:rPr>
              <w:instrText xml:space="preserve"> PAGEREF _Toc198922302 \h </w:instrText>
            </w:r>
            <w:r>
              <w:rPr>
                <w:noProof/>
                <w:webHidden/>
              </w:rPr>
            </w:r>
            <w:r>
              <w:rPr>
                <w:noProof/>
                <w:webHidden/>
              </w:rPr>
              <w:fldChar w:fldCharType="separate"/>
            </w:r>
            <w:r>
              <w:rPr>
                <w:noProof/>
                <w:webHidden/>
              </w:rPr>
              <w:t>30</w:t>
            </w:r>
            <w:r>
              <w:rPr>
                <w:noProof/>
                <w:webHidden/>
              </w:rPr>
              <w:fldChar w:fldCharType="end"/>
            </w:r>
          </w:hyperlink>
        </w:p>
        <w:p w14:paraId="2CE9918E" w14:textId="1BA47B8A" w:rsidR="00C275A1" w:rsidRDefault="00C275A1">
          <w:pPr>
            <w:pStyle w:val="TOC3"/>
            <w:tabs>
              <w:tab w:val="right" w:leader="dot" w:pos="10790"/>
            </w:tabs>
            <w:rPr>
              <w:rFonts w:cstheme="minorBidi"/>
              <w:b w:val="0"/>
              <w:noProof/>
              <w:kern w:val="2"/>
              <w:sz w:val="24"/>
              <w:szCs w:val="24"/>
              <w14:ligatures w14:val="standardContextual"/>
            </w:rPr>
          </w:pPr>
          <w:hyperlink w:anchor="_Toc198922303" w:history="1">
            <w:r w:rsidRPr="006135C8">
              <w:rPr>
                <w:rStyle w:val="Hyperlink"/>
                <w:rFonts w:eastAsia="Times New Roman"/>
                <w:noProof/>
              </w:rPr>
              <w:t>ANNEX 4. EFFICIENCY ANALYSIS</w:t>
            </w:r>
            <w:r>
              <w:rPr>
                <w:noProof/>
                <w:webHidden/>
              </w:rPr>
              <w:tab/>
            </w:r>
            <w:r>
              <w:rPr>
                <w:noProof/>
                <w:webHidden/>
              </w:rPr>
              <w:fldChar w:fldCharType="begin"/>
            </w:r>
            <w:r>
              <w:rPr>
                <w:noProof/>
                <w:webHidden/>
              </w:rPr>
              <w:instrText xml:space="preserve"> PAGEREF _Toc198922303 \h </w:instrText>
            </w:r>
            <w:r>
              <w:rPr>
                <w:noProof/>
                <w:webHidden/>
              </w:rPr>
            </w:r>
            <w:r>
              <w:rPr>
                <w:noProof/>
                <w:webHidden/>
              </w:rPr>
              <w:fldChar w:fldCharType="separate"/>
            </w:r>
            <w:r>
              <w:rPr>
                <w:noProof/>
                <w:webHidden/>
              </w:rPr>
              <w:t>31</w:t>
            </w:r>
            <w:r>
              <w:rPr>
                <w:noProof/>
                <w:webHidden/>
              </w:rPr>
              <w:fldChar w:fldCharType="end"/>
            </w:r>
          </w:hyperlink>
        </w:p>
        <w:p w14:paraId="1781C2E4" w14:textId="1A2A1967" w:rsidR="00C275A1" w:rsidRDefault="00C275A1">
          <w:pPr>
            <w:pStyle w:val="TOC3"/>
            <w:tabs>
              <w:tab w:val="right" w:leader="dot" w:pos="10790"/>
            </w:tabs>
            <w:rPr>
              <w:rFonts w:cstheme="minorBidi"/>
              <w:b w:val="0"/>
              <w:noProof/>
              <w:kern w:val="2"/>
              <w:sz w:val="24"/>
              <w:szCs w:val="24"/>
              <w14:ligatures w14:val="standardContextual"/>
            </w:rPr>
          </w:pPr>
          <w:hyperlink w:anchor="_Toc198922304" w:history="1">
            <w:r w:rsidRPr="006135C8">
              <w:rPr>
                <w:rStyle w:val="Hyperlink"/>
                <w:rFonts w:eastAsia="Times New Roman"/>
                <w:noProof/>
              </w:rPr>
              <w:t>ANNEX 5. BORROWER, CO-FINANCIER AND OTHER PARTNER/STAKEHOLDER COMMENTS</w:t>
            </w:r>
            <w:r>
              <w:rPr>
                <w:noProof/>
                <w:webHidden/>
              </w:rPr>
              <w:tab/>
            </w:r>
            <w:r>
              <w:rPr>
                <w:noProof/>
                <w:webHidden/>
              </w:rPr>
              <w:fldChar w:fldCharType="begin"/>
            </w:r>
            <w:r>
              <w:rPr>
                <w:noProof/>
                <w:webHidden/>
              </w:rPr>
              <w:instrText xml:space="preserve"> PAGEREF _Toc198922304 \h </w:instrText>
            </w:r>
            <w:r>
              <w:rPr>
                <w:noProof/>
                <w:webHidden/>
              </w:rPr>
            </w:r>
            <w:r>
              <w:rPr>
                <w:noProof/>
                <w:webHidden/>
              </w:rPr>
              <w:fldChar w:fldCharType="separate"/>
            </w:r>
            <w:r>
              <w:rPr>
                <w:noProof/>
                <w:webHidden/>
              </w:rPr>
              <w:t>32</w:t>
            </w:r>
            <w:r>
              <w:rPr>
                <w:noProof/>
                <w:webHidden/>
              </w:rPr>
              <w:fldChar w:fldCharType="end"/>
            </w:r>
          </w:hyperlink>
        </w:p>
        <w:p w14:paraId="681E512F" w14:textId="2E6D81CB" w:rsidR="00C275A1" w:rsidRDefault="00C275A1">
          <w:pPr>
            <w:pStyle w:val="TOC3"/>
            <w:tabs>
              <w:tab w:val="right" w:leader="dot" w:pos="10790"/>
            </w:tabs>
            <w:rPr>
              <w:rFonts w:cstheme="minorBidi"/>
              <w:b w:val="0"/>
              <w:noProof/>
              <w:kern w:val="2"/>
              <w:sz w:val="24"/>
              <w:szCs w:val="24"/>
              <w14:ligatures w14:val="standardContextual"/>
            </w:rPr>
          </w:pPr>
          <w:hyperlink w:anchor="_Toc198922305" w:history="1">
            <w:r w:rsidRPr="006135C8">
              <w:rPr>
                <w:rStyle w:val="Hyperlink"/>
                <w:rFonts w:eastAsia="Times New Roman"/>
                <w:noProof/>
              </w:rPr>
              <w:t>ANNEX 6. SUPPORTING DOCUMENTS (IF ANY)</w:t>
            </w:r>
            <w:r>
              <w:rPr>
                <w:noProof/>
                <w:webHidden/>
              </w:rPr>
              <w:tab/>
            </w:r>
            <w:r>
              <w:rPr>
                <w:noProof/>
                <w:webHidden/>
              </w:rPr>
              <w:fldChar w:fldCharType="begin"/>
            </w:r>
            <w:r>
              <w:rPr>
                <w:noProof/>
                <w:webHidden/>
              </w:rPr>
              <w:instrText xml:space="preserve"> PAGEREF _Toc198922305 \h </w:instrText>
            </w:r>
            <w:r>
              <w:rPr>
                <w:noProof/>
                <w:webHidden/>
              </w:rPr>
            </w:r>
            <w:r>
              <w:rPr>
                <w:noProof/>
                <w:webHidden/>
              </w:rPr>
              <w:fldChar w:fldCharType="separate"/>
            </w:r>
            <w:r>
              <w:rPr>
                <w:noProof/>
                <w:webHidden/>
              </w:rPr>
              <w:t>32</w:t>
            </w:r>
            <w:r>
              <w:rPr>
                <w:noProof/>
                <w:webHidden/>
              </w:rPr>
              <w:fldChar w:fldCharType="end"/>
            </w:r>
          </w:hyperlink>
        </w:p>
        <w:p w14:paraId="1D5D1D45" w14:textId="6E1D664B" w:rsidR="002061DD" w:rsidRPr="00510BE1" w:rsidRDefault="00D310E2" w:rsidP="00ED65E1">
          <w:pPr>
            <w:widowControl w:val="0"/>
            <w:tabs>
              <w:tab w:val="right" w:leader="dot" w:pos="9350"/>
              <w:tab w:val="right" w:leader="dot" w:pos="10790"/>
            </w:tabs>
            <w:autoSpaceDE w:val="0"/>
            <w:autoSpaceDN w:val="0"/>
            <w:adjustRightInd w:val="0"/>
            <w:spacing w:before="120" w:after="120" w:line="240" w:lineRule="auto"/>
            <w:rPr>
              <w:rFonts w:ascii="Calibri" w:eastAsia="Times New Roman" w:hAnsi="Calibri" w:cs="Arial"/>
              <w:b/>
              <w:bCs/>
              <w:caps/>
              <w:noProof/>
              <w:color w:val="000000"/>
              <w:szCs w:val="24"/>
            </w:rPr>
          </w:pPr>
          <w:r>
            <w:rPr>
              <w:rFonts w:ascii="Calibri" w:eastAsia="Times New Roman" w:hAnsi="Calibri" w:cs="Times New Roman"/>
              <w:sz w:val="24"/>
            </w:rPr>
            <w:fldChar w:fldCharType="end"/>
          </w:r>
        </w:p>
      </w:sdtContent>
    </w:sdt>
    <w:p w14:paraId="1838B3FD" w14:textId="77777777" w:rsidR="002061DD" w:rsidRDefault="002061DD" w:rsidP="00D70B84">
      <w:pPr>
        <w:pStyle w:val="Normal4"/>
        <w:spacing w:after="0" w:line="240" w:lineRule="auto"/>
        <w:sectPr w:rsidR="002061DD" w:rsidSect="00F70582">
          <w:footerReference w:type="default" r:id="rId16"/>
          <w:pgSz w:w="12240" w:h="15840" w:code="1"/>
          <w:pgMar w:top="1440" w:right="720" w:bottom="1440" w:left="720" w:header="720" w:footer="720" w:gutter="0"/>
          <w:cols w:space="720"/>
          <w:docGrid w:linePitch="286"/>
        </w:sectPr>
      </w:pPr>
    </w:p>
    <w:p w14:paraId="6FFC1EAA" w14:textId="77777777" w:rsidR="00940862" w:rsidRDefault="00D310E2" w:rsidP="00E70817">
      <w:pPr>
        <w:pStyle w:val="Normal4"/>
        <w:spacing w:after="0" w:line="240" w:lineRule="auto"/>
        <w:outlineLvl w:val="9"/>
      </w:pPr>
      <w:r>
        <w:rPr>
          <w:noProof/>
        </w:rPr>
        <w:lastRenderedPageBreak/>
        <mc:AlternateContent>
          <mc:Choice Requires="wps">
            <w:drawing>
              <wp:anchor distT="0" distB="0" distL="114300" distR="114300" simplePos="0" relativeHeight="251658241" behindDoc="0" locked="0" layoutInCell="1" allowOverlap="1" wp14:anchorId="3B6EE2D5" wp14:editId="2800EB82">
                <wp:simplePos x="0" y="0"/>
                <wp:positionH relativeFrom="column">
                  <wp:posOffset>-467691</wp:posOffset>
                </wp:positionH>
                <wp:positionV relativeFrom="paragraph">
                  <wp:posOffset>170180</wp:posOffset>
                </wp:positionV>
                <wp:extent cx="7799705" cy="0"/>
                <wp:effectExtent l="0" t="0" r="10795" b="19050"/>
                <wp:wrapNone/>
                <wp:docPr id="9" name="Straight Connector 9"/>
                <wp:cNvGraphicFramePr/>
                <a:graphic xmlns:a="http://schemas.openxmlformats.org/drawingml/2006/main">
                  <a:graphicData uri="http://schemas.microsoft.com/office/word/2010/wordprocessingShape">
                    <wps:wsp>
                      <wps:cNvCnPr/>
                      <wps:spPr>
                        <a:xfrm>
                          <a:off x="0" y="0"/>
                          <a:ext cx="7799705" cy="0"/>
                        </a:xfrm>
                        <a:prstGeom prst="line">
                          <a:avLst/>
                        </a:prstGeom>
                        <a:ln w="9525">
                          <a:solidFill>
                            <a:schemeClr val="tx1">
                              <a:lumMod val="50000"/>
                              <a:lumOff val="50000"/>
                              <a:alpha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C4B096" id="Straight Connector 9"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5pt,13.4pt" to="577.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" strokecolor="gray [1629]">
                <v:stroke dashstyle="dash" opacity="26214f" joinstyle="miter"/>
              </v:line>
            </w:pict>
          </mc:Fallback>
        </mc:AlternateContent>
      </w:r>
    </w:p>
    <w:sdt>
      <w:sdtPr>
        <w:id w:val="1711899528"/>
        <w:lock w:val="sdtContentLocked"/>
        <w:placeholder>
          <w:docPart w:val="E693FFF1022B455E87A1B2F7C1F56E76"/>
        </w:placeholder>
        <w:showingPlcHdr/>
      </w:sdtPr>
      <w:sdtContent>
        <w:p w14:paraId="36315D1D" w14:textId="77777777" w:rsidR="00652D8A" w:rsidRDefault="00D310E2" w:rsidP="00EF24E4">
          <w:pPr>
            <w:pStyle w:val="Normal4"/>
            <w:spacing w:after="0" w:line="14" w:lineRule="exact"/>
            <w:sectPr w:rsidR="00652D8A" w:rsidSect="00F70582">
              <w:footerReference w:type="default" r:id="rId17"/>
              <w:pgSz w:w="12240" w:h="15840" w:code="1"/>
              <w:pgMar w:top="1440" w:right="720" w:bottom="1440" w:left="720" w:header="720" w:footer="720" w:gutter="0"/>
              <w:pgNumType w:fmt="lowerRoman" w:start="1"/>
              <w:cols w:space="720"/>
              <w:docGrid w:linePitch="286"/>
            </w:sectPr>
          </w:pPr>
          <w:r>
            <w:rPr>
              <w:rStyle w:val="PlaceholderText"/>
            </w:rPr>
            <w:t xml:space="preserve"> </w:t>
          </w:r>
        </w:p>
      </w:sdtContent>
    </w:sdt>
    <w:p w14:paraId="1ECDF708" w14:textId="77777777" w:rsidR="00311AC5" w:rsidRDefault="00311AC5" w:rsidP="00EF24E4">
      <w:pPr>
        <w:pStyle w:val="Normal4"/>
        <w:shd w:val="clear" w:color="auto" w:fill="F7F7F7"/>
        <w:spacing w:after="0" w:line="14" w:lineRule="exact"/>
        <w:ind w:right="-58"/>
      </w:pPr>
    </w:p>
    <w:p w14:paraId="5E8AAB0C" w14:textId="77777777" w:rsidR="00B05700" w:rsidRDefault="00B05700" w:rsidP="009634A6">
      <w:pPr>
        <w:pStyle w:val="Normal4"/>
        <w:spacing w:after="0" w:line="240" w:lineRule="auto"/>
        <w:ind w:right="-58"/>
        <w:outlineLvl w:val="9"/>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890"/>
      </w:tblGrid>
      <w:tr w:rsidR="00DD6229" w14:paraId="4D6BF8B7" w14:textId="77777777" w:rsidTr="00453A97">
        <w:trPr>
          <w:trHeight w:val="432"/>
        </w:trPr>
        <w:tc>
          <w:tcPr>
            <w:tcW w:w="10890" w:type="dxa"/>
            <w:shd w:val="clear" w:color="auto" w:fill="F2F7FC"/>
            <w:vAlign w:val="center"/>
          </w:tcPr>
          <w:p w14:paraId="08D0CD98" w14:textId="77777777" w:rsidR="00453A97" w:rsidRPr="00453A97" w:rsidRDefault="00D310E2" w:rsidP="00453A97">
            <w:pPr>
              <w:pStyle w:val="NoSpacing"/>
              <w:outlineLvl w:val="0"/>
              <w:rPr>
                <w:b/>
                <w:bCs/>
                <w:sz w:val="22"/>
                <w:szCs w:val="22"/>
              </w:rPr>
            </w:pPr>
            <w:bookmarkStart w:id="1" w:name="_Toc485906880"/>
            <w:bookmarkStart w:id="2" w:name="_Toc78351304"/>
            <w:bookmarkStart w:id="3" w:name="_Toc198922294"/>
            <w:r w:rsidRPr="00453A97">
              <w:rPr>
                <w:b/>
                <w:bCs/>
                <w:sz w:val="22"/>
                <w:szCs w:val="22"/>
              </w:rPr>
              <w:t>DATA SHEET</w:t>
            </w:r>
            <w:bookmarkEnd w:id="1"/>
            <w:bookmarkEnd w:id="2"/>
            <w:bookmarkEnd w:id="3"/>
          </w:p>
        </w:tc>
      </w:tr>
    </w:tbl>
    <w:p w14:paraId="42315CAC" w14:textId="77777777" w:rsidR="00453A97" w:rsidRDefault="00453A97" w:rsidP="00B363EE">
      <w:pPr>
        <w:pStyle w:val="Normal4"/>
        <w:spacing w:after="0" w:line="240" w:lineRule="auto"/>
        <w:ind w:right="-58"/>
        <w:outlineLvl w:val="9"/>
      </w:pPr>
    </w:p>
    <w:sdt>
      <w:sdtPr>
        <w:id w:val="407771031"/>
        <w:lock w:val="sdtContentLocked"/>
        <w:group/>
      </w:sdtPr>
      <w:sdtContent>
        <w:tbl>
          <w:tblPr>
            <w:tblStyle w:val="TableGrid"/>
            <w:tblW w:w="1086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Look w:val="04A0" w:firstRow="1" w:lastRow="0" w:firstColumn="1" w:lastColumn="0" w:noHBand="0" w:noVBand="1"/>
          </w:tblPr>
          <w:tblGrid>
            <w:gridCol w:w="10861"/>
          </w:tblGrid>
          <w:tr w:rsidR="00DD6229" w14:paraId="405B0BAA" w14:textId="77777777" w:rsidTr="00A53150">
            <w:tc>
              <w:tcPr>
                <w:tcW w:w="10861" w:type="dxa"/>
                <w:shd w:val="clear" w:color="auto" w:fill="F7F7F7"/>
              </w:tcPr>
              <w:p w14:paraId="7ABD044E" w14:textId="77777777" w:rsidR="001B523F" w:rsidRPr="00EF3D4C" w:rsidRDefault="00D310E2" w:rsidP="00D3303E">
                <w:pPr>
                  <w:ind w:right="29"/>
                  <w:rPr>
                    <w:color w:val="F7F7F7"/>
                  </w:rPr>
                </w:pPr>
                <w:r w:rsidRPr="00EF3D4C">
                  <w:rPr>
                    <w:color w:val="F7F7F7"/>
                  </w:rPr>
                  <w:t>@#&amp;OPS~Doctype~OPS^</w:t>
                </w:r>
                <w:r w:rsidR="006412EE" w:rsidRPr="00EF3D4C">
                  <w:rPr>
                    <w:color w:val="F7F7F7"/>
                  </w:rPr>
                  <w:t>dynamics</w:t>
                </w:r>
                <w:r w:rsidRPr="00EF3D4C">
                  <w:rPr>
                    <w:color w:val="F7F7F7"/>
                  </w:rPr>
                  <w:t>@</w:t>
                </w:r>
                <w:r w:rsidR="004F6209" w:rsidRPr="007331B0">
                  <w:rPr>
                    <w:color w:val="F7F7F7"/>
                  </w:rPr>
                  <w:t>icr</w:t>
                </w:r>
                <w:r w:rsidRPr="007331B0">
                  <w:rPr>
                    <w:noProof/>
                    <w:color w:val="F7F7F7"/>
                  </w:rPr>
                  <w:t>basicdata</w:t>
                </w:r>
                <w:r w:rsidRPr="00EF3D4C">
                  <w:rPr>
                    <w:color w:val="F7F7F7"/>
                  </w:rPr>
                  <w:t>#doctemplate</w:t>
                </w:r>
              </w:p>
            </w:tc>
          </w:tr>
          <w:tr w:rsidR="00DD6229" w14:paraId="5253D40D" w14:textId="77777777" w:rsidTr="00A53150">
            <w:tc>
              <w:tcPr>
                <w:tcW w:w="10861" w:type="dxa"/>
                <w:shd w:val="clear" w:color="auto" w:fill="F7F7F7"/>
                <w:tcMar>
                  <w:left w:w="0" w:type="dxa"/>
                  <w:right w:w="0" w:type="dxa"/>
                </w:tcMar>
              </w:tcPr>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1905AB66" w14:textId="77777777" w:rsidTr="00A53150">
                  <w:trPr>
                    <w:trHeight w:val="432"/>
                  </w:trPr>
                  <w:tc>
                    <w:tcPr>
                      <w:tcW w:w="10895" w:type="dxa"/>
                      <w:shd w:val="clear" w:color="auto" w:fill="F2F2F2" w:themeFill="background1" w:themeFillShade="F2"/>
                      <w:vAlign w:val="center"/>
                      <w:hideMark/>
                    </w:tcPr>
                    <w:p w14:paraId="7FDB3ED0" w14:textId="77777777" w:rsidR="00306DCB" w:rsidRPr="00DC4148" w:rsidRDefault="00D310E2" w:rsidP="00306DCB">
                      <w:pPr>
                        <w:rPr>
                          <w:b/>
                          <w:bCs/>
                          <w:szCs w:val="22"/>
                        </w:rPr>
                      </w:pPr>
                      <w:r w:rsidRPr="00DC4148">
                        <w:rPr>
                          <w:b/>
                          <w:bCs/>
                          <w:szCs w:val="22"/>
                        </w:rPr>
                        <w:t>BASIC DATA</w:t>
                      </w:r>
                    </w:p>
                  </w:tc>
                </w:tr>
              </w:tbl>
              <w:p w14:paraId="098D2905" w14:textId="77777777" w:rsidR="00306DCB" w:rsidRDefault="00D310E2" w:rsidP="00306DCB">
                <w:pPr>
                  <w:tabs>
                    <w:tab w:val="left" w:pos="1230"/>
                  </w:tabs>
                  <w:ind w:right="29"/>
                </w:pPr>
                <w:r>
                  <w:tab/>
                </w:r>
              </w:p>
              <w:tbl>
                <w:tblPr>
                  <w:tblStyle w:val="TableGrid"/>
                  <w:tblW w:w="1089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5445"/>
                  <w:gridCol w:w="5445"/>
                </w:tblGrid>
                <w:tr w:rsidR="00DD6229" w14:paraId="3EED06FA" w14:textId="77777777" w:rsidTr="00A53150">
                  <w:trPr>
                    <w:trHeight w:val="432"/>
                  </w:trPr>
                  <w:tc>
                    <w:tcPr>
                      <w:tcW w:w="10890" w:type="dxa"/>
                      <w:gridSpan w:val="2"/>
                      <w:tcBorders>
                        <w:top w:val="nil"/>
                        <w:bottom w:val="single" w:sz="4" w:space="0" w:color="E7E6E6" w:themeColor="background2"/>
                        <w:right w:val="nil"/>
                      </w:tcBorders>
                    </w:tcPr>
                    <w:p w14:paraId="076B6ACE" w14:textId="77777777" w:rsidR="00306DCB" w:rsidRPr="00DC4148" w:rsidRDefault="00D310E2" w:rsidP="00306DCB">
                      <w:pPr>
                        <w:spacing w:line="257" w:lineRule="auto"/>
                        <w:ind w:left="14" w:hanging="14"/>
                        <w:rPr>
                          <w:b/>
                          <w:color w:val="002060"/>
                          <w:szCs w:val="22"/>
                        </w:rPr>
                      </w:pPr>
                      <w:r w:rsidRPr="00DC4148">
                        <w:rPr>
                          <w:b/>
                          <w:color w:val="002060"/>
                          <w:szCs w:val="22"/>
                        </w:rPr>
                        <w:t>Product Information</w:t>
                      </w:r>
                    </w:p>
                  </w:tc>
                </w:tr>
                <w:tr w:rsidR="00DD6229" w14:paraId="7B8D5D11" w14:textId="77777777" w:rsidTr="00A53150">
                  <w:trPr>
                    <w:trHeight w:val="374"/>
                  </w:trPr>
                  <w:tc>
                    <w:tcPr>
                      <w:tcW w:w="5445" w:type="dxa"/>
                      <w:tcBorders>
                        <w:top w:val="single" w:sz="4" w:space="0" w:color="D0CECE" w:themeColor="background2" w:themeShade="E6"/>
                        <w:bottom w:val="nil"/>
                        <w:right w:val="single" w:sz="4" w:space="0" w:color="D0CECE" w:themeColor="background2" w:themeShade="E6"/>
                      </w:tcBorders>
                      <w:vAlign w:val="center"/>
                    </w:tcPr>
                    <w:p w14:paraId="263169C2" w14:textId="77777777" w:rsidR="00306DCB" w:rsidRPr="00DC4148" w:rsidRDefault="00D310E2" w:rsidP="00306DCB">
                      <w:pPr>
                        <w:ind w:left="14" w:hanging="14"/>
                        <w:rPr>
                          <w:color w:val="767171" w:themeColor="background2" w:themeShade="80"/>
                          <w:szCs w:val="22"/>
                        </w:rPr>
                      </w:pPr>
                      <w:r>
                        <w:rPr>
                          <w:color w:val="767171" w:themeColor="background2" w:themeShade="80"/>
                          <w:szCs w:val="22"/>
                        </w:rPr>
                        <w:t>Operation</w:t>
                      </w:r>
                      <w:r w:rsidRPr="00DC4148">
                        <w:rPr>
                          <w:color w:val="767171" w:themeColor="background2" w:themeShade="80"/>
                          <w:szCs w:val="22"/>
                        </w:rPr>
                        <w:t xml:space="preserve"> ID</w:t>
                      </w:r>
                    </w:p>
                  </w:tc>
                  <w:tc>
                    <w:tcPr>
                      <w:tcW w:w="5445" w:type="dxa"/>
                      <w:tcBorders>
                        <w:top w:val="single" w:sz="4" w:space="0" w:color="D0CECE" w:themeColor="background2" w:themeShade="E6"/>
                        <w:left w:val="single" w:sz="4" w:space="0" w:color="D0CECE" w:themeColor="background2" w:themeShade="E6"/>
                        <w:bottom w:val="nil"/>
                      </w:tcBorders>
                      <w:vAlign w:val="center"/>
                    </w:tcPr>
                    <w:p w14:paraId="50B2EF26" w14:textId="77777777" w:rsidR="00306DCB" w:rsidRPr="00DC4148" w:rsidRDefault="00D310E2" w:rsidP="00306DCB">
                      <w:pPr>
                        <w:spacing w:line="257" w:lineRule="auto"/>
                        <w:ind w:left="86" w:hanging="14"/>
                        <w:rPr>
                          <w:color w:val="767171" w:themeColor="background2" w:themeShade="80"/>
                          <w:szCs w:val="22"/>
                        </w:rPr>
                      </w:pPr>
                      <w:r>
                        <w:rPr>
                          <w:color w:val="767171" w:themeColor="background2" w:themeShade="80"/>
                          <w:szCs w:val="22"/>
                        </w:rPr>
                        <w:t>Operation Name</w:t>
                      </w:r>
                    </w:p>
                  </w:tc>
                </w:tr>
                <w:tr w:rsidR="00DD6229" w14:paraId="2AA04883" w14:textId="77777777" w:rsidTr="00A53150">
                  <w:trPr>
                    <w:trHeight w:val="432"/>
                  </w:trPr>
                  <w:tc>
                    <w:tcPr>
                      <w:tcW w:w="5445" w:type="dxa"/>
                      <w:tcBorders>
                        <w:top w:val="nil"/>
                        <w:bottom w:val="single" w:sz="4" w:space="0" w:color="D0CECE" w:themeColor="background2" w:themeShade="E6"/>
                        <w:right w:val="single" w:sz="4" w:space="0" w:color="D0CECE" w:themeColor="background2" w:themeShade="E6"/>
                      </w:tcBorders>
                      <w:vAlign w:val="center"/>
                    </w:tcPr>
                    <w:p w14:paraId="79385453" w14:textId="77777777" w:rsidR="00306DCB" w:rsidRPr="007A58DF" w:rsidRDefault="00D310E2" w:rsidP="00306DCB">
                      <w:pPr>
                        <w:ind w:left="14" w:hanging="14"/>
                        <w:rPr>
                          <w:noProof/>
                          <w:szCs w:val="22"/>
                        </w:rPr>
                      </w:pPr>
                      <w:r>
                        <w:rPr>
                          <w:noProof/>
                          <w:szCs w:val="22"/>
                        </w:rPr>
                        <w:t>P161541</w:t>
                      </w:r>
                    </w:p>
                  </w:tc>
                  <w:tc>
                    <w:tcPr>
                      <w:tcW w:w="5445" w:type="dxa"/>
                      <w:tcBorders>
                        <w:top w:val="nil"/>
                        <w:left w:val="single" w:sz="4" w:space="0" w:color="D0CECE" w:themeColor="background2" w:themeShade="E6"/>
                        <w:bottom w:val="single" w:sz="4" w:space="0" w:color="D0CECE" w:themeColor="background2" w:themeShade="E6"/>
                      </w:tcBorders>
                      <w:vAlign w:val="center"/>
                    </w:tcPr>
                    <w:p w14:paraId="0107FDCD" w14:textId="77777777" w:rsidR="00306DCB" w:rsidRPr="007A58DF" w:rsidRDefault="00D310E2" w:rsidP="00306DCB">
                      <w:pPr>
                        <w:spacing w:line="257" w:lineRule="auto"/>
                        <w:ind w:left="86"/>
                        <w:rPr>
                          <w:noProof/>
                          <w:szCs w:val="22"/>
                        </w:rPr>
                      </w:pPr>
                      <w:r>
                        <w:rPr>
                          <w:noProof/>
                          <w:szCs w:val="22"/>
                        </w:rPr>
                        <w:t>Skills and Employment for Tongans</w:t>
                      </w:r>
                    </w:p>
                  </w:tc>
                </w:tr>
                <w:tr w:rsidR="00DD6229" w14:paraId="3432F6E0" w14:textId="77777777" w:rsidTr="00A53150">
                  <w:trPr>
                    <w:trHeight w:val="432"/>
                  </w:trPr>
                  <w:tc>
                    <w:tcPr>
                      <w:tcW w:w="5445" w:type="dxa"/>
                      <w:tcBorders>
                        <w:top w:val="single" w:sz="4" w:space="0" w:color="D0CECE" w:themeColor="background2" w:themeShade="E6"/>
                        <w:bottom w:val="nil"/>
                        <w:right w:val="single" w:sz="4" w:space="0" w:color="D0CECE" w:themeColor="background2" w:themeShade="E6"/>
                      </w:tcBorders>
                      <w:vAlign w:val="center"/>
                    </w:tcPr>
                    <w:p w14:paraId="620A956B" w14:textId="77777777" w:rsidR="00306DCB" w:rsidRPr="00DC4148" w:rsidRDefault="00D310E2" w:rsidP="00306DCB">
                      <w:pPr>
                        <w:ind w:left="14" w:hanging="14"/>
                        <w:rPr>
                          <w:b/>
                          <w:color w:val="002060"/>
                          <w:szCs w:val="22"/>
                        </w:rPr>
                      </w:pPr>
                      <w:r>
                        <w:rPr>
                          <w:color w:val="767171" w:themeColor="background2" w:themeShade="80"/>
                          <w:szCs w:val="22"/>
                        </w:rPr>
                        <w:t>Product</w:t>
                      </w:r>
                    </w:p>
                  </w:tc>
                  <w:tc>
                    <w:tcPr>
                      <w:tcW w:w="5445" w:type="dxa"/>
                      <w:tcBorders>
                        <w:top w:val="single" w:sz="4" w:space="0" w:color="D0CECE" w:themeColor="background2" w:themeShade="E6"/>
                        <w:left w:val="single" w:sz="4" w:space="0" w:color="D0CECE" w:themeColor="background2" w:themeShade="E6"/>
                        <w:bottom w:val="nil"/>
                      </w:tcBorders>
                      <w:vAlign w:val="center"/>
                    </w:tcPr>
                    <w:p w14:paraId="4B130851" w14:textId="77777777" w:rsidR="00306DCB" w:rsidRPr="00DC4148" w:rsidRDefault="00D310E2" w:rsidP="00306DCB">
                      <w:pPr>
                        <w:spacing w:line="257" w:lineRule="auto"/>
                        <w:ind w:left="86"/>
                        <w:rPr>
                          <w:b/>
                          <w:color w:val="002060"/>
                          <w:szCs w:val="22"/>
                        </w:rPr>
                      </w:pPr>
                      <w:r>
                        <w:rPr>
                          <w:color w:val="767171" w:themeColor="background2" w:themeShade="80"/>
                          <w:szCs w:val="22"/>
                        </w:rPr>
                        <w:t xml:space="preserve">Operation </w:t>
                      </w:r>
                      <w:r w:rsidR="00F80721">
                        <w:rPr>
                          <w:color w:val="767171" w:themeColor="background2" w:themeShade="80"/>
                        </w:rPr>
                        <w:t>Short Name</w:t>
                      </w:r>
                    </w:p>
                  </w:tc>
                </w:tr>
                <w:tr w:rsidR="00DD6229" w14:paraId="4C627594" w14:textId="77777777" w:rsidTr="00A53150">
                  <w:trPr>
                    <w:trHeight w:val="432"/>
                  </w:trPr>
                  <w:tc>
                    <w:tcPr>
                      <w:tcW w:w="5445" w:type="dxa"/>
                      <w:tcBorders>
                        <w:top w:val="nil"/>
                        <w:bottom w:val="single" w:sz="4" w:space="0" w:color="D0CECE" w:themeColor="background2" w:themeShade="E6"/>
                        <w:right w:val="single" w:sz="4" w:space="0" w:color="D0CECE" w:themeColor="background2" w:themeShade="E6"/>
                      </w:tcBorders>
                      <w:vAlign w:val="center"/>
                    </w:tcPr>
                    <w:p w14:paraId="2235B4FC" w14:textId="77777777" w:rsidR="00306DCB" w:rsidRPr="007A58DF" w:rsidRDefault="00D310E2" w:rsidP="00306DCB">
                      <w:pPr>
                        <w:ind w:left="14" w:hanging="14"/>
                        <w:rPr>
                          <w:noProof/>
                          <w:szCs w:val="22"/>
                        </w:rPr>
                      </w:pPr>
                      <w:r>
                        <w:rPr>
                          <w:noProof/>
                          <w:szCs w:val="22"/>
                        </w:rPr>
                        <w:t>Investment Project Financing (IPF)</w:t>
                      </w:r>
                    </w:p>
                  </w:tc>
                  <w:tc>
                    <w:tcPr>
                      <w:tcW w:w="5445" w:type="dxa"/>
                      <w:tcBorders>
                        <w:top w:val="nil"/>
                        <w:left w:val="single" w:sz="4" w:space="0" w:color="D0CECE" w:themeColor="background2" w:themeShade="E6"/>
                        <w:bottom w:val="single" w:sz="4" w:space="0" w:color="D0CECE" w:themeColor="background2" w:themeShade="E6"/>
                      </w:tcBorders>
                      <w:vAlign w:val="center"/>
                    </w:tcPr>
                    <w:p w14:paraId="016CF793" w14:textId="77777777" w:rsidR="00306DCB" w:rsidRPr="007A58DF" w:rsidRDefault="00D310E2" w:rsidP="00306DCB">
                      <w:pPr>
                        <w:spacing w:line="257" w:lineRule="auto"/>
                        <w:ind w:left="86"/>
                        <w:rPr>
                          <w:noProof/>
                          <w:szCs w:val="22"/>
                        </w:rPr>
                      </w:pPr>
                      <w:r>
                        <w:rPr>
                          <w:noProof/>
                          <w:szCs w:val="22"/>
                        </w:rPr>
                        <w:t>SET</w:t>
                      </w:r>
                    </w:p>
                  </w:tc>
                </w:tr>
                <w:tr w:rsidR="00DD6229" w14:paraId="692ADC8B" w14:textId="77777777" w:rsidTr="00A53150">
                  <w:trPr>
                    <w:trHeight w:val="432"/>
                  </w:trPr>
                  <w:tc>
                    <w:tcPr>
                      <w:tcW w:w="5445" w:type="dxa"/>
                      <w:tcBorders>
                        <w:top w:val="single" w:sz="4" w:space="0" w:color="D0CECE" w:themeColor="background2" w:themeShade="E6"/>
                        <w:bottom w:val="nil"/>
                        <w:right w:val="single" w:sz="4" w:space="0" w:color="D0CECE" w:themeColor="background2" w:themeShade="E6"/>
                      </w:tcBorders>
                      <w:vAlign w:val="center"/>
                    </w:tcPr>
                    <w:p w14:paraId="78458AED" w14:textId="77777777" w:rsidR="00306DCB" w:rsidRPr="00DC4148" w:rsidRDefault="00D310E2" w:rsidP="00306DCB">
                      <w:pPr>
                        <w:rPr>
                          <w:color w:val="767171" w:themeColor="background2" w:themeShade="80"/>
                          <w:szCs w:val="22"/>
                        </w:rPr>
                      </w:pPr>
                      <w:r>
                        <w:rPr>
                          <w:color w:val="767171" w:themeColor="background2" w:themeShade="80"/>
                          <w:szCs w:val="22"/>
                        </w:rPr>
                        <w:t>Operation Status</w:t>
                      </w:r>
                    </w:p>
                  </w:tc>
                  <w:tc>
                    <w:tcPr>
                      <w:tcW w:w="5445" w:type="dxa"/>
                      <w:tcBorders>
                        <w:top w:val="single" w:sz="4" w:space="0" w:color="D0CECE" w:themeColor="background2" w:themeShade="E6"/>
                        <w:left w:val="single" w:sz="4" w:space="0" w:color="D0CECE" w:themeColor="background2" w:themeShade="E6"/>
                        <w:bottom w:val="nil"/>
                      </w:tcBorders>
                      <w:vAlign w:val="center"/>
                    </w:tcPr>
                    <w:p w14:paraId="1EEF9B70" w14:textId="77777777" w:rsidR="00306DCB" w:rsidRPr="00DC4148" w:rsidRDefault="00D310E2" w:rsidP="00A53150">
                      <w:pPr>
                        <w:spacing w:line="257" w:lineRule="auto"/>
                        <w:ind w:left="76"/>
                        <w:rPr>
                          <w:color w:val="767171" w:themeColor="background2" w:themeShade="80"/>
                          <w:szCs w:val="22"/>
                        </w:rPr>
                      </w:pPr>
                      <w:r>
                        <w:rPr>
                          <w:color w:val="767171" w:themeColor="background2" w:themeShade="80"/>
                          <w:szCs w:val="22"/>
                        </w:rPr>
                        <w:t>Approval Fiscal Year</w:t>
                      </w:r>
                    </w:p>
                  </w:tc>
                </w:tr>
                <w:tr w:rsidR="00DD6229" w14:paraId="3B82B276" w14:textId="77777777" w:rsidTr="00A53150">
                  <w:trPr>
                    <w:trHeight w:val="432"/>
                  </w:trPr>
                  <w:tc>
                    <w:tcPr>
                      <w:tcW w:w="5445" w:type="dxa"/>
                      <w:tcBorders>
                        <w:top w:val="nil"/>
                        <w:bottom w:val="single" w:sz="4" w:space="0" w:color="D0CECE" w:themeColor="background2" w:themeShade="E6"/>
                        <w:right w:val="single" w:sz="4" w:space="0" w:color="D0CECE" w:themeColor="background2" w:themeShade="E6"/>
                      </w:tcBorders>
                      <w:vAlign w:val="center"/>
                    </w:tcPr>
                    <w:p w14:paraId="2C5BBDED" w14:textId="77777777" w:rsidR="00306DCB" w:rsidRPr="00DC4148" w:rsidRDefault="00D310E2" w:rsidP="00306DCB">
                      <w:pPr>
                        <w:ind w:left="14" w:hanging="14"/>
                        <w:rPr>
                          <w:noProof/>
                          <w:szCs w:val="22"/>
                        </w:rPr>
                      </w:pPr>
                      <w:r>
                        <w:rPr>
                          <w:noProof/>
                          <w:szCs w:val="22"/>
                        </w:rPr>
                        <w:t>Closed</w:t>
                      </w:r>
                    </w:p>
                  </w:tc>
                  <w:tc>
                    <w:tcPr>
                      <w:tcW w:w="5445" w:type="dxa"/>
                      <w:tcBorders>
                        <w:top w:val="nil"/>
                        <w:left w:val="single" w:sz="4" w:space="0" w:color="D0CECE" w:themeColor="background2" w:themeShade="E6"/>
                        <w:bottom w:val="single" w:sz="4" w:space="0" w:color="D0CECE" w:themeColor="background2" w:themeShade="E6"/>
                      </w:tcBorders>
                      <w:vAlign w:val="center"/>
                    </w:tcPr>
                    <w:p w14:paraId="5692097C" w14:textId="77777777" w:rsidR="00306DCB" w:rsidRPr="00DC4148" w:rsidRDefault="00D310E2" w:rsidP="00A53150">
                      <w:pPr>
                        <w:spacing w:line="257" w:lineRule="auto"/>
                        <w:ind w:left="76" w:hanging="14"/>
                        <w:rPr>
                          <w:noProof/>
                          <w:szCs w:val="22"/>
                        </w:rPr>
                      </w:pPr>
                      <w:r>
                        <w:rPr>
                          <w:noProof/>
                          <w:szCs w:val="22"/>
                        </w:rPr>
                        <w:t>2019</w:t>
                      </w:r>
                    </w:p>
                  </w:tc>
                </w:tr>
                <w:tr w:rsidR="00DD6229" w14:paraId="45B3232E" w14:textId="77777777" w:rsidTr="004668AD">
                  <w:trPr>
                    <w:trHeight w:val="432"/>
                  </w:trPr>
                  <w:tc>
                    <w:tcPr>
                      <w:tcW w:w="5445" w:type="dxa"/>
                      <w:tcBorders>
                        <w:top w:val="single" w:sz="4" w:space="0" w:color="D0CECE" w:themeColor="background2" w:themeShade="E6"/>
                        <w:bottom w:val="nil"/>
                        <w:right w:val="single" w:sz="4" w:space="0" w:color="D0CECE" w:themeColor="background2" w:themeShade="E6"/>
                      </w:tcBorders>
                      <w:vAlign w:val="center"/>
                    </w:tcPr>
                    <w:p w14:paraId="20053F99" w14:textId="77777777" w:rsidR="008F465B" w:rsidRDefault="00D310E2" w:rsidP="00306DCB">
                      <w:pPr>
                        <w:ind w:left="14" w:hanging="14"/>
                        <w:rPr>
                          <w:noProof/>
                          <w:szCs w:val="22"/>
                        </w:rPr>
                      </w:pPr>
                      <w:r w:rsidRPr="00980C78">
                        <w:rPr>
                          <w:color w:val="767171" w:themeColor="background2" w:themeShade="80"/>
                          <w:szCs w:val="22"/>
                        </w:rPr>
                        <w:t>Original EA Category</w:t>
                      </w:r>
                    </w:p>
                  </w:tc>
                  <w:tc>
                    <w:tcPr>
                      <w:tcW w:w="5445" w:type="dxa"/>
                      <w:tcBorders>
                        <w:top w:val="single" w:sz="4" w:space="0" w:color="D0CECE" w:themeColor="background2" w:themeShade="E6"/>
                        <w:left w:val="single" w:sz="4" w:space="0" w:color="D0CECE" w:themeColor="background2" w:themeShade="E6"/>
                        <w:bottom w:val="nil"/>
                      </w:tcBorders>
                      <w:vAlign w:val="center"/>
                    </w:tcPr>
                    <w:p w14:paraId="04658530" w14:textId="77777777" w:rsidR="008F465B" w:rsidRDefault="00D310E2" w:rsidP="00A53150">
                      <w:pPr>
                        <w:spacing w:line="257" w:lineRule="auto"/>
                        <w:ind w:left="76" w:hanging="14"/>
                        <w:rPr>
                          <w:noProof/>
                          <w:szCs w:val="22"/>
                        </w:rPr>
                      </w:pPr>
                      <w:r w:rsidRPr="00980C78">
                        <w:rPr>
                          <w:color w:val="767171" w:themeColor="background2" w:themeShade="80"/>
                          <w:szCs w:val="22"/>
                        </w:rPr>
                        <w:t>Current EA Category</w:t>
                      </w:r>
                    </w:p>
                  </w:tc>
                </w:tr>
                <w:tr w:rsidR="00DD6229" w14:paraId="6423C67A" w14:textId="77777777" w:rsidTr="004668AD">
                  <w:trPr>
                    <w:trHeight w:val="432"/>
                  </w:trPr>
                  <w:tc>
                    <w:tcPr>
                      <w:tcW w:w="5445" w:type="dxa"/>
                      <w:tcBorders>
                        <w:top w:val="nil"/>
                        <w:bottom w:val="single" w:sz="4" w:space="0" w:color="D0CECE" w:themeColor="background2" w:themeShade="E6"/>
                        <w:right w:val="single" w:sz="4" w:space="0" w:color="D0CECE" w:themeColor="background2" w:themeShade="E6"/>
                      </w:tcBorders>
                      <w:vAlign w:val="center"/>
                    </w:tcPr>
                    <w:p w14:paraId="04598404" w14:textId="77777777" w:rsidR="008F465B" w:rsidRDefault="00D310E2" w:rsidP="00306DCB">
                      <w:pPr>
                        <w:ind w:left="14" w:hanging="14"/>
                        <w:rPr>
                          <w:noProof/>
                          <w:szCs w:val="22"/>
                        </w:rPr>
                      </w:pPr>
                      <w:r>
                        <w:rPr>
                          <w:noProof/>
                          <w:szCs w:val="22"/>
                        </w:rPr>
                        <w:t>Not Required (C) (Approval package - 28 Aug 2018)</w:t>
                      </w:r>
                    </w:p>
                  </w:tc>
                  <w:tc>
                    <w:tcPr>
                      <w:tcW w:w="5445" w:type="dxa"/>
                      <w:tcBorders>
                        <w:top w:val="nil"/>
                        <w:left w:val="single" w:sz="4" w:space="0" w:color="D0CECE" w:themeColor="background2" w:themeShade="E6"/>
                        <w:bottom w:val="single" w:sz="4" w:space="0" w:color="D0CECE" w:themeColor="background2" w:themeShade="E6"/>
                      </w:tcBorders>
                      <w:vAlign w:val="center"/>
                    </w:tcPr>
                    <w:p w14:paraId="792A3AEE" w14:textId="77777777" w:rsidR="008F465B" w:rsidRDefault="00D310E2" w:rsidP="00A53150">
                      <w:pPr>
                        <w:spacing w:line="257" w:lineRule="auto"/>
                        <w:ind w:left="76" w:hanging="14"/>
                        <w:rPr>
                          <w:noProof/>
                          <w:szCs w:val="22"/>
                        </w:rPr>
                      </w:pPr>
                      <w:r>
                        <w:rPr>
                          <w:noProof/>
                          <w:szCs w:val="22"/>
                        </w:rPr>
                        <w:t>Not Required (C) (Restructuring Data Sheet - 28 Apr 2024)</w:t>
                      </w:r>
                    </w:p>
                  </w:tc>
                </w:tr>
              </w:tbl>
              <w:p w14:paraId="4B8226A3" w14:textId="77777777" w:rsidR="00306DCB" w:rsidRDefault="00306DCB" w:rsidP="00306DCB">
                <w:pPr>
                  <w:ind w:right="29" w:firstLine="720"/>
                </w:pPr>
              </w:p>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3AFC9944" w14:textId="77777777" w:rsidTr="00A53150">
                  <w:trPr>
                    <w:trHeight w:val="432"/>
                  </w:trPr>
                  <w:tc>
                    <w:tcPr>
                      <w:tcW w:w="10895" w:type="dxa"/>
                      <w:shd w:val="clear" w:color="auto" w:fill="F2F2F2" w:themeFill="background1" w:themeFillShade="F2"/>
                      <w:vAlign w:val="center"/>
                      <w:hideMark/>
                    </w:tcPr>
                    <w:p w14:paraId="5B111FC4" w14:textId="77777777" w:rsidR="00306DCB" w:rsidRPr="00DC4148" w:rsidRDefault="00D310E2" w:rsidP="00306DCB">
                      <w:pPr>
                        <w:rPr>
                          <w:b/>
                          <w:bCs/>
                          <w:szCs w:val="22"/>
                        </w:rPr>
                      </w:pPr>
                      <w:r>
                        <w:rPr>
                          <w:b/>
                          <w:bCs/>
                          <w:szCs w:val="22"/>
                        </w:rPr>
                        <w:t>CLIENT</w:t>
                      </w:r>
                      <w:r w:rsidR="00C14297">
                        <w:rPr>
                          <w:b/>
                          <w:bCs/>
                          <w:szCs w:val="22"/>
                        </w:rPr>
                        <w:t>S</w:t>
                      </w:r>
                    </w:p>
                  </w:tc>
                </w:tr>
              </w:tbl>
              <w:p w14:paraId="0790913C" w14:textId="77777777" w:rsidR="00306DCB" w:rsidRDefault="00306DCB" w:rsidP="00306DCB">
                <w:pPr>
                  <w:ind w:right="29"/>
                </w:pPr>
              </w:p>
              <w:tbl>
                <w:tblPr>
                  <w:tblStyle w:val="TableGrid"/>
                  <w:tblW w:w="1089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5445"/>
                  <w:gridCol w:w="5445"/>
                </w:tblGrid>
                <w:tr w:rsidR="00DD6229" w14:paraId="06461A97" w14:textId="77777777" w:rsidTr="00DC71E3">
                  <w:trPr>
                    <w:trHeight w:val="374"/>
                  </w:trPr>
                  <w:tc>
                    <w:tcPr>
                      <w:tcW w:w="5445" w:type="dxa"/>
                      <w:tcBorders>
                        <w:top w:val="single" w:sz="4" w:space="0" w:color="D0CECE" w:themeColor="background2" w:themeShade="E6"/>
                        <w:bottom w:val="nil"/>
                        <w:right w:val="single" w:sz="4" w:space="0" w:color="D0CECE" w:themeColor="background2" w:themeShade="E6"/>
                      </w:tcBorders>
                      <w:vAlign w:val="center"/>
                    </w:tcPr>
                    <w:p w14:paraId="502061DE" w14:textId="77777777" w:rsidR="00306DCB" w:rsidRPr="00DC4148" w:rsidRDefault="00D310E2" w:rsidP="00C14297">
                      <w:pPr>
                        <w:rPr>
                          <w:color w:val="767171" w:themeColor="background2" w:themeShade="80"/>
                          <w:szCs w:val="22"/>
                        </w:rPr>
                      </w:pPr>
                      <w:r w:rsidRPr="00C14297">
                        <w:rPr>
                          <w:rFonts w:ascii="Calibri" w:eastAsia="Calibri" w:hAnsi="Calibri" w:cs="Times New Roman"/>
                          <w:color w:val="767171"/>
                          <w:szCs w:val="22"/>
                        </w:rPr>
                        <w:t>Borrower/Recipient</w:t>
                      </w:r>
                    </w:p>
                  </w:tc>
                  <w:tc>
                    <w:tcPr>
                      <w:tcW w:w="5445" w:type="dxa"/>
                      <w:tcBorders>
                        <w:top w:val="single" w:sz="4" w:space="0" w:color="D0CECE" w:themeColor="background2" w:themeShade="E6"/>
                        <w:left w:val="single" w:sz="4" w:space="0" w:color="D0CECE" w:themeColor="background2" w:themeShade="E6"/>
                        <w:bottom w:val="nil"/>
                      </w:tcBorders>
                      <w:vAlign w:val="center"/>
                    </w:tcPr>
                    <w:p w14:paraId="05576EE6" w14:textId="77777777" w:rsidR="00306DCB" w:rsidRPr="00DC4148" w:rsidRDefault="00D310E2" w:rsidP="00306DCB">
                      <w:pPr>
                        <w:spacing w:line="257" w:lineRule="auto"/>
                        <w:ind w:left="100" w:hanging="14"/>
                        <w:rPr>
                          <w:color w:val="767171" w:themeColor="background2" w:themeShade="80"/>
                          <w:szCs w:val="22"/>
                        </w:rPr>
                      </w:pPr>
                      <w:r w:rsidRPr="00DC71E3">
                        <w:rPr>
                          <w:rFonts w:ascii="Calibri" w:eastAsia="Calibri" w:hAnsi="Calibri" w:cs="Times New Roman"/>
                          <w:color w:val="767171"/>
                          <w:szCs w:val="22"/>
                        </w:rPr>
                        <w:t>Implementing Agency</w:t>
                      </w:r>
                    </w:p>
                  </w:tc>
                </w:tr>
                <w:tr w:rsidR="00DD6229" w14:paraId="3D4F2F52" w14:textId="77777777" w:rsidTr="00DC71E3">
                  <w:trPr>
                    <w:trHeight w:val="432"/>
                  </w:trPr>
                  <w:tc>
                    <w:tcPr>
                      <w:tcW w:w="5445" w:type="dxa"/>
                      <w:tcBorders>
                        <w:top w:val="nil"/>
                        <w:bottom w:val="single" w:sz="4" w:space="0" w:color="D0CECE" w:themeColor="background2" w:themeShade="E6"/>
                        <w:right w:val="single" w:sz="4" w:space="0" w:color="D0CECE" w:themeColor="background2" w:themeShade="E6"/>
                      </w:tcBorders>
                      <w:vAlign w:val="center"/>
                    </w:tcPr>
                    <w:p w14:paraId="4A76CCB3" w14:textId="77777777" w:rsidR="00306DCB" w:rsidRPr="00DC4148" w:rsidRDefault="00D310E2" w:rsidP="00306DCB">
                      <w:pPr>
                        <w:spacing w:line="257" w:lineRule="auto"/>
                        <w:ind w:hanging="14"/>
                        <w:rPr>
                          <w:noProof/>
                          <w:szCs w:val="22"/>
                          <w:highlight w:val="yellow"/>
                        </w:rPr>
                      </w:pPr>
                      <w:r>
                        <w:rPr>
                          <w:noProof/>
                          <w:szCs w:val="22"/>
                        </w:rPr>
                        <w:t>Kingdom of Tonga</w:t>
                      </w:r>
                    </w:p>
                  </w:tc>
                  <w:tc>
                    <w:tcPr>
                      <w:tcW w:w="5445" w:type="dxa"/>
                      <w:tcBorders>
                        <w:top w:val="nil"/>
                        <w:left w:val="single" w:sz="4" w:space="0" w:color="D0CECE" w:themeColor="background2" w:themeShade="E6"/>
                        <w:bottom w:val="single" w:sz="4" w:space="0" w:color="D0CECE" w:themeColor="background2" w:themeShade="E6"/>
                      </w:tcBorders>
                      <w:vAlign w:val="center"/>
                    </w:tcPr>
                    <w:p w14:paraId="4A97D18F" w14:textId="77777777" w:rsidR="00306DCB" w:rsidRPr="00DC4148" w:rsidRDefault="00D310E2" w:rsidP="00306DCB">
                      <w:pPr>
                        <w:spacing w:line="257" w:lineRule="auto"/>
                        <w:ind w:left="100" w:hanging="14"/>
                        <w:rPr>
                          <w:noProof/>
                          <w:szCs w:val="22"/>
                          <w:highlight w:val="yellow"/>
                        </w:rPr>
                      </w:pPr>
                      <w:r>
                        <w:rPr>
                          <w:noProof/>
                          <w:szCs w:val="22"/>
                        </w:rPr>
                        <w:t>Ministry of Education and Training, Ministry of Finance and National Planning, Ministry of Internal Affairs</w:t>
                      </w:r>
                    </w:p>
                  </w:tc>
                </w:tr>
              </w:tbl>
              <w:p w14:paraId="21D7247F" w14:textId="77777777" w:rsidR="00306DCB" w:rsidRDefault="00306DCB" w:rsidP="00306DCB">
                <w:pPr>
                  <w:ind w:right="29"/>
                </w:pPr>
              </w:p>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73B234BE" w14:textId="77777777" w:rsidTr="004668AD">
                  <w:trPr>
                    <w:trHeight w:val="432"/>
                  </w:trPr>
                  <w:tc>
                    <w:tcPr>
                      <w:tcW w:w="10895" w:type="dxa"/>
                      <w:shd w:val="clear" w:color="auto" w:fill="F2F2F2" w:themeFill="background1" w:themeFillShade="F2"/>
                      <w:vAlign w:val="center"/>
                      <w:hideMark/>
                    </w:tcPr>
                    <w:p w14:paraId="559FEF75" w14:textId="77777777" w:rsidR="00777D37" w:rsidRPr="00DC4148" w:rsidRDefault="00D310E2" w:rsidP="00777D37">
                      <w:pPr>
                        <w:rPr>
                          <w:b/>
                          <w:bCs/>
                          <w:szCs w:val="22"/>
                        </w:rPr>
                      </w:pPr>
                      <w:r>
                        <w:rPr>
                          <w:b/>
                          <w:bCs/>
                        </w:rPr>
                        <w:t>DEVELOPMENT OBJECTIVE</w:t>
                      </w:r>
                    </w:p>
                  </w:tc>
                </w:tr>
              </w:tbl>
              <w:p w14:paraId="169E43AE" w14:textId="77777777" w:rsidR="00DC71E3" w:rsidRDefault="00DC71E3" w:rsidP="00306DCB">
                <w:pPr>
                  <w:ind w:right="29"/>
                </w:pPr>
              </w:p>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CellMar>
                    <w:left w:w="115" w:type="dxa"/>
                    <w:right w:w="115" w:type="dxa"/>
                  </w:tblCellMar>
                  <w:tblLook w:val="04A0" w:firstRow="1" w:lastRow="0" w:firstColumn="1" w:lastColumn="0" w:noHBand="0" w:noVBand="1"/>
                </w:tblPr>
                <w:tblGrid>
                  <w:gridCol w:w="10895"/>
                </w:tblGrid>
                <w:tr w:rsidR="00DD6229" w14:paraId="4F804470" w14:textId="77777777" w:rsidTr="004668AD">
                  <w:trPr>
                    <w:trHeight w:val="80"/>
                  </w:trPr>
                  <w:tc>
                    <w:tcPr>
                      <w:tcW w:w="10895" w:type="dxa"/>
                      <w:shd w:val="clear" w:color="auto" w:fill="F7F7F7"/>
                      <w:vAlign w:val="center"/>
                    </w:tcPr>
                    <w:p w14:paraId="509717FE" w14:textId="77777777" w:rsidR="00136944" w:rsidRPr="00380972" w:rsidRDefault="00D310E2" w:rsidP="00136944">
                      <w:pPr>
                        <w:spacing w:line="360" w:lineRule="auto"/>
                        <w:jc w:val="both"/>
                        <w:rPr>
                          <w:bCs/>
                          <w:color w:val="767171" w:themeColor="background2" w:themeShade="80"/>
                          <w:szCs w:val="22"/>
                        </w:rPr>
                      </w:pPr>
                      <w:r>
                        <w:rPr>
                          <w:bCs/>
                          <w:color w:val="767171" w:themeColor="background2" w:themeShade="80"/>
                          <w:szCs w:val="22"/>
                        </w:rPr>
                        <w:t xml:space="preserve">Original </w:t>
                      </w:r>
                      <w:r w:rsidRPr="00380972">
                        <w:rPr>
                          <w:bCs/>
                          <w:color w:val="767171" w:themeColor="background2" w:themeShade="80"/>
                          <w:szCs w:val="22"/>
                        </w:rPr>
                        <w:t>Development Objective</w:t>
                      </w:r>
                      <w:r>
                        <w:rPr>
                          <w:bCs/>
                          <w:color w:val="767171" w:themeColor="background2" w:themeShade="80"/>
                          <w:szCs w:val="22"/>
                        </w:rPr>
                        <w:t xml:space="preserve"> (Approved as part of </w:t>
                      </w:r>
                      <w:r>
                        <w:rPr>
                          <w:bCs/>
                          <w:noProof/>
                          <w:color w:val="767171" w:themeColor="background2" w:themeShade="80"/>
                          <w:szCs w:val="22"/>
                        </w:rPr>
                        <w:t>Approval</w:t>
                      </w:r>
                      <w:r>
                        <w:rPr>
                          <w:bCs/>
                          <w:color w:val="767171" w:themeColor="background2" w:themeShade="80"/>
                          <w:szCs w:val="22"/>
                        </w:rPr>
                        <w:t xml:space="preserve"> Package on </w:t>
                      </w:r>
                      <w:r>
                        <w:rPr>
                          <w:bCs/>
                          <w:noProof/>
                          <w:color w:val="767171" w:themeColor="background2" w:themeShade="80"/>
                          <w:szCs w:val="22"/>
                        </w:rPr>
                        <w:t>28-Aug-2018</w:t>
                      </w:r>
                      <w:r>
                        <w:rPr>
                          <w:bCs/>
                          <w:color w:val="767171" w:themeColor="background2" w:themeShade="80"/>
                          <w:szCs w:val="22"/>
                        </w:rPr>
                        <w:t>)</w:t>
                      </w:r>
                    </w:p>
                  </w:tc>
                </w:tr>
                <w:tr w:rsidR="00DD6229" w14:paraId="35BA80A1" w14:textId="77777777" w:rsidTr="004668AD">
                  <w:trPr>
                    <w:trHeight w:val="80"/>
                  </w:trPr>
                  <w:tc>
                    <w:tcPr>
                      <w:tcW w:w="10895" w:type="dxa"/>
                      <w:shd w:val="clear" w:color="auto" w:fill="F7F7F7"/>
                      <w:vAlign w:val="center"/>
                    </w:tcPr>
                    <w:p w14:paraId="06CE5C60" w14:textId="77777777" w:rsidR="00136944" w:rsidRPr="008A561B" w:rsidRDefault="00D310E2" w:rsidP="00136944">
                      <w:pPr>
                        <w:spacing w:line="360" w:lineRule="auto"/>
                        <w:jc w:val="both"/>
                        <w:rPr>
                          <w:bCs/>
                          <w:color w:val="767171" w:themeColor="background2" w:themeShade="80"/>
                          <w:szCs w:val="22"/>
                        </w:rPr>
                      </w:pPr>
                      <w:r>
                        <w:rPr>
                          <w:bCs/>
                          <w:noProof/>
                          <w:color w:val="000000" w:themeColor="text1"/>
                          <w:szCs w:val="22"/>
                        </w:rPr>
                        <w:t>The Project Development Objective is to improve opportunities for secondary school progression and facilitate the transition to jobs in the domestic and overseas labor markets for Tongans.</w:t>
                      </w:r>
                    </w:p>
                  </w:tc>
                </w:tr>
              </w:tbl>
              <w:p w14:paraId="4EE56B57" w14:textId="77777777" w:rsidR="00306DCB" w:rsidRPr="00306DCB" w:rsidRDefault="00000000" w:rsidP="00D3303E">
                <w:pPr>
                  <w:ind w:right="29"/>
                  <w:rPr>
                    <w:color w:val="FF0000"/>
                  </w:rPr>
                </w:pPr>
              </w:p>
            </w:tc>
          </w:tr>
        </w:tbl>
      </w:sdtContent>
    </w:sdt>
    <w:p w14:paraId="74FAE2B1" w14:textId="77777777" w:rsidR="00D721CB" w:rsidRPr="003C3486" w:rsidRDefault="00D310E2" w:rsidP="007A58DF">
      <w:pPr>
        <w:rPr>
          <w:sz w:val="2"/>
          <w:szCs w:val="2"/>
        </w:rPr>
      </w:pPr>
      <w:r>
        <w:rPr>
          <w:sz w:val="2"/>
          <w:szCs w:val="2"/>
        </w:rPr>
        <w:t>s</w:t>
      </w:r>
    </w:p>
    <w:p w14:paraId="57D796B0" w14:textId="77777777" w:rsidR="00D721CB" w:rsidRPr="003C3486" w:rsidRDefault="00D310E2" w:rsidP="007A58DF">
      <w:pPr>
        <w:rPr>
          <w:sz w:val="2"/>
          <w:szCs w:val="2"/>
        </w:rPr>
      </w:pPr>
      <w:r>
        <w:rPr>
          <w:sz w:val="2"/>
          <w:szCs w:val="2"/>
        </w:rPr>
        <w:t>s</w:t>
      </w:r>
    </w:p>
    <w:sdt>
      <w:sdtPr>
        <w:id w:val="616697119"/>
        <w:lock w:val="sdtContentLocked"/>
        <w:group/>
      </w:sdtPr>
      <w:sdtContent>
        <w:tbl>
          <w:tblPr>
            <w:tblStyle w:val="TableGrid"/>
            <w:tblW w:w="1086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Look w:val="04A0" w:firstRow="1" w:lastRow="0" w:firstColumn="1" w:lastColumn="0" w:noHBand="0" w:noVBand="1"/>
          </w:tblPr>
          <w:tblGrid>
            <w:gridCol w:w="10861"/>
          </w:tblGrid>
          <w:tr w:rsidR="00DD6229" w14:paraId="56D79F7B" w14:textId="77777777" w:rsidTr="00A53150">
            <w:tc>
              <w:tcPr>
                <w:tcW w:w="10861" w:type="dxa"/>
                <w:shd w:val="clear" w:color="auto" w:fill="F7F7F7"/>
              </w:tcPr>
              <w:p w14:paraId="04BCB77B" w14:textId="77777777" w:rsidR="001B523F" w:rsidRPr="00153685" w:rsidRDefault="00D310E2" w:rsidP="00D3303E">
                <w:pPr>
                  <w:ind w:right="29"/>
                  <w:rPr>
                    <w:color w:val="F7F7F7"/>
                  </w:rPr>
                </w:pPr>
                <w:r w:rsidRPr="00153685">
                  <w:rPr>
                    <w:color w:val="F7F7F7"/>
                  </w:rPr>
                  <w:t>@#&amp;OPS~Doctype~OPS^</w:t>
                </w:r>
                <w:r w:rsidR="006412EE" w:rsidRPr="00153685">
                  <w:rPr>
                    <w:color w:val="F7F7F7"/>
                  </w:rPr>
                  <w:t>dynamics</w:t>
                </w:r>
                <w:r w:rsidRPr="00153685">
                  <w:rPr>
                    <w:color w:val="F7F7F7"/>
                  </w:rPr>
                  <w:t>@</w:t>
                </w:r>
                <w:r w:rsidR="00153685" w:rsidRPr="00153685">
                  <w:rPr>
                    <w:color w:val="F7F7F7"/>
                  </w:rPr>
                  <w:t>icrfinancing</w:t>
                </w:r>
                <w:r w:rsidRPr="00153685">
                  <w:rPr>
                    <w:color w:val="F7F7F7"/>
                  </w:rPr>
                  <w:t>#doctemplate</w:t>
                </w:r>
              </w:p>
            </w:tc>
          </w:tr>
          <w:tr w:rsidR="00DD6229" w14:paraId="4A8D4EC7" w14:textId="77777777" w:rsidTr="00A53150">
            <w:tc>
              <w:tcPr>
                <w:tcW w:w="10861" w:type="dxa"/>
                <w:shd w:val="clear" w:color="auto" w:fill="F7F7F7"/>
                <w:tcMar>
                  <w:left w:w="0" w:type="dxa"/>
                  <w:right w:w="0" w:type="dxa"/>
                </w:tcMar>
              </w:tcPr>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1D4409AE" w14:textId="77777777" w:rsidTr="00A53150">
                  <w:trPr>
                    <w:trHeight w:val="432"/>
                  </w:trPr>
                  <w:tc>
                    <w:tcPr>
                      <w:tcW w:w="10895" w:type="dxa"/>
                      <w:shd w:val="clear" w:color="auto" w:fill="F2F2F2" w:themeFill="background1" w:themeFillShade="F2"/>
                      <w:vAlign w:val="center"/>
                      <w:hideMark/>
                    </w:tcPr>
                    <w:p w14:paraId="290E1B8F" w14:textId="77777777" w:rsidR="00306DCB" w:rsidRPr="00DC4148" w:rsidRDefault="00D310E2" w:rsidP="00306DCB">
                      <w:pPr>
                        <w:rPr>
                          <w:b/>
                          <w:bCs/>
                          <w:szCs w:val="22"/>
                        </w:rPr>
                      </w:pPr>
                      <w:r>
                        <w:rPr>
                          <w:b/>
                          <w:bCs/>
                          <w:szCs w:val="22"/>
                        </w:rPr>
                        <w:t>FINANCING</w:t>
                      </w:r>
                    </w:p>
                  </w:tc>
                </w:tr>
              </w:tbl>
              <w:p w14:paraId="56340BB0" w14:textId="77777777" w:rsidR="00306DCB" w:rsidRDefault="00D310E2" w:rsidP="00306DCB">
                <w:pPr>
                  <w:tabs>
                    <w:tab w:val="left" w:pos="1230"/>
                  </w:tabs>
                  <w:ind w:right="29"/>
                </w:pPr>
                <w:r>
                  <w:tab/>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0890"/>
                </w:tblGrid>
                <w:tr w:rsidR="00DD6229" w14:paraId="5FA4372A" w14:textId="77777777" w:rsidTr="001D4738">
                  <w:trPr>
                    <w:trHeight w:val="432"/>
                  </w:trPr>
                  <w:tc>
                    <w:tcPr>
                      <w:tcW w:w="10890" w:type="dxa"/>
                      <w:tcMar>
                        <w:left w:w="0" w:type="dxa"/>
                        <w:right w:w="0" w:type="dxa"/>
                      </w:tcMar>
                      <w:vAlign w:val="center"/>
                    </w:tcPr>
                    <w:tbl>
                      <w:tblPr>
                        <w:tblStyle w:val="MsoTableGrid0"/>
                        <w:tblW w:w="5000" w:type="pct"/>
                        <w:shd w:val="clear" w:color="auto" w:fill="F7F7F7"/>
                        <w:tblLayout w:type="fixed"/>
                        <w:tblCellMar>
                          <w:left w:w="0" w:type="dxa"/>
                          <w:right w:w="0" w:type="dxa"/>
                        </w:tblCellMar>
                        <w:tblLook w:val="05E0" w:firstRow="1" w:lastRow="1" w:firstColumn="1" w:lastColumn="1" w:noHBand="0" w:noVBand="1"/>
                      </w:tblPr>
                      <w:tblGrid>
                        <w:gridCol w:w="2732"/>
                        <w:gridCol w:w="2732"/>
                        <w:gridCol w:w="2589"/>
                        <w:gridCol w:w="2837"/>
                      </w:tblGrid>
                      <w:tr w:rsidR="00DD6229" w14:paraId="05C006F2" w14:textId="77777777">
                        <w:trPr>
                          <w:trHeight w:val="80"/>
                        </w:trPr>
                        <w:tc>
                          <w:tcPr>
                            <w:tcW w:w="2969" w:type="dxa"/>
                            <w:tcBorders>
                              <w:top w:val="single" w:sz="8" w:space="0" w:color="D0CECE"/>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25B1309C" w14:textId="77777777" w:rsidR="00DD6229" w:rsidRDefault="00D310E2" w:rsidP="00BB2B1E">
                            <w:pPr>
                              <w:pStyle w:val="MsoNormal0"/>
                              <w:spacing w:after="0" w:line="257" w:lineRule="auto"/>
                              <w:jc w:val="both"/>
                              <w:rPr>
                                <w:noProof/>
                                <w:sz w:val="22"/>
                              </w:rPr>
                            </w:pPr>
                            <w:r>
                              <w:rPr>
                                <w:b/>
                                <w:bCs/>
                                <w:noProof/>
                                <w:color w:val="767171"/>
                                <w:sz w:val="22"/>
                              </w:rPr>
                              <w:t>Financing Source</w:t>
                            </w:r>
                          </w:p>
                        </w:tc>
                        <w:tc>
                          <w:tcPr>
                            <w:tcW w:w="2969" w:type="dxa"/>
                            <w:tcBorders>
                              <w:top w:val="single" w:sz="8" w:space="0" w:color="D0CECE"/>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19A2AA10" w14:textId="77777777" w:rsidR="00DD6229" w:rsidRDefault="00D310E2" w:rsidP="00BB2B1E">
                            <w:pPr>
                              <w:pStyle w:val="MsoNormal0"/>
                              <w:spacing w:after="0" w:line="257" w:lineRule="auto"/>
                              <w:jc w:val="both"/>
                              <w:rPr>
                                <w:noProof/>
                                <w:sz w:val="22"/>
                              </w:rPr>
                            </w:pPr>
                            <w:r>
                              <w:rPr>
                                <w:b/>
                                <w:bCs/>
                                <w:noProof/>
                                <w:color w:val="767171"/>
                                <w:sz w:val="22"/>
                              </w:rPr>
                              <w:t>Original Amount (US$)</w:t>
                            </w:r>
                          </w:p>
                        </w:tc>
                        <w:tc>
                          <w:tcPr>
                            <w:tcW w:w="2812" w:type="dxa"/>
                            <w:tcBorders>
                              <w:top w:val="single" w:sz="8" w:space="0" w:color="D0CECE"/>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1062F60A" w14:textId="77777777" w:rsidR="00DD6229" w:rsidRDefault="00D310E2" w:rsidP="00BB2B1E">
                            <w:pPr>
                              <w:pStyle w:val="MsoNormal0"/>
                              <w:spacing w:after="0" w:line="257" w:lineRule="auto"/>
                              <w:jc w:val="both"/>
                              <w:rPr>
                                <w:noProof/>
                                <w:sz w:val="22"/>
                              </w:rPr>
                            </w:pPr>
                            <w:r>
                              <w:rPr>
                                <w:b/>
                                <w:bCs/>
                                <w:noProof/>
                                <w:color w:val="767171"/>
                                <w:sz w:val="22"/>
                              </w:rPr>
                              <w:t>Revised Amount (US$)</w:t>
                            </w:r>
                          </w:p>
                        </w:tc>
                        <w:tc>
                          <w:tcPr>
                            <w:tcW w:w="3085" w:type="dxa"/>
                            <w:tcBorders>
                              <w:top w:val="single" w:sz="8" w:space="0" w:color="D0CECE"/>
                              <w:bottom w:val="single" w:sz="8" w:space="0" w:color="AEAAAA"/>
                            </w:tcBorders>
                            <w:shd w:val="clear" w:color="auto" w:fill="F7F7F7"/>
                            <w:tcMar>
                              <w:top w:w="0" w:type="dxa"/>
                              <w:left w:w="120" w:type="dxa"/>
                              <w:bottom w:w="0" w:type="dxa"/>
                              <w:right w:w="120" w:type="dxa"/>
                            </w:tcMar>
                            <w:vAlign w:val="center"/>
                            <w:hideMark/>
                          </w:tcPr>
                          <w:p w14:paraId="3F85A963" w14:textId="77777777" w:rsidR="00DD6229" w:rsidRDefault="00D310E2" w:rsidP="00BB2B1E">
                            <w:pPr>
                              <w:pStyle w:val="MsoNormal0"/>
                              <w:spacing w:after="0" w:line="257" w:lineRule="auto"/>
                              <w:jc w:val="both"/>
                              <w:rPr>
                                <w:noProof/>
                                <w:sz w:val="22"/>
                              </w:rPr>
                            </w:pPr>
                            <w:r>
                              <w:rPr>
                                <w:b/>
                                <w:bCs/>
                                <w:noProof/>
                                <w:color w:val="767171"/>
                                <w:sz w:val="22"/>
                              </w:rPr>
                              <w:t>Actual Disbursed (US$)</w:t>
                            </w:r>
                          </w:p>
                        </w:tc>
                      </w:tr>
                      <w:tr w:rsidR="00DD6229" w14:paraId="5F94262C" w14:textId="77777777">
                        <w:trPr>
                          <w:trHeight w:val="80"/>
                        </w:trPr>
                        <w:tc>
                          <w:tcPr>
                            <w:tcW w:w="2969" w:type="dxa"/>
                            <w:tcBorders>
                              <w:bottom w:val="single" w:sz="8" w:space="0" w:color="AEAAAA"/>
                              <w:right w:val="single" w:sz="8" w:space="0" w:color="AEAAAA"/>
                            </w:tcBorders>
                            <w:shd w:val="clear" w:color="auto" w:fill="D9E2F3"/>
                            <w:tcMar>
                              <w:top w:w="0" w:type="dxa"/>
                              <w:left w:w="120" w:type="dxa"/>
                              <w:bottom w:w="0" w:type="dxa"/>
                              <w:right w:w="125" w:type="dxa"/>
                            </w:tcMar>
                            <w:vAlign w:val="center"/>
                            <w:hideMark/>
                          </w:tcPr>
                          <w:p w14:paraId="32D72C6F" w14:textId="77777777" w:rsidR="00DD6229" w:rsidRDefault="00D310E2" w:rsidP="00BB2B1E">
                            <w:pPr>
                              <w:pStyle w:val="MsoNormal0"/>
                              <w:spacing w:after="0" w:line="257" w:lineRule="auto"/>
                              <w:jc w:val="both"/>
                              <w:rPr>
                                <w:noProof/>
                                <w:sz w:val="22"/>
                              </w:rPr>
                            </w:pPr>
                            <w:r>
                              <w:rPr>
                                <w:noProof/>
                                <w:color w:val="767171"/>
                                <w:sz w:val="22"/>
                              </w:rPr>
                              <w:t>World Bank Financing</w:t>
                            </w:r>
                          </w:p>
                        </w:tc>
                        <w:tc>
                          <w:tcPr>
                            <w:tcW w:w="2969" w:type="dxa"/>
                            <w:tcBorders>
                              <w:bottom w:val="single" w:sz="8" w:space="0" w:color="AEAAAA"/>
                              <w:right w:val="single" w:sz="8" w:space="0" w:color="AEAAAA"/>
                            </w:tcBorders>
                            <w:shd w:val="clear" w:color="auto" w:fill="D9E2F3"/>
                            <w:tcMar>
                              <w:top w:w="0" w:type="dxa"/>
                              <w:left w:w="120" w:type="dxa"/>
                              <w:bottom w:w="0" w:type="dxa"/>
                              <w:right w:w="125" w:type="dxa"/>
                            </w:tcMar>
                            <w:vAlign w:val="center"/>
                            <w:hideMark/>
                          </w:tcPr>
                          <w:p w14:paraId="03D072D9" w14:textId="77777777" w:rsidR="00DD6229" w:rsidRDefault="00D310E2" w:rsidP="00BB2B1E">
                            <w:pPr>
                              <w:pStyle w:val="MsoNormal0"/>
                              <w:spacing w:after="0" w:line="257" w:lineRule="auto"/>
                              <w:jc w:val="right"/>
                              <w:rPr>
                                <w:noProof/>
                                <w:sz w:val="22"/>
                              </w:rPr>
                            </w:pPr>
                            <w:r>
                              <w:rPr>
                                <w:noProof/>
                                <w:color w:val="767171"/>
                                <w:sz w:val="22"/>
                              </w:rPr>
                              <w:t>18,510,000.00</w:t>
                            </w:r>
                          </w:p>
                        </w:tc>
                        <w:tc>
                          <w:tcPr>
                            <w:tcW w:w="2812" w:type="dxa"/>
                            <w:tcBorders>
                              <w:bottom w:val="single" w:sz="8" w:space="0" w:color="AEAAAA"/>
                              <w:right w:val="single" w:sz="8" w:space="0" w:color="AEAAAA"/>
                            </w:tcBorders>
                            <w:shd w:val="clear" w:color="auto" w:fill="D9E2F3"/>
                            <w:tcMar>
                              <w:top w:w="0" w:type="dxa"/>
                              <w:left w:w="120" w:type="dxa"/>
                              <w:bottom w:w="0" w:type="dxa"/>
                              <w:right w:w="125" w:type="dxa"/>
                            </w:tcMar>
                            <w:hideMark/>
                          </w:tcPr>
                          <w:p w14:paraId="6ED29E1C" w14:textId="77777777" w:rsidR="00DD6229" w:rsidRDefault="00D310E2" w:rsidP="00BB2B1E">
                            <w:pPr>
                              <w:pStyle w:val="MsoNormal0"/>
                              <w:spacing w:after="0" w:line="257" w:lineRule="auto"/>
                              <w:jc w:val="right"/>
                              <w:rPr>
                                <w:noProof/>
                                <w:sz w:val="22"/>
                              </w:rPr>
                            </w:pPr>
                            <w:r>
                              <w:rPr>
                                <w:noProof/>
                                <w:color w:val="767171"/>
                                <w:sz w:val="22"/>
                              </w:rPr>
                              <w:t>17,383,344.00</w:t>
                            </w:r>
                          </w:p>
                        </w:tc>
                        <w:tc>
                          <w:tcPr>
                            <w:tcW w:w="3085" w:type="dxa"/>
                            <w:tcBorders>
                              <w:bottom w:val="single" w:sz="8" w:space="0" w:color="AEAAAA"/>
                            </w:tcBorders>
                            <w:shd w:val="clear" w:color="auto" w:fill="D9E2F3"/>
                            <w:tcMar>
                              <w:top w:w="0" w:type="dxa"/>
                              <w:left w:w="120" w:type="dxa"/>
                              <w:bottom w:w="0" w:type="dxa"/>
                              <w:right w:w="120" w:type="dxa"/>
                            </w:tcMar>
                            <w:hideMark/>
                          </w:tcPr>
                          <w:p w14:paraId="2108899E" w14:textId="77777777" w:rsidR="00DD6229" w:rsidRDefault="00D310E2" w:rsidP="00BB2B1E">
                            <w:pPr>
                              <w:pStyle w:val="MsoNormal0"/>
                              <w:spacing w:after="0" w:line="257" w:lineRule="auto"/>
                              <w:jc w:val="right"/>
                              <w:rPr>
                                <w:noProof/>
                                <w:sz w:val="22"/>
                              </w:rPr>
                            </w:pPr>
                            <w:r>
                              <w:rPr>
                                <w:noProof/>
                                <w:color w:val="767171"/>
                                <w:sz w:val="22"/>
                              </w:rPr>
                              <w:t>17,954,934.33</w:t>
                            </w:r>
                          </w:p>
                        </w:tc>
                      </w:tr>
                      <w:tr w:rsidR="00DD6229" w14:paraId="652C9101" w14:textId="77777777">
                        <w:trPr>
                          <w:trHeight w:val="80"/>
                        </w:trPr>
                        <w:tc>
                          <w:tcPr>
                            <w:tcW w:w="2969" w:type="dxa"/>
                            <w:tcBorders>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51895387" w14:textId="77777777" w:rsidR="00DD6229" w:rsidRDefault="00D310E2" w:rsidP="00BB2B1E">
                            <w:pPr>
                              <w:pStyle w:val="MsoNormal0"/>
                              <w:spacing w:after="0" w:line="257" w:lineRule="auto"/>
                              <w:rPr>
                                <w:noProof/>
                                <w:sz w:val="22"/>
                              </w:rPr>
                            </w:pPr>
                            <w:r>
                              <w:rPr>
                                <w:noProof/>
                                <w:color w:val="767171"/>
                                <w:sz w:val="22"/>
                              </w:rPr>
                              <w:lastRenderedPageBreak/>
                              <w:t>IDA-D3660</w:t>
                            </w:r>
                          </w:p>
                        </w:tc>
                        <w:tc>
                          <w:tcPr>
                            <w:tcW w:w="2969" w:type="dxa"/>
                            <w:tcBorders>
                              <w:bottom w:val="single" w:sz="8" w:space="0" w:color="AEAAAA"/>
                              <w:right w:val="single" w:sz="8" w:space="0" w:color="AEAAAA"/>
                            </w:tcBorders>
                            <w:shd w:val="clear" w:color="auto" w:fill="F7F7F7"/>
                            <w:tcMar>
                              <w:top w:w="0" w:type="dxa"/>
                              <w:left w:w="120" w:type="dxa"/>
                              <w:bottom w:w="0" w:type="dxa"/>
                              <w:right w:w="125" w:type="dxa"/>
                            </w:tcMar>
                            <w:hideMark/>
                          </w:tcPr>
                          <w:p w14:paraId="1C565150" w14:textId="77777777" w:rsidR="00DD6229" w:rsidRDefault="00D310E2" w:rsidP="00BB2B1E">
                            <w:pPr>
                              <w:pStyle w:val="MsoNormal0"/>
                              <w:spacing w:after="0" w:line="257" w:lineRule="auto"/>
                              <w:jc w:val="right"/>
                              <w:rPr>
                                <w:noProof/>
                                <w:sz w:val="22"/>
                              </w:rPr>
                            </w:pPr>
                            <w:r>
                              <w:rPr>
                                <w:noProof/>
                                <w:color w:val="767171"/>
                                <w:sz w:val="22"/>
                              </w:rPr>
                              <w:t>18,510,000.00</w:t>
                            </w:r>
                          </w:p>
                        </w:tc>
                        <w:tc>
                          <w:tcPr>
                            <w:tcW w:w="2812" w:type="dxa"/>
                            <w:tcBorders>
                              <w:bottom w:val="single" w:sz="8" w:space="0" w:color="AEAAAA"/>
                              <w:right w:val="single" w:sz="8" w:space="0" w:color="AEAAAA"/>
                            </w:tcBorders>
                            <w:shd w:val="clear" w:color="auto" w:fill="F7F7F7"/>
                            <w:tcMar>
                              <w:top w:w="0" w:type="dxa"/>
                              <w:left w:w="120" w:type="dxa"/>
                              <w:bottom w:w="0" w:type="dxa"/>
                              <w:right w:w="125" w:type="dxa"/>
                            </w:tcMar>
                            <w:hideMark/>
                          </w:tcPr>
                          <w:p w14:paraId="367A39CA" w14:textId="77777777" w:rsidR="00DD6229" w:rsidRDefault="00D310E2" w:rsidP="00BB2B1E">
                            <w:pPr>
                              <w:pStyle w:val="MsoNormal0"/>
                              <w:spacing w:after="0" w:line="257" w:lineRule="auto"/>
                              <w:jc w:val="right"/>
                              <w:rPr>
                                <w:noProof/>
                                <w:sz w:val="22"/>
                              </w:rPr>
                            </w:pPr>
                            <w:r>
                              <w:rPr>
                                <w:noProof/>
                                <w:color w:val="767171"/>
                                <w:sz w:val="22"/>
                              </w:rPr>
                              <w:t>17,383,344.00</w:t>
                            </w:r>
                          </w:p>
                        </w:tc>
                        <w:tc>
                          <w:tcPr>
                            <w:tcW w:w="3085" w:type="dxa"/>
                            <w:tcBorders>
                              <w:bottom w:val="single" w:sz="8" w:space="0" w:color="AEAAAA"/>
                            </w:tcBorders>
                            <w:shd w:val="clear" w:color="auto" w:fill="F7F7F7"/>
                            <w:tcMar>
                              <w:top w:w="0" w:type="dxa"/>
                              <w:left w:w="120" w:type="dxa"/>
                              <w:bottom w:w="0" w:type="dxa"/>
                              <w:right w:w="120" w:type="dxa"/>
                            </w:tcMar>
                            <w:hideMark/>
                          </w:tcPr>
                          <w:p w14:paraId="0A07B80D" w14:textId="77777777" w:rsidR="00DD6229" w:rsidRDefault="00D310E2" w:rsidP="00BB2B1E">
                            <w:pPr>
                              <w:pStyle w:val="MsoNormal0"/>
                              <w:spacing w:after="0" w:line="257" w:lineRule="auto"/>
                              <w:jc w:val="right"/>
                              <w:rPr>
                                <w:noProof/>
                                <w:sz w:val="22"/>
                              </w:rPr>
                            </w:pPr>
                            <w:r>
                              <w:rPr>
                                <w:noProof/>
                                <w:color w:val="767171"/>
                                <w:sz w:val="22"/>
                              </w:rPr>
                              <w:t>17,954,934.33</w:t>
                            </w:r>
                          </w:p>
                        </w:tc>
                      </w:tr>
                      <w:tr w:rsidR="00DD6229" w14:paraId="6A27D7BC" w14:textId="77777777">
                        <w:trPr>
                          <w:trHeight w:val="80"/>
                        </w:trPr>
                        <w:tc>
                          <w:tcPr>
                            <w:tcW w:w="2969" w:type="dxa"/>
                            <w:tcBorders>
                              <w:bottom w:val="single" w:sz="8" w:space="0" w:color="AEAAAA"/>
                              <w:right w:val="single" w:sz="8" w:space="0" w:color="AEAAAA"/>
                            </w:tcBorders>
                            <w:shd w:val="clear" w:color="auto" w:fill="D9E2F3"/>
                            <w:tcMar>
                              <w:top w:w="0" w:type="dxa"/>
                              <w:left w:w="120" w:type="dxa"/>
                              <w:bottom w:w="0" w:type="dxa"/>
                              <w:right w:w="125" w:type="dxa"/>
                            </w:tcMar>
                            <w:vAlign w:val="center"/>
                            <w:hideMark/>
                          </w:tcPr>
                          <w:p w14:paraId="79C3BBBC" w14:textId="77777777" w:rsidR="00DD6229" w:rsidRDefault="00D310E2" w:rsidP="00BB2B1E">
                            <w:pPr>
                              <w:pStyle w:val="MsoNormal0"/>
                              <w:spacing w:after="0" w:line="257" w:lineRule="auto"/>
                              <w:jc w:val="both"/>
                              <w:rPr>
                                <w:noProof/>
                                <w:sz w:val="22"/>
                              </w:rPr>
                            </w:pPr>
                            <w:r>
                              <w:rPr>
                                <w:noProof/>
                                <w:color w:val="767171"/>
                                <w:sz w:val="22"/>
                              </w:rPr>
                              <w:t>World Bank Administered Financing</w:t>
                            </w:r>
                          </w:p>
                        </w:tc>
                        <w:tc>
                          <w:tcPr>
                            <w:tcW w:w="2969" w:type="dxa"/>
                            <w:tcBorders>
                              <w:bottom w:val="single" w:sz="8" w:space="0" w:color="AEAAAA"/>
                              <w:right w:val="single" w:sz="8" w:space="0" w:color="AEAAAA"/>
                            </w:tcBorders>
                            <w:shd w:val="clear" w:color="auto" w:fill="D9E2F3"/>
                            <w:tcMar>
                              <w:top w:w="0" w:type="dxa"/>
                              <w:left w:w="120" w:type="dxa"/>
                              <w:bottom w:w="0" w:type="dxa"/>
                              <w:right w:w="125" w:type="dxa"/>
                            </w:tcMar>
                            <w:vAlign w:val="center"/>
                            <w:hideMark/>
                          </w:tcPr>
                          <w:p w14:paraId="65061C79" w14:textId="77777777" w:rsidR="00DD6229" w:rsidRDefault="00D310E2" w:rsidP="00BB2B1E">
                            <w:pPr>
                              <w:pStyle w:val="MsoNormal0"/>
                              <w:spacing w:after="0" w:line="257" w:lineRule="auto"/>
                              <w:jc w:val="right"/>
                              <w:rPr>
                                <w:noProof/>
                                <w:sz w:val="22"/>
                              </w:rPr>
                            </w:pPr>
                            <w:r>
                              <w:rPr>
                                <w:noProof/>
                                <w:color w:val="767171"/>
                                <w:sz w:val="22"/>
                              </w:rPr>
                              <w:t>2,393,224.00</w:t>
                            </w:r>
                          </w:p>
                        </w:tc>
                        <w:tc>
                          <w:tcPr>
                            <w:tcW w:w="2812" w:type="dxa"/>
                            <w:tcBorders>
                              <w:bottom w:val="single" w:sz="8" w:space="0" w:color="AEAAAA"/>
                              <w:right w:val="single" w:sz="8" w:space="0" w:color="AEAAAA"/>
                            </w:tcBorders>
                            <w:shd w:val="clear" w:color="auto" w:fill="D9E2F3"/>
                            <w:tcMar>
                              <w:top w:w="0" w:type="dxa"/>
                              <w:left w:w="120" w:type="dxa"/>
                              <w:bottom w:w="0" w:type="dxa"/>
                              <w:right w:w="125" w:type="dxa"/>
                            </w:tcMar>
                            <w:hideMark/>
                          </w:tcPr>
                          <w:p w14:paraId="367F2D7E" w14:textId="77777777" w:rsidR="00DD6229" w:rsidRDefault="00D310E2" w:rsidP="00BB2B1E">
                            <w:pPr>
                              <w:pStyle w:val="MsoNormal0"/>
                              <w:spacing w:after="0" w:line="257" w:lineRule="auto"/>
                              <w:jc w:val="right"/>
                              <w:rPr>
                                <w:noProof/>
                                <w:sz w:val="22"/>
                              </w:rPr>
                            </w:pPr>
                            <w:r>
                              <w:rPr>
                                <w:noProof/>
                                <w:color w:val="767171"/>
                                <w:sz w:val="22"/>
                              </w:rPr>
                              <w:t>2,392,050.88</w:t>
                            </w:r>
                          </w:p>
                        </w:tc>
                        <w:tc>
                          <w:tcPr>
                            <w:tcW w:w="3085" w:type="dxa"/>
                            <w:tcBorders>
                              <w:bottom w:val="single" w:sz="8" w:space="0" w:color="AEAAAA"/>
                            </w:tcBorders>
                            <w:shd w:val="clear" w:color="auto" w:fill="D9E2F3"/>
                            <w:tcMar>
                              <w:top w:w="0" w:type="dxa"/>
                              <w:left w:w="120" w:type="dxa"/>
                              <w:bottom w:w="0" w:type="dxa"/>
                              <w:right w:w="120" w:type="dxa"/>
                            </w:tcMar>
                            <w:hideMark/>
                          </w:tcPr>
                          <w:p w14:paraId="480104F4" w14:textId="77777777" w:rsidR="00DD6229" w:rsidRDefault="00D310E2" w:rsidP="00BB2B1E">
                            <w:pPr>
                              <w:pStyle w:val="MsoNormal0"/>
                              <w:spacing w:after="0" w:line="257" w:lineRule="auto"/>
                              <w:jc w:val="right"/>
                              <w:rPr>
                                <w:noProof/>
                                <w:sz w:val="22"/>
                              </w:rPr>
                            </w:pPr>
                            <w:r>
                              <w:rPr>
                                <w:noProof/>
                                <w:color w:val="767171"/>
                                <w:sz w:val="22"/>
                              </w:rPr>
                              <w:t>2,392,050.88</w:t>
                            </w:r>
                          </w:p>
                        </w:tc>
                      </w:tr>
                      <w:tr w:rsidR="00DD6229" w14:paraId="6A4DBB4B" w14:textId="77777777">
                        <w:trPr>
                          <w:trHeight w:val="80"/>
                        </w:trPr>
                        <w:tc>
                          <w:tcPr>
                            <w:tcW w:w="2969" w:type="dxa"/>
                            <w:tcBorders>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158C31FF" w14:textId="77777777" w:rsidR="00DD6229" w:rsidRDefault="00D310E2" w:rsidP="00BB2B1E">
                            <w:pPr>
                              <w:pStyle w:val="MsoNormal0"/>
                              <w:spacing w:after="0" w:line="257" w:lineRule="auto"/>
                              <w:rPr>
                                <w:noProof/>
                                <w:sz w:val="22"/>
                              </w:rPr>
                            </w:pPr>
                            <w:r>
                              <w:rPr>
                                <w:noProof/>
                                <w:color w:val="767171"/>
                                <w:sz w:val="22"/>
                              </w:rPr>
                              <w:t>TF-A7984</w:t>
                            </w:r>
                          </w:p>
                        </w:tc>
                        <w:tc>
                          <w:tcPr>
                            <w:tcW w:w="2969" w:type="dxa"/>
                            <w:tcBorders>
                              <w:bottom w:val="single" w:sz="8" w:space="0" w:color="AEAAAA"/>
                              <w:right w:val="single" w:sz="8" w:space="0" w:color="AEAAAA"/>
                            </w:tcBorders>
                            <w:shd w:val="clear" w:color="auto" w:fill="F7F7F7"/>
                            <w:tcMar>
                              <w:top w:w="0" w:type="dxa"/>
                              <w:left w:w="120" w:type="dxa"/>
                              <w:bottom w:w="0" w:type="dxa"/>
                              <w:right w:w="125" w:type="dxa"/>
                            </w:tcMar>
                            <w:hideMark/>
                          </w:tcPr>
                          <w:p w14:paraId="3E66D04A" w14:textId="77777777" w:rsidR="00DD6229" w:rsidRDefault="00D310E2" w:rsidP="00BB2B1E">
                            <w:pPr>
                              <w:pStyle w:val="MsoNormal0"/>
                              <w:spacing w:after="0" w:line="257" w:lineRule="auto"/>
                              <w:jc w:val="right"/>
                              <w:rPr>
                                <w:noProof/>
                                <w:sz w:val="22"/>
                              </w:rPr>
                            </w:pPr>
                            <w:r>
                              <w:rPr>
                                <w:noProof/>
                                <w:color w:val="767171"/>
                                <w:sz w:val="22"/>
                              </w:rPr>
                              <w:t>2,393,224.00</w:t>
                            </w:r>
                          </w:p>
                        </w:tc>
                        <w:tc>
                          <w:tcPr>
                            <w:tcW w:w="2812" w:type="dxa"/>
                            <w:tcBorders>
                              <w:bottom w:val="single" w:sz="8" w:space="0" w:color="AEAAAA"/>
                              <w:right w:val="single" w:sz="8" w:space="0" w:color="AEAAAA"/>
                            </w:tcBorders>
                            <w:shd w:val="clear" w:color="auto" w:fill="F7F7F7"/>
                            <w:tcMar>
                              <w:top w:w="0" w:type="dxa"/>
                              <w:left w:w="120" w:type="dxa"/>
                              <w:bottom w:w="0" w:type="dxa"/>
                              <w:right w:w="125" w:type="dxa"/>
                            </w:tcMar>
                            <w:hideMark/>
                          </w:tcPr>
                          <w:p w14:paraId="095179C2" w14:textId="77777777" w:rsidR="00DD6229" w:rsidRDefault="00D310E2" w:rsidP="00BB2B1E">
                            <w:pPr>
                              <w:pStyle w:val="MsoNormal0"/>
                              <w:spacing w:after="0" w:line="257" w:lineRule="auto"/>
                              <w:jc w:val="right"/>
                              <w:rPr>
                                <w:noProof/>
                                <w:sz w:val="22"/>
                              </w:rPr>
                            </w:pPr>
                            <w:r>
                              <w:rPr>
                                <w:noProof/>
                                <w:color w:val="767171"/>
                                <w:sz w:val="22"/>
                              </w:rPr>
                              <w:t>2,392,050.88</w:t>
                            </w:r>
                          </w:p>
                        </w:tc>
                        <w:tc>
                          <w:tcPr>
                            <w:tcW w:w="3085" w:type="dxa"/>
                            <w:tcBorders>
                              <w:bottom w:val="single" w:sz="8" w:space="0" w:color="AEAAAA"/>
                            </w:tcBorders>
                            <w:shd w:val="clear" w:color="auto" w:fill="F7F7F7"/>
                            <w:tcMar>
                              <w:top w:w="0" w:type="dxa"/>
                              <w:left w:w="120" w:type="dxa"/>
                              <w:bottom w:w="0" w:type="dxa"/>
                              <w:right w:w="120" w:type="dxa"/>
                            </w:tcMar>
                            <w:hideMark/>
                          </w:tcPr>
                          <w:p w14:paraId="15B8B6E9" w14:textId="77777777" w:rsidR="00DD6229" w:rsidRDefault="00D310E2" w:rsidP="00BB2B1E">
                            <w:pPr>
                              <w:pStyle w:val="MsoNormal0"/>
                              <w:spacing w:after="0" w:line="257" w:lineRule="auto"/>
                              <w:jc w:val="right"/>
                              <w:rPr>
                                <w:noProof/>
                                <w:sz w:val="22"/>
                              </w:rPr>
                            </w:pPr>
                            <w:r>
                              <w:rPr>
                                <w:noProof/>
                                <w:color w:val="767171"/>
                                <w:sz w:val="22"/>
                              </w:rPr>
                              <w:t>2,392,050.88</w:t>
                            </w:r>
                          </w:p>
                        </w:tc>
                      </w:tr>
                      <w:tr w:rsidR="00DD6229" w14:paraId="7D2701BB" w14:textId="77777777">
                        <w:trPr>
                          <w:trHeight w:val="80"/>
                        </w:trPr>
                        <w:tc>
                          <w:tcPr>
                            <w:tcW w:w="2969" w:type="dxa"/>
                            <w:tcBorders>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4317245B" w14:textId="77777777" w:rsidR="00DD6229" w:rsidRDefault="00D310E2" w:rsidP="00BB2B1E">
                            <w:pPr>
                              <w:pStyle w:val="MsoNormal0"/>
                              <w:spacing w:after="0" w:line="257" w:lineRule="auto"/>
                              <w:jc w:val="both"/>
                              <w:rPr>
                                <w:noProof/>
                                <w:sz w:val="22"/>
                              </w:rPr>
                            </w:pPr>
                            <w:r>
                              <w:rPr>
                                <w:b/>
                                <w:bCs/>
                                <w:noProof/>
                                <w:color w:val="767171"/>
                                <w:sz w:val="22"/>
                              </w:rPr>
                              <w:t>Total</w:t>
                            </w:r>
                          </w:p>
                        </w:tc>
                        <w:tc>
                          <w:tcPr>
                            <w:tcW w:w="2969" w:type="dxa"/>
                            <w:tcBorders>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69DA976A" w14:textId="77777777" w:rsidR="00DD6229" w:rsidRDefault="00D310E2" w:rsidP="00BB2B1E">
                            <w:pPr>
                              <w:pStyle w:val="MsoNormal0"/>
                              <w:spacing w:after="0" w:line="257" w:lineRule="auto"/>
                              <w:jc w:val="right"/>
                              <w:rPr>
                                <w:noProof/>
                                <w:sz w:val="22"/>
                              </w:rPr>
                            </w:pPr>
                            <w:r>
                              <w:rPr>
                                <w:b/>
                                <w:bCs/>
                                <w:noProof/>
                                <w:color w:val="767171"/>
                                <w:sz w:val="22"/>
                              </w:rPr>
                              <w:t xml:space="preserve">20,903,224.00 </w:t>
                            </w:r>
                          </w:p>
                        </w:tc>
                        <w:tc>
                          <w:tcPr>
                            <w:tcW w:w="2812" w:type="dxa"/>
                            <w:tcBorders>
                              <w:bottom w:val="single" w:sz="8" w:space="0" w:color="AEAAAA"/>
                              <w:right w:val="single" w:sz="8" w:space="0" w:color="AEAAAA"/>
                            </w:tcBorders>
                            <w:shd w:val="clear" w:color="auto" w:fill="F7F7F7"/>
                            <w:tcMar>
                              <w:top w:w="0" w:type="dxa"/>
                              <w:left w:w="120" w:type="dxa"/>
                              <w:bottom w:w="0" w:type="dxa"/>
                              <w:right w:w="125" w:type="dxa"/>
                            </w:tcMar>
                            <w:vAlign w:val="center"/>
                            <w:hideMark/>
                          </w:tcPr>
                          <w:p w14:paraId="01EFADFB" w14:textId="77777777" w:rsidR="00DD6229" w:rsidRDefault="00D310E2" w:rsidP="00BB2B1E">
                            <w:pPr>
                              <w:pStyle w:val="MsoNormal0"/>
                              <w:spacing w:after="0" w:line="257" w:lineRule="auto"/>
                              <w:jc w:val="right"/>
                              <w:rPr>
                                <w:noProof/>
                                <w:sz w:val="22"/>
                              </w:rPr>
                            </w:pPr>
                            <w:r>
                              <w:rPr>
                                <w:b/>
                                <w:bCs/>
                                <w:noProof/>
                                <w:color w:val="767171"/>
                                <w:sz w:val="22"/>
                              </w:rPr>
                              <w:t xml:space="preserve">19,775,394.88 </w:t>
                            </w:r>
                          </w:p>
                        </w:tc>
                        <w:tc>
                          <w:tcPr>
                            <w:tcW w:w="3085" w:type="dxa"/>
                            <w:tcBorders>
                              <w:bottom w:val="single" w:sz="8" w:space="0" w:color="AEAAAA"/>
                            </w:tcBorders>
                            <w:shd w:val="clear" w:color="auto" w:fill="F7F7F7"/>
                            <w:tcMar>
                              <w:top w:w="0" w:type="dxa"/>
                              <w:left w:w="120" w:type="dxa"/>
                              <w:bottom w:w="0" w:type="dxa"/>
                              <w:right w:w="120" w:type="dxa"/>
                            </w:tcMar>
                            <w:vAlign w:val="center"/>
                            <w:hideMark/>
                          </w:tcPr>
                          <w:p w14:paraId="62F21BF2" w14:textId="77777777" w:rsidR="00DD6229" w:rsidRDefault="00D310E2" w:rsidP="00BB2B1E">
                            <w:pPr>
                              <w:pStyle w:val="MsoNormal0"/>
                              <w:spacing w:after="0" w:line="257" w:lineRule="auto"/>
                              <w:jc w:val="right"/>
                              <w:rPr>
                                <w:noProof/>
                                <w:sz w:val="22"/>
                              </w:rPr>
                            </w:pPr>
                            <w:r>
                              <w:rPr>
                                <w:b/>
                                <w:bCs/>
                                <w:noProof/>
                                <w:color w:val="767171"/>
                                <w:sz w:val="22"/>
                              </w:rPr>
                              <w:t xml:space="preserve">20,346,985.21 </w:t>
                            </w:r>
                          </w:p>
                        </w:tc>
                      </w:tr>
                    </w:tbl>
                    <w:p w14:paraId="5C7A6C93" w14:textId="77777777" w:rsidR="001D4738" w:rsidRPr="00DC4148" w:rsidRDefault="001D4738" w:rsidP="00BB2B1E">
                      <w:pPr>
                        <w:spacing w:line="257" w:lineRule="auto"/>
                        <w:rPr>
                          <w:noProof/>
                          <w:szCs w:val="22"/>
                        </w:rPr>
                      </w:pPr>
                    </w:p>
                  </w:tc>
                </w:tr>
              </w:tbl>
              <w:p w14:paraId="39E53873" w14:textId="77777777" w:rsidR="00306DCB" w:rsidRDefault="00306DCB" w:rsidP="00306DCB">
                <w:pPr>
                  <w:ind w:right="29" w:firstLine="720"/>
                </w:pPr>
              </w:p>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6278A3F7" w14:textId="77777777" w:rsidTr="00A53150">
                  <w:trPr>
                    <w:trHeight w:val="432"/>
                  </w:trPr>
                  <w:tc>
                    <w:tcPr>
                      <w:tcW w:w="10895" w:type="dxa"/>
                      <w:shd w:val="clear" w:color="auto" w:fill="F2F2F2" w:themeFill="background1" w:themeFillShade="F2"/>
                      <w:vAlign w:val="center"/>
                      <w:hideMark/>
                    </w:tcPr>
                    <w:p w14:paraId="29B366BA" w14:textId="77777777" w:rsidR="00306DCB" w:rsidRPr="00A307E2" w:rsidRDefault="00D310E2" w:rsidP="00306DCB">
                      <w:pPr>
                        <w:rPr>
                          <w:b/>
                          <w:bCs/>
                          <w:szCs w:val="22"/>
                        </w:rPr>
                      </w:pPr>
                      <w:r w:rsidRPr="00A307E2">
                        <w:rPr>
                          <w:b/>
                          <w:szCs w:val="22"/>
                        </w:rPr>
                        <w:t>RESTRUCTURING AND/OR ADDITIONAL FINANCING</w:t>
                      </w:r>
                    </w:p>
                  </w:tc>
                </w:tr>
              </w:tbl>
              <w:p w14:paraId="493735FD" w14:textId="77777777" w:rsidR="00306DCB" w:rsidRDefault="00306DCB" w:rsidP="00306DCB">
                <w:pPr>
                  <w:ind w:right="29"/>
                </w:pPr>
              </w:p>
              <w:tbl>
                <w:tblPr>
                  <w:tblStyle w:val="TableGrid"/>
                  <w:tblW w:w="10859"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10859"/>
                </w:tblGrid>
                <w:tr w:rsidR="00DD6229" w14:paraId="18FB373C" w14:textId="77777777" w:rsidTr="003671FB">
                  <w:trPr>
                    <w:trHeight w:val="416"/>
                  </w:trPr>
                  <w:tc>
                    <w:tcPr>
                      <w:tcW w:w="10859" w:type="dxa"/>
                      <w:tcBorders>
                        <w:top w:val="nil"/>
                        <w:bottom w:val="nil"/>
                      </w:tcBorders>
                      <w:tcMar>
                        <w:left w:w="0" w:type="dxa"/>
                        <w:right w:w="0" w:type="dxa"/>
                      </w:tcMar>
                      <w:vAlign w:val="center"/>
                    </w:tcPr>
                    <w:tbl>
                      <w:tblPr>
                        <w:tblStyle w:val="MsoTableGrid0"/>
                        <w:tblW w:w="10772" w:type="dxa"/>
                        <w:shd w:val="clear" w:color="auto" w:fill="F7F7F7"/>
                        <w:tblLayout w:type="fixed"/>
                        <w:tblCellMar>
                          <w:left w:w="0" w:type="dxa"/>
                          <w:right w:w="0" w:type="dxa"/>
                        </w:tblCellMar>
                        <w:tblLook w:val="05E0" w:firstRow="1" w:lastRow="1" w:firstColumn="1" w:lastColumn="1" w:noHBand="0" w:noVBand="1"/>
                      </w:tblPr>
                      <w:tblGrid>
                        <w:gridCol w:w="1858"/>
                        <w:gridCol w:w="1964"/>
                        <w:gridCol w:w="1964"/>
                        <w:gridCol w:w="4986"/>
                      </w:tblGrid>
                      <w:tr w:rsidR="00DD6229" w14:paraId="47D9C871" w14:textId="77777777">
                        <w:trPr>
                          <w:trHeight w:val="374"/>
                        </w:trPr>
                        <w:tc>
                          <w:tcPr>
                            <w:tcW w:w="2017" w:type="dxa"/>
                            <w:tcBorders>
                              <w:top w:val="single" w:sz="8" w:space="0" w:color="D0CECE"/>
                              <w:bottom w:val="single" w:sz="8" w:space="0" w:color="AEAAAA"/>
                              <w:right w:val="single" w:sz="8" w:space="0" w:color="D0CECE"/>
                            </w:tcBorders>
                            <w:shd w:val="clear" w:color="auto" w:fill="F2F2F2"/>
                            <w:tcMar>
                              <w:top w:w="0" w:type="dxa"/>
                              <w:left w:w="120" w:type="dxa"/>
                              <w:bottom w:w="0" w:type="dxa"/>
                              <w:right w:w="125" w:type="dxa"/>
                            </w:tcMar>
                            <w:vAlign w:val="center"/>
                            <w:hideMark/>
                          </w:tcPr>
                          <w:p w14:paraId="661EFD08" w14:textId="77777777" w:rsidR="00DD6229" w:rsidRDefault="00D310E2" w:rsidP="003671FB">
                            <w:pPr>
                              <w:pStyle w:val="MsoNormal0"/>
                              <w:spacing w:after="0" w:line="257" w:lineRule="auto"/>
                              <w:ind w:left="14" w:hanging="14"/>
                              <w:jc w:val="center"/>
                              <w:rPr>
                                <w:noProof/>
                                <w:sz w:val="22"/>
                              </w:rPr>
                            </w:pPr>
                            <w:r>
                              <w:rPr>
                                <w:noProof/>
                                <w:color w:val="767171"/>
                                <w:sz w:val="22"/>
                              </w:rPr>
                              <w:t>Date(s)</w:t>
                            </w:r>
                          </w:p>
                        </w:tc>
                        <w:tc>
                          <w:tcPr>
                            <w:tcW w:w="2135" w:type="dxa"/>
                            <w:tcBorders>
                              <w:top w:val="single" w:sz="8" w:space="0" w:color="D0CECE"/>
                              <w:bottom w:val="single" w:sz="8" w:space="0" w:color="AEAAAA"/>
                              <w:right w:val="single" w:sz="8" w:space="0" w:color="D0CECE"/>
                            </w:tcBorders>
                            <w:shd w:val="clear" w:color="auto" w:fill="F2F2F2"/>
                            <w:tcMar>
                              <w:top w:w="0" w:type="dxa"/>
                              <w:left w:w="120" w:type="dxa"/>
                              <w:bottom w:w="0" w:type="dxa"/>
                              <w:right w:w="125" w:type="dxa"/>
                            </w:tcMar>
                            <w:vAlign w:val="center"/>
                            <w:hideMark/>
                          </w:tcPr>
                          <w:p w14:paraId="4DDDF8BE" w14:textId="77777777" w:rsidR="00DD6229" w:rsidRDefault="00D310E2" w:rsidP="003671FB">
                            <w:pPr>
                              <w:pStyle w:val="MsoNormal0"/>
                              <w:spacing w:after="0" w:line="257" w:lineRule="auto"/>
                              <w:ind w:left="14" w:hanging="14"/>
                              <w:jc w:val="center"/>
                              <w:rPr>
                                <w:noProof/>
                                <w:sz w:val="22"/>
                              </w:rPr>
                            </w:pPr>
                            <w:r>
                              <w:rPr>
                                <w:noProof/>
                                <w:color w:val="767171"/>
                                <w:sz w:val="22"/>
                              </w:rPr>
                              <w:t>Type</w:t>
                            </w:r>
                          </w:p>
                        </w:tc>
                        <w:tc>
                          <w:tcPr>
                            <w:tcW w:w="2135" w:type="dxa"/>
                            <w:tcBorders>
                              <w:top w:val="single" w:sz="8" w:space="0" w:color="D0CECE"/>
                              <w:bottom w:val="single" w:sz="8" w:space="0" w:color="AEAAAA"/>
                              <w:right w:val="single" w:sz="8" w:space="0" w:color="D0CECE"/>
                            </w:tcBorders>
                            <w:shd w:val="clear" w:color="auto" w:fill="F2F2F2"/>
                            <w:tcMar>
                              <w:top w:w="0" w:type="dxa"/>
                              <w:left w:w="120" w:type="dxa"/>
                              <w:bottom w:w="0" w:type="dxa"/>
                              <w:right w:w="125" w:type="dxa"/>
                            </w:tcMar>
                            <w:vAlign w:val="center"/>
                            <w:hideMark/>
                          </w:tcPr>
                          <w:p w14:paraId="579C6CE2" w14:textId="77777777" w:rsidR="00DD6229" w:rsidRDefault="00D310E2" w:rsidP="003671FB">
                            <w:pPr>
                              <w:pStyle w:val="MsoNormal0"/>
                              <w:spacing w:after="0" w:line="257" w:lineRule="auto"/>
                              <w:ind w:left="14" w:hanging="14"/>
                              <w:jc w:val="both"/>
                              <w:rPr>
                                <w:noProof/>
                                <w:sz w:val="22"/>
                              </w:rPr>
                            </w:pPr>
                            <w:r>
                              <w:rPr>
                                <w:noProof/>
                                <w:color w:val="767171"/>
                                <w:sz w:val="22"/>
                              </w:rPr>
                              <w:t>Amount Disbursed (US$M)</w:t>
                            </w:r>
                          </w:p>
                        </w:tc>
                        <w:tc>
                          <w:tcPr>
                            <w:tcW w:w="5460" w:type="dxa"/>
                            <w:tcBorders>
                              <w:top w:val="single" w:sz="8" w:space="0" w:color="D0CECE"/>
                              <w:bottom w:val="single" w:sz="8" w:space="0" w:color="AEAAAA"/>
                            </w:tcBorders>
                            <w:shd w:val="clear" w:color="auto" w:fill="F2F2F2"/>
                            <w:tcMar>
                              <w:top w:w="0" w:type="dxa"/>
                              <w:left w:w="120" w:type="dxa"/>
                              <w:bottom w:w="0" w:type="dxa"/>
                              <w:right w:w="120" w:type="dxa"/>
                            </w:tcMar>
                            <w:vAlign w:val="center"/>
                            <w:hideMark/>
                          </w:tcPr>
                          <w:p w14:paraId="270A0E78" w14:textId="77777777" w:rsidR="00DD6229" w:rsidRDefault="00D310E2" w:rsidP="003671FB">
                            <w:pPr>
                              <w:pStyle w:val="MsoNormal0"/>
                              <w:spacing w:after="0" w:line="257" w:lineRule="auto"/>
                              <w:ind w:left="86" w:hanging="14"/>
                              <w:jc w:val="center"/>
                              <w:rPr>
                                <w:noProof/>
                                <w:sz w:val="22"/>
                              </w:rPr>
                            </w:pPr>
                            <w:r>
                              <w:rPr>
                                <w:noProof/>
                                <w:color w:val="767171"/>
                                <w:sz w:val="22"/>
                              </w:rPr>
                              <w:t>Key Revisions</w:t>
                            </w:r>
                          </w:p>
                        </w:tc>
                      </w:tr>
                      <w:tr w:rsidR="00DD6229" w14:paraId="784F525D" w14:textId="77777777">
                        <w:trPr>
                          <w:trHeight w:val="432"/>
                        </w:trPr>
                        <w:tc>
                          <w:tcPr>
                            <w:tcW w:w="2017"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08EB6F65" w14:textId="77777777" w:rsidR="00DD6229" w:rsidRDefault="00D310E2" w:rsidP="003671FB">
                            <w:pPr>
                              <w:pStyle w:val="MsoNormal0"/>
                              <w:spacing w:after="0" w:line="257" w:lineRule="auto"/>
                              <w:ind w:left="14" w:hanging="14"/>
                              <w:jc w:val="center"/>
                              <w:rPr>
                                <w:noProof/>
                                <w:sz w:val="22"/>
                              </w:rPr>
                            </w:pPr>
                            <w:r>
                              <w:rPr>
                                <w:noProof/>
                                <w:color w:val="000000"/>
                                <w:sz w:val="22"/>
                              </w:rPr>
                              <w:t>03-Jan-2023</w:t>
                            </w:r>
                          </w:p>
                        </w:tc>
                        <w:tc>
                          <w:tcPr>
                            <w:tcW w:w="213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4B1D2F16" w14:textId="77777777" w:rsidR="00DD6229" w:rsidRDefault="00D310E2" w:rsidP="003671FB">
                            <w:pPr>
                              <w:pStyle w:val="MsoNormal0"/>
                              <w:spacing w:after="0" w:line="257" w:lineRule="auto"/>
                              <w:rPr>
                                <w:noProof/>
                                <w:sz w:val="22"/>
                              </w:rPr>
                            </w:pPr>
                            <w:r>
                              <w:rPr>
                                <w:noProof/>
                                <w:color w:val="000000"/>
                                <w:sz w:val="22"/>
                              </w:rPr>
                              <w:t>Portal</w:t>
                            </w:r>
                          </w:p>
                        </w:tc>
                        <w:tc>
                          <w:tcPr>
                            <w:tcW w:w="213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39A43E14" w14:textId="77777777" w:rsidR="00DD6229" w:rsidRDefault="00D310E2" w:rsidP="003671FB">
                            <w:pPr>
                              <w:pStyle w:val="MsoNormal0"/>
                              <w:spacing w:after="0" w:line="257" w:lineRule="auto"/>
                              <w:ind w:left="14" w:hanging="14"/>
                              <w:jc w:val="right"/>
                              <w:rPr>
                                <w:noProof/>
                                <w:sz w:val="22"/>
                              </w:rPr>
                            </w:pPr>
                            <w:r>
                              <w:rPr>
                                <w:noProof/>
                                <w:color w:val="000000"/>
                                <w:sz w:val="22"/>
                              </w:rPr>
                              <w:t xml:space="preserve">13.50 </w:t>
                            </w:r>
                          </w:p>
                        </w:tc>
                        <w:tc>
                          <w:tcPr>
                            <w:tcW w:w="5230" w:type="dxa"/>
                            <w:tcBorders>
                              <w:bottom w:val="single" w:sz="8" w:space="0" w:color="D0CECE"/>
                            </w:tcBorders>
                            <w:shd w:val="clear" w:color="auto" w:fill="F2F2F2"/>
                            <w:tcMar>
                              <w:top w:w="0" w:type="dxa"/>
                              <w:left w:w="0" w:type="dxa"/>
                              <w:bottom w:w="0" w:type="dxa"/>
                              <w:right w:w="0" w:type="dxa"/>
                            </w:tcMar>
                            <w:vAlign w:val="center"/>
                            <w:hideMark/>
                          </w:tcPr>
                          <w:p w14:paraId="6CEE4BFF"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Components</w:t>
                            </w:r>
                          </w:p>
                          <w:p w14:paraId="0CE66176"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Results</w:t>
                            </w:r>
                          </w:p>
                          <w:p w14:paraId="7D35AE07"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Risks</w:t>
                            </w:r>
                          </w:p>
                          <w:p w14:paraId="0F622B4C"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Disbursement Estimates</w:t>
                            </w:r>
                          </w:p>
                          <w:p w14:paraId="4423B3B0"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Loan Closing Date Extension</w:t>
                            </w:r>
                          </w:p>
                          <w:p w14:paraId="28B13FCE"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Reallocations</w:t>
                            </w:r>
                          </w:p>
                          <w:p w14:paraId="32E985A6"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Financial Management</w:t>
                            </w:r>
                          </w:p>
                          <w:p w14:paraId="43B8F38B"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Implementation Schedule</w:t>
                            </w:r>
                          </w:p>
                          <w:p w14:paraId="2963E4DA"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Other Changes</w:t>
                            </w:r>
                          </w:p>
                        </w:tc>
                      </w:tr>
                      <w:tr w:rsidR="00DD6229" w14:paraId="0E0113C0" w14:textId="77777777">
                        <w:trPr>
                          <w:trHeight w:val="432"/>
                        </w:trPr>
                        <w:tc>
                          <w:tcPr>
                            <w:tcW w:w="2017"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1617AB74" w14:textId="77777777" w:rsidR="00DD6229" w:rsidRDefault="00D310E2" w:rsidP="003671FB">
                            <w:pPr>
                              <w:pStyle w:val="MsoNormal0"/>
                              <w:spacing w:after="0" w:line="257" w:lineRule="auto"/>
                              <w:ind w:left="14" w:hanging="14"/>
                              <w:jc w:val="center"/>
                              <w:rPr>
                                <w:noProof/>
                                <w:sz w:val="22"/>
                              </w:rPr>
                            </w:pPr>
                            <w:r>
                              <w:rPr>
                                <w:noProof/>
                                <w:color w:val="000000"/>
                                <w:sz w:val="22"/>
                              </w:rPr>
                              <w:t>28-Apr-2024</w:t>
                            </w:r>
                          </w:p>
                        </w:tc>
                        <w:tc>
                          <w:tcPr>
                            <w:tcW w:w="213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251949C0" w14:textId="77777777" w:rsidR="00DD6229" w:rsidRDefault="00D310E2" w:rsidP="003671FB">
                            <w:pPr>
                              <w:pStyle w:val="MsoNormal0"/>
                              <w:spacing w:after="0" w:line="257" w:lineRule="auto"/>
                              <w:rPr>
                                <w:noProof/>
                                <w:sz w:val="22"/>
                              </w:rPr>
                            </w:pPr>
                            <w:r>
                              <w:rPr>
                                <w:noProof/>
                                <w:color w:val="000000"/>
                                <w:sz w:val="22"/>
                              </w:rPr>
                              <w:t>Portal</w:t>
                            </w:r>
                          </w:p>
                        </w:tc>
                        <w:tc>
                          <w:tcPr>
                            <w:tcW w:w="213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562EFE99" w14:textId="77777777" w:rsidR="00DD6229" w:rsidRDefault="00D310E2" w:rsidP="003671FB">
                            <w:pPr>
                              <w:pStyle w:val="MsoNormal0"/>
                              <w:spacing w:after="0" w:line="257" w:lineRule="auto"/>
                              <w:ind w:left="14" w:hanging="14"/>
                              <w:jc w:val="right"/>
                              <w:rPr>
                                <w:noProof/>
                                <w:sz w:val="22"/>
                              </w:rPr>
                            </w:pPr>
                            <w:r>
                              <w:rPr>
                                <w:noProof/>
                                <w:color w:val="000000"/>
                                <w:sz w:val="22"/>
                              </w:rPr>
                              <w:t xml:space="preserve">18.52 </w:t>
                            </w:r>
                          </w:p>
                        </w:tc>
                        <w:tc>
                          <w:tcPr>
                            <w:tcW w:w="5230" w:type="dxa"/>
                            <w:tcBorders>
                              <w:bottom w:val="single" w:sz="8" w:space="0" w:color="D0CECE"/>
                            </w:tcBorders>
                            <w:shd w:val="clear" w:color="auto" w:fill="F2F2F2"/>
                            <w:tcMar>
                              <w:top w:w="0" w:type="dxa"/>
                              <w:left w:w="0" w:type="dxa"/>
                              <w:bottom w:w="0" w:type="dxa"/>
                              <w:right w:w="0" w:type="dxa"/>
                            </w:tcMar>
                            <w:vAlign w:val="center"/>
                            <w:hideMark/>
                          </w:tcPr>
                          <w:p w14:paraId="63EA2818"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Loan Closing Date Extension</w:t>
                            </w:r>
                          </w:p>
                          <w:p w14:paraId="29110BDE" w14:textId="77777777" w:rsidR="00DD6229" w:rsidRDefault="00D310E2" w:rsidP="003671FB">
                            <w:pPr>
                              <w:pStyle w:val="MsoNormal0"/>
                              <w:spacing w:after="0" w:line="257" w:lineRule="auto"/>
                              <w:ind w:firstLine="120"/>
                              <w:rPr>
                                <w:noProof/>
                                <w:sz w:val="22"/>
                              </w:rPr>
                            </w:pPr>
                            <w:r>
                              <w:rPr>
                                <w:rFonts w:ascii="Symbol" w:eastAsia="Symbol" w:hAnsi="Symbol" w:cs="Symbol"/>
                                <w:noProof/>
                                <w:sz w:val="22"/>
                              </w:rPr>
                              <w:t>·</w:t>
                            </w:r>
                            <w:r>
                              <w:rPr>
                                <w:rFonts w:ascii="Times New Roman" w:eastAsia="Times New Roman" w:hAnsi="Times New Roman" w:cs="Times New Roman"/>
                                <w:noProof/>
                                <w:sz w:val="14"/>
                                <w:szCs w:val="14"/>
                              </w:rPr>
                              <w:t xml:space="preserve">   </w:t>
                            </w:r>
                            <w:r>
                              <w:rPr>
                                <w:noProof/>
                                <w:color w:val="000000"/>
                                <w:sz w:val="22"/>
                              </w:rPr>
                              <w:t>Reallocations</w:t>
                            </w:r>
                          </w:p>
                        </w:tc>
                      </w:tr>
                    </w:tbl>
                    <w:p w14:paraId="5A5F66E5" w14:textId="77777777" w:rsidR="000E013B" w:rsidRPr="00A307E2" w:rsidRDefault="000E013B" w:rsidP="003671FB">
                      <w:pPr>
                        <w:spacing w:line="257" w:lineRule="auto"/>
                        <w:rPr>
                          <w:noProof/>
                          <w:szCs w:val="22"/>
                          <w:highlight w:val="yellow"/>
                        </w:rPr>
                      </w:pPr>
                    </w:p>
                  </w:tc>
                </w:tr>
              </w:tbl>
              <w:p w14:paraId="7882BCAE" w14:textId="77777777" w:rsidR="00306DCB" w:rsidRPr="00306DCB" w:rsidRDefault="00000000" w:rsidP="00D3303E">
                <w:pPr>
                  <w:ind w:right="29"/>
                  <w:rPr>
                    <w:color w:val="FF0000"/>
                  </w:rPr>
                </w:pPr>
              </w:p>
            </w:tc>
          </w:tr>
        </w:tbl>
      </w:sdtContent>
    </w:sdt>
    <w:p w14:paraId="2A1413F7" w14:textId="77777777" w:rsidR="00D721CB" w:rsidRPr="00B83AE0" w:rsidRDefault="00D721CB" w:rsidP="007A58DF">
      <w:pPr>
        <w:rPr>
          <w:sz w:val="2"/>
          <w:szCs w:val="2"/>
        </w:rPr>
      </w:pPr>
    </w:p>
    <w:sdt>
      <w:sdtPr>
        <w:id w:val="197722442"/>
        <w:lock w:val="sdtContentLocked"/>
        <w:group/>
      </w:sdtPr>
      <w:sdtContent>
        <w:tbl>
          <w:tblPr>
            <w:tblStyle w:val="TableGrid"/>
            <w:tblW w:w="1086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Look w:val="04A0" w:firstRow="1" w:lastRow="0" w:firstColumn="1" w:lastColumn="0" w:noHBand="0" w:noVBand="1"/>
          </w:tblPr>
          <w:tblGrid>
            <w:gridCol w:w="10861"/>
          </w:tblGrid>
          <w:tr w:rsidR="00DD6229" w14:paraId="6BF1C58B" w14:textId="77777777" w:rsidTr="00A53150">
            <w:tc>
              <w:tcPr>
                <w:tcW w:w="10861" w:type="dxa"/>
                <w:shd w:val="clear" w:color="auto" w:fill="F7F7F7"/>
              </w:tcPr>
              <w:p w14:paraId="5F4EC53E" w14:textId="77777777" w:rsidR="001B523F" w:rsidRPr="00153685" w:rsidRDefault="00D310E2" w:rsidP="00D3303E">
                <w:pPr>
                  <w:ind w:right="29"/>
                  <w:rPr>
                    <w:color w:val="F7F7F7"/>
                  </w:rPr>
                </w:pPr>
                <w:r w:rsidRPr="00153685">
                  <w:rPr>
                    <w:color w:val="F7F7F7"/>
                  </w:rPr>
                  <w:t>@#&amp;OPS~Doctype~OPS^</w:t>
                </w:r>
                <w:r w:rsidR="006412EE" w:rsidRPr="00153685">
                  <w:rPr>
                    <w:color w:val="F7F7F7"/>
                  </w:rPr>
                  <w:t>dynamics</w:t>
                </w:r>
                <w:r w:rsidRPr="00153685">
                  <w:rPr>
                    <w:color w:val="F7F7F7"/>
                  </w:rPr>
                  <w:t>@</w:t>
                </w:r>
                <w:r w:rsidR="00153685" w:rsidRPr="001C79DA">
                  <w:rPr>
                    <w:color w:val="F7F7F7"/>
                  </w:rPr>
                  <w:t>icr</w:t>
                </w:r>
                <w:r w:rsidR="001C79DA" w:rsidRPr="001C79DA">
                  <w:rPr>
                    <w:color w:val="F7F7F7"/>
                  </w:rPr>
                  <w:t>keydates</w:t>
                </w:r>
                <w:r w:rsidRPr="00153685">
                  <w:rPr>
                    <w:color w:val="F7F7F7"/>
                  </w:rPr>
                  <w:t>#doctemplate</w:t>
                </w:r>
              </w:p>
            </w:tc>
          </w:tr>
          <w:tr w:rsidR="00DD6229" w14:paraId="76DCE97D" w14:textId="77777777" w:rsidTr="00A53150">
            <w:tc>
              <w:tcPr>
                <w:tcW w:w="10861" w:type="dxa"/>
                <w:shd w:val="clear" w:color="auto" w:fill="F7F7F7"/>
                <w:tcMar>
                  <w:left w:w="0" w:type="dxa"/>
                  <w:right w:w="0" w:type="dxa"/>
                </w:tcMar>
              </w:tcPr>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364DF46D" w14:textId="77777777" w:rsidTr="00A53150">
                  <w:trPr>
                    <w:trHeight w:val="432"/>
                  </w:trPr>
                  <w:tc>
                    <w:tcPr>
                      <w:tcW w:w="10895" w:type="dxa"/>
                      <w:shd w:val="clear" w:color="auto" w:fill="F2F2F2" w:themeFill="background1" w:themeFillShade="F2"/>
                      <w:vAlign w:val="center"/>
                      <w:hideMark/>
                    </w:tcPr>
                    <w:p w14:paraId="35346686" w14:textId="77777777" w:rsidR="00306DCB" w:rsidRPr="00DC4148" w:rsidRDefault="00D310E2" w:rsidP="00306DCB">
                      <w:pPr>
                        <w:rPr>
                          <w:b/>
                          <w:bCs/>
                          <w:szCs w:val="22"/>
                        </w:rPr>
                      </w:pPr>
                      <w:r>
                        <w:rPr>
                          <w:b/>
                          <w:bCs/>
                          <w:szCs w:val="22"/>
                        </w:rPr>
                        <w:t>KEY DATES</w:t>
                      </w:r>
                    </w:p>
                  </w:tc>
                </w:tr>
              </w:tbl>
              <w:p w14:paraId="67A6D9F4" w14:textId="77777777" w:rsidR="00306DCB" w:rsidRDefault="00306DCB" w:rsidP="00306DCB">
                <w:pPr>
                  <w:tabs>
                    <w:tab w:val="left" w:pos="1230"/>
                  </w:tabs>
                  <w:ind w:right="29"/>
                </w:pPr>
              </w:p>
              <w:tbl>
                <w:tblPr>
                  <w:tblStyle w:val="TableGrid"/>
                  <w:tblW w:w="108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0874"/>
                </w:tblGrid>
                <w:tr w:rsidR="00DD6229" w14:paraId="4B19A8AC" w14:textId="77777777" w:rsidTr="004668AD">
                  <w:trPr>
                    <w:trHeight w:val="397"/>
                  </w:trPr>
                  <w:tc>
                    <w:tcPr>
                      <w:tcW w:w="10874" w:type="dxa"/>
                      <w:tcMar>
                        <w:left w:w="0" w:type="dxa"/>
                        <w:right w:w="0" w:type="dxa"/>
                      </w:tcMar>
                      <w:vAlign w:val="center"/>
                    </w:tcPr>
                    <w:tbl>
                      <w:tblPr>
                        <w:tblStyle w:val="MsoTableGrid0"/>
                        <w:tblW w:w="11250" w:type="dxa"/>
                        <w:tblLayout w:type="fixed"/>
                        <w:tblCellMar>
                          <w:left w:w="0" w:type="dxa"/>
                          <w:right w:w="0" w:type="dxa"/>
                        </w:tblCellMar>
                        <w:tblLook w:val="05E0" w:firstRow="1" w:lastRow="1" w:firstColumn="1" w:lastColumn="1" w:noHBand="0" w:noVBand="1"/>
                      </w:tblPr>
                      <w:tblGrid>
                        <w:gridCol w:w="5283"/>
                        <w:gridCol w:w="10"/>
                        <w:gridCol w:w="3108"/>
                        <w:gridCol w:w="2849"/>
                      </w:tblGrid>
                      <w:tr w:rsidR="00DD6229" w14:paraId="45422E3D" w14:textId="77777777">
                        <w:trPr>
                          <w:trHeight w:val="18"/>
                        </w:trPr>
                        <w:tc>
                          <w:tcPr>
                            <w:tcW w:w="5644" w:type="dxa"/>
                            <w:gridSpan w:val="2"/>
                            <w:tcBorders>
                              <w:right w:val="single" w:sz="8" w:space="0" w:color="D9D9D9"/>
                            </w:tcBorders>
                            <w:tcMar>
                              <w:top w:w="72" w:type="dxa"/>
                              <w:left w:w="120" w:type="dxa"/>
                              <w:bottom w:w="72" w:type="dxa"/>
                              <w:right w:w="125" w:type="dxa"/>
                            </w:tcMar>
                            <w:vAlign w:val="center"/>
                            <w:hideMark/>
                          </w:tcPr>
                          <w:p w14:paraId="0704561D" w14:textId="77777777" w:rsidR="00DD6229" w:rsidRDefault="00D310E2" w:rsidP="00BB2B1E">
                            <w:pPr>
                              <w:pStyle w:val="MsoNormal0"/>
                              <w:spacing w:after="0" w:line="257" w:lineRule="auto"/>
                              <w:jc w:val="center"/>
                              <w:rPr>
                                <w:noProof/>
                                <w:sz w:val="22"/>
                              </w:rPr>
                            </w:pPr>
                            <w:r>
                              <w:rPr>
                                <w:noProof/>
                                <w:color w:val="595959"/>
                                <w:sz w:val="22"/>
                              </w:rPr>
                              <w:t>Key Events</w:t>
                            </w:r>
                          </w:p>
                        </w:tc>
                        <w:tc>
                          <w:tcPr>
                            <w:tcW w:w="3306" w:type="dxa"/>
                            <w:tcBorders>
                              <w:right w:val="single" w:sz="8" w:space="0" w:color="D9D9D9"/>
                            </w:tcBorders>
                            <w:tcMar>
                              <w:top w:w="72" w:type="dxa"/>
                              <w:left w:w="120" w:type="dxa"/>
                              <w:bottom w:w="72" w:type="dxa"/>
                              <w:right w:w="125" w:type="dxa"/>
                            </w:tcMar>
                            <w:vAlign w:val="center"/>
                            <w:hideMark/>
                          </w:tcPr>
                          <w:p w14:paraId="4C683C4C" w14:textId="77777777" w:rsidR="00DD6229" w:rsidRDefault="00D310E2" w:rsidP="00BB2B1E">
                            <w:pPr>
                              <w:pStyle w:val="MsoNormal0"/>
                              <w:spacing w:after="0" w:line="257" w:lineRule="auto"/>
                              <w:jc w:val="center"/>
                              <w:rPr>
                                <w:noProof/>
                                <w:sz w:val="22"/>
                              </w:rPr>
                            </w:pPr>
                            <w:r>
                              <w:rPr>
                                <w:noProof/>
                                <w:color w:val="595959"/>
                                <w:sz w:val="22"/>
                              </w:rPr>
                              <w:t>Planned Date</w:t>
                            </w:r>
                          </w:p>
                        </w:tc>
                        <w:tc>
                          <w:tcPr>
                            <w:tcW w:w="3030" w:type="dxa"/>
                            <w:tcMar>
                              <w:top w:w="72" w:type="dxa"/>
                              <w:left w:w="120" w:type="dxa"/>
                              <w:bottom w:w="72" w:type="dxa"/>
                              <w:right w:w="120" w:type="dxa"/>
                            </w:tcMar>
                            <w:vAlign w:val="center"/>
                            <w:hideMark/>
                          </w:tcPr>
                          <w:p w14:paraId="55DE1E6D" w14:textId="77777777" w:rsidR="00DD6229" w:rsidRDefault="00D310E2" w:rsidP="00BB2B1E">
                            <w:pPr>
                              <w:pStyle w:val="MsoNormal0"/>
                              <w:spacing w:after="0" w:line="257" w:lineRule="auto"/>
                              <w:jc w:val="center"/>
                              <w:rPr>
                                <w:noProof/>
                                <w:sz w:val="22"/>
                              </w:rPr>
                            </w:pPr>
                            <w:r>
                              <w:rPr>
                                <w:noProof/>
                                <w:color w:val="595959"/>
                                <w:sz w:val="22"/>
                              </w:rPr>
                              <w:t>Actual Date</w:t>
                            </w:r>
                          </w:p>
                        </w:tc>
                      </w:tr>
                      <w:tr w:rsidR="00DD6229" w14:paraId="39DE5646"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16F4B08E" w14:textId="77777777" w:rsidR="00DD6229" w:rsidRDefault="00D310E2" w:rsidP="00BB2B1E">
                            <w:pPr>
                              <w:pStyle w:val="MsoNormal0"/>
                              <w:spacing w:after="0" w:line="257" w:lineRule="auto"/>
                              <w:rPr>
                                <w:noProof/>
                                <w:sz w:val="22"/>
                              </w:rPr>
                            </w:pPr>
                            <w:r>
                              <w:rPr>
                                <w:noProof/>
                                <w:color w:val="262626"/>
                                <w:sz w:val="22"/>
                              </w:rPr>
                              <w:t>Concept Review</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4425FB9F" w14:textId="77777777" w:rsidR="00DD6229" w:rsidRDefault="00D310E2" w:rsidP="00BB2B1E">
                            <w:pPr>
                              <w:pStyle w:val="MsoNormal0"/>
                              <w:spacing w:after="0" w:line="257" w:lineRule="auto"/>
                              <w:jc w:val="center"/>
                              <w:rPr>
                                <w:noProof/>
                                <w:sz w:val="22"/>
                              </w:rPr>
                            </w:pPr>
                            <w:r>
                              <w:rPr>
                                <w:noProof/>
                                <w:color w:val="262626"/>
                                <w:sz w:val="22"/>
                              </w:rPr>
                              <w:t>03-Mar-2017</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0032D9E8" w14:textId="77777777" w:rsidR="00DD6229" w:rsidRDefault="00D310E2" w:rsidP="00BB2B1E">
                            <w:pPr>
                              <w:pStyle w:val="MsoNormal0"/>
                              <w:spacing w:after="0" w:line="257" w:lineRule="auto"/>
                              <w:jc w:val="center"/>
                              <w:rPr>
                                <w:noProof/>
                                <w:sz w:val="22"/>
                              </w:rPr>
                            </w:pPr>
                            <w:r>
                              <w:rPr>
                                <w:noProof/>
                                <w:color w:val="262626"/>
                                <w:sz w:val="22"/>
                              </w:rPr>
                              <w:t>13-Apr-2017</w:t>
                            </w:r>
                          </w:p>
                        </w:tc>
                      </w:tr>
                      <w:tr w:rsidR="00DD6229" w14:paraId="778D49F3"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1A08FBA" w14:textId="77777777" w:rsidR="00DD6229" w:rsidRDefault="00D310E2" w:rsidP="00BB2B1E">
                            <w:pPr>
                              <w:pStyle w:val="MsoNormal0"/>
                              <w:spacing w:after="0" w:line="257" w:lineRule="auto"/>
                              <w:rPr>
                                <w:noProof/>
                                <w:sz w:val="22"/>
                              </w:rPr>
                            </w:pPr>
                            <w:r>
                              <w:rPr>
                                <w:noProof/>
                                <w:color w:val="262626"/>
                                <w:sz w:val="22"/>
                              </w:rPr>
                              <w:t>Decision Review</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7B6A1B2" w14:textId="77777777" w:rsidR="00DD6229" w:rsidRDefault="00D310E2" w:rsidP="00BB2B1E">
                            <w:pPr>
                              <w:pStyle w:val="MsoNormal0"/>
                              <w:spacing w:after="0" w:line="257" w:lineRule="auto"/>
                              <w:jc w:val="center"/>
                              <w:rPr>
                                <w:noProof/>
                                <w:sz w:val="22"/>
                              </w:rPr>
                            </w:pPr>
                            <w:r>
                              <w:rPr>
                                <w:noProof/>
                                <w:color w:val="262626"/>
                                <w:sz w:val="22"/>
                              </w:rPr>
                              <w:t>27-Mar-2018</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2465FC50" w14:textId="77777777" w:rsidR="00DD6229" w:rsidRDefault="00D310E2" w:rsidP="00BB2B1E">
                            <w:pPr>
                              <w:pStyle w:val="MsoNormal0"/>
                              <w:spacing w:after="0" w:line="257" w:lineRule="auto"/>
                              <w:jc w:val="center"/>
                              <w:rPr>
                                <w:noProof/>
                                <w:sz w:val="22"/>
                              </w:rPr>
                            </w:pPr>
                            <w:r>
                              <w:rPr>
                                <w:noProof/>
                                <w:color w:val="262626"/>
                                <w:sz w:val="22"/>
                              </w:rPr>
                              <w:t>26-Mar-2018</w:t>
                            </w:r>
                          </w:p>
                        </w:tc>
                      </w:tr>
                      <w:tr w:rsidR="00DD6229" w14:paraId="64FB5961"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025AD4A9" w14:textId="77777777" w:rsidR="00DD6229" w:rsidRDefault="00D310E2" w:rsidP="00BB2B1E">
                            <w:pPr>
                              <w:pStyle w:val="MsoNormal0"/>
                              <w:spacing w:after="0" w:line="257" w:lineRule="auto"/>
                              <w:rPr>
                                <w:noProof/>
                                <w:sz w:val="22"/>
                              </w:rPr>
                            </w:pPr>
                            <w:r>
                              <w:rPr>
                                <w:noProof/>
                                <w:color w:val="262626"/>
                                <w:sz w:val="22"/>
                              </w:rPr>
                              <w:t>Authorize Negotiations</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719D01BA" w14:textId="77777777" w:rsidR="00DD6229" w:rsidRDefault="00D310E2" w:rsidP="00BB2B1E">
                            <w:pPr>
                              <w:pStyle w:val="MsoNormal0"/>
                              <w:spacing w:after="0" w:line="257" w:lineRule="auto"/>
                              <w:jc w:val="center"/>
                              <w:rPr>
                                <w:noProof/>
                                <w:sz w:val="22"/>
                              </w:rPr>
                            </w:pPr>
                            <w:r>
                              <w:rPr>
                                <w:noProof/>
                                <w:color w:val="262626"/>
                                <w:sz w:val="22"/>
                              </w:rPr>
                              <w:t>10-Jul-2018</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2F582E77" w14:textId="77777777" w:rsidR="00DD6229" w:rsidRDefault="00D310E2" w:rsidP="00BB2B1E">
                            <w:pPr>
                              <w:pStyle w:val="MsoNormal0"/>
                              <w:spacing w:after="0" w:line="257" w:lineRule="auto"/>
                              <w:jc w:val="center"/>
                              <w:rPr>
                                <w:noProof/>
                                <w:sz w:val="22"/>
                              </w:rPr>
                            </w:pPr>
                            <w:r>
                              <w:rPr>
                                <w:noProof/>
                                <w:color w:val="262626"/>
                                <w:sz w:val="22"/>
                              </w:rPr>
                              <w:t>05-Jul-2018</w:t>
                            </w:r>
                          </w:p>
                        </w:tc>
                      </w:tr>
                      <w:tr w:rsidR="00DD6229" w14:paraId="0878D2D5"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19A0C963" w14:textId="77777777" w:rsidR="00DD6229" w:rsidRDefault="00D310E2" w:rsidP="00BB2B1E">
                            <w:pPr>
                              <w:pStyle w:val="MsoNormal0"/>
                              <w:spacing w:after="0" w:line="257" w:lineRule="auto"/>
                              <w:rPr>
                                <w:noProof/>
                                <w:sz w:val="22"/>
                              </w:rPr>
                            </w:pPr>
                            <w:r>
                              <w:rPr>
                                <w:noProof/>
                                <w:color w:val="262626"/>
                                <w:sz w:val="22"/>
                              </w:rPr>
                              <w:t>Approval</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485AAB10" w14:textId="77777777" w:rsidR="00DD6229" w:rsidRDefault="00D310E2" w:rsidP="00BB2B1E">
                            <w:pPr>
                              <w:pStyle w:val="MsoNormal0"/>
                              <w:spacing w:after="0" w:line="257" w:lineRule="auto"/>
                              <w:jc w:val="center"/>
                              <w:rPr>
                                <w:noProof/>
                                <w:sz w:val="22"/>
                              </w:rPr>
                            </w:pPr>
                            <w:r>
                              <w:rPr>
                                <w:noProof/>
                                <w:color w:val="262626"/>
                                <w:sz w:val="22"/>
                              </w:rPr>
                              <w:t>28-Aug-2018</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59616552" w14:textId="77777777" w:rsidR="00DD6229" w:rsidRDefault="00D310E2" w:rsidP="00BB2B1E">
                            <w:pPr>
                              <w:pStyle w:val="MsoNormal0"/>
                              <w:spacing w:after="0" w:line="257" w:lineRule="auto"/>
                              <w:jc w:val="center"/>
                              <w:rPr>
                                <w:noProof/>
                                <w:sz w:val="22"/>
                              </w:rPr>
                            </w:pPr>
                            <w:r>
                              <w:rPr>
                                <w:noProof/>
                                <w:color w:val="262626"/>
                                <w:sz w:val="22"/>
                              </w:rPr>
                              <w:t>28-Aug-2018</w:t>
                            </w:r>
                          </w:p>
                        </w:tc>
                      </w:tr>
                      <w:tr w:rsidR="00DD6229" w14:paraId="06127C4A"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1E3CF944" w14:textId="77777777" w:rsidR="00DD6229" w:rsidRDefault="00D310E2" w:rsidP="00BB2B1E">
                            <w:pPr>
                              <w:pStyle w:val="MsoNormal0"/>
                              <w:spacing w:after="0" w:line="257" w:lineRule="auto"/>
                              <w:rPr>
                                <w:noProof/>
                                <w:sz w:val="22"/>
                              </w:rPr>
                            </w:pPr>
                            <w:r>
                              <w:rPr>
                                <w:noProof/>
                                <w:color w:val="262626"/>
                                <w:sz w:val="22"/>
                              </w:rPr>
                              <w:t>Signing</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4336EE9" w14:textId="77777777" w:rsidR="00DD6229" w:rsidRDefault="00D310E2" w:rsidP="00BB2B1E">
                            <w:pPr>
                              <w:pStyle w:val="MsoNormal0"/>
                              <w:spacing w:after="0" w:line="257" w:lineRule="auto"/>
                              <w:jc w:val="center"/>
                              <w:rPr>
                                <w:noProof/>
                                <w:sz w:val="22"/>
                              </w:rPr>
                            </w:pPr>
                            <w:r>
                              <w:rPr>
                                <w:noProof/>
                                <w:color w:val="262626"/>
                                <w:sz w:val="22"/>
                              </w:rPr>
                              <w:t>25-Oct-2018</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6432A5E0" w14:textId="77777777" w:rsidR="00DD6229" w:rsidRDefault="00D310E2" w:rsidP="00BB2B1E">
                            <w:pPr>
                              <w:pStyle w:val="MsoNormal0"/>
                              <w:spacing w:after="0" w:line="257" w:lineRule="auto"/>
                              <w:jc w:val="center"/>
                              <w:rPr>
                                <w:noProof/>
                                <w:sz w:val="22"/>
                              </w:rPr>
                            </w:pPr>
                            <w:r>
                              <w:rPr>
                                <w:noProof/>
                                <w:color w:val="262626"/>
                                <w:sz w:val="22"/>
                              </w:rPr>
                              <w:t>25-Oct-2018</w:t>
                            </w:r>
                          </w:p>
                        </w:tc>
                      </w:tr>
                      <w:tr w:rsidR="00DD6229" w14:paraId="57B3CA87"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0E36C44E" w14:textId="77777777" w:rsidR="00DD6229" w:rsidRDefault="00D310E2" w:rsidP="00BB2B1E">
                            <w:pPr>
                              <w:pStyle w:val="MsoNormal0"/>
                              <w:spacing w:after="0" w:line="257" w:lineRule="auto"/>
                              <w:rPr>
                                <w:noProof/>
                                <w:sz w:val="22"/>
                              </w:rPr>
                            </w:pPr>
                            <w:r>
                              <w:rPr>
                                <w:noProof/>
                                <w:color w:val="262626"/>
                                <w:sz w:val="22"/>
                              </w:rPr>
                              <w:t>Effectiveness</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66159842" w14:textId="77777777" w:rsidR="00DD6229" w:rsidRDefault="00D310E2" w:rsidP="00BB2B1E">
                            <w:pPr>
                              <w:pStyle w:val="MsoNormal0"/>
                              <w:spacing w:after="0" w:line="257" w:lineRule="auto"/>
                              <w:jc w:val="center"/>
                              <w:rPr>
                                <w:noProof/>
                                <w:sz w:val="22"/>
                              </w:rPr>
                            </w:pPr>
                            <w:r>
                              <w:rPr>
                                <w:noProof/>
                                <w:color w:val="262626"/>
                                <w:sz w:val="22"/>
                              </w:rPr>
                              <w:t>11-Jan-2019</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657F1775" w14:textId="77777777" w:rsidR="00DD6229" w:rsidRDefault="00D310E2" w:rsidP="00BB2B1E">
                            <w:pPr>
                              <w:pStyle w:val="MsoNormal0"/>
                              <w:spacing w:after="0" w:line="257" w:lineRule="auto"/>
                              <w:jc w:val="center"/>
                              <w:rPr>
                                <w:noProof/>
                                <w:sz w:val="22"/>
                              </w:rPr>
                            </w:pPr>
                            <w:r>
                              <w:rPr>
                                <w:noProof/>
                                <w:color w:val="262626"/>
                                <w:sz w:val="22"/>
                              </w:rPr>
                              <w:t>11-Jan-2019</w:t>
                            </w:r>
                          </w:p>
                        </w:tc>
                      </w:tr>
                      <w:tr w:rsidR="00DD6229" w14:paraId="30D45C7C"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76D93E2" w14:textId="77777777" w:rsidR="00DD6229" w:rsidRDefault="00D310E2" w:rsidP="00BB2B1E">
                            <w:pPr>
                              <w:pStyle w:val="MsoNormal0"/>
                              <w:spacing w:after="0" w:line="257" w:lineRule="auto"/>
                              <w:rPr>
                                <w:noProof/>
                                <w:sz w:val="22"/>
                              </w:rPr>
                            </w:pPr>
                            <w:r>
                              <w:rPr>
                                <w:noProof/>
                                <w:color w:val="262626"/>
                                <w:sz w:val="22"/>
                              </w:rPr>
                              <w:t>Restructuring Sequence.01</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31CEFBBA" w14:textId="77777777" w:rsidR="00DD6229" w:rsidRDefault="00D310E2" w:rsidP="00BB2B1E">
                            <w:pPr>
                              <w:pStyle w:val="MsoNormal0"/>
                              <w:spacing w:after="0" w:line="257" w:lineRule="auto"/>
                              <w:jc w:val="center"/>
                              <w:rPr>
                                <w:noProof/>
                                <w:sz w:val="22"/>
                              </w:rPr>
                            </w:pPr>
                            <w:r>
                              <w:rPr>
                                <w:noProof/>
                                <w:color w:val="262626"/>
                                <w:sz w:val="22"/>
                              </w:rPr>
                              <w:t>Not Applicable</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6C9BD201" w14:textId="77777777" w:rsidR="00DD6229" w:rsidRDefault="00D310E2" w:rsidP="00BB2B1E">
                            <w:pPr>
                              <w:pStyle w:val="MsoNormal0"/>
                              <w:spacing w:after="0" w:line="257" w:lineRule="auto"/>
                              <w:jc w:val="center"/>
                              <w:rPr>
                                <w:noProof/>
                                <w:sz w:val="22"/>
                              </w:rPr>
                            </w:pPr>
                            <w:r>
                              <w:rPr>
                                <w:noProof/>
                                <w:color w:val="262626"/>
                                <w:sz w:val="22"/>
                              </w:rPr>
                              <w:t>03-Jan-2023</w:t>
                            </w:r>
                          </w:p>
                        </w:tc>
                      </w:tr>
                      <w:tr w:rsidR="00DD6229" w14:paraId="7C996563"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5DECDF15" w14:textId="77777777" w:rsidR="00DD6229" w:rsidRDefault="00D310E2" w:rsidP="00BB2B1E">
                            <w:pPr>
                              <w:pStyle w:val="MsoNormal0"/>
                              <w:spacing w:after="0" w:line="257" w:lineRule="auto"/>
                              <w:rPr>
                                <w:noProof/>
                                <w:sz w:val="22"/>
                              </w:rPr>
                            </w:pPr>
                            <w:r>
                              <w:rPr>
                                <w:noProof/>
                                <w:color w:val="262626"/>
                                <w:sz w:val="22"/>
                              </w:rPr>
                              <w:t>Restructuring Sequence.02</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633700E5" w14:textId="77777777" w:rsidR="00DD6229" w:rsidRDefault="00D310E2" w:rsidP="00BB2B1E">
                            <w:pPr>
                              <w:pStyle w:val="MsoNormal0"/>
                              <w:spacing w:after="0" w:line="257" w:lineRule="auto"/>
                              <w:jc w:val="center"/>
                              <w:rPr>
                                <w:noProof/>
                                <w:sz w:val="22"/>
                              </w:rPr>
                            </w:pPr>
                            <w:r>
                              <w:rPr>
                                <w:noProof/>
                                <w:color w:val="262626"/>
                                <w:sz w:val="22"/>
                              </w:rPr>
                              <w:t>Not Applicable</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502A29FB" w14:textId="77777777" w:rsidR="00DD6229" w:rsidRDefault="00D310E2" w:rsidP="00BB2B1E">
                            <w:pPr>
                              <w:pStyle w:val="MsoNormal0"/>
                              <w:spacing w:after="0" w:line="257" w:lineRule="auto"/>
                              <w:jc w:val="center"/>
                              <w:rPr>
                                <w:noProof/>
                                <w:sz w:val="22"/>
                              </w:rPr>
                            </w:pPr>
                            <w:r>
                              <w:rPr>
                                <w:noProof/>
                                <w:color w:val="262626"/>
                                <w:sz w:val="22"/>
                              </w:rPr>
                              <w:t>28-Apr-2024</w:t>
                            </w:r>
                          </w:p>
                        </w:tc>
                      </w:tr>
                      <w:tr w:rsidR="00DD6229" w14:paraId="4C1E6C9D"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3D373B0" w14:textId="77777777" w:rsidR="00DD6229" w:rsidRDefault="00D310E2" w:rsidP="00BB2B1E">
                            <w:pPr>
                              <w:pStyle w:val="MsoNormal0"/>
                              <w:spacing w:after="0" w:line="257" w:lineRule="auto"/>
                              <w:rPr>
                                <w:noProof/>
                                <w:sz w:val="22"/>
                              </w:rPr>
                            </w:pPr>
                            <w:r>
                              <w:rPr>
                                <w:noProof/>
                                <w:color w:val="262626"/>
                                <w:sz w:val="22"/>
                              </w:rPr>
                              <w:t>Mid-Term Review No. 01</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0209EFFF" w14:textId="77777777" w:rsidR="00DD6229" w:rsidRDefault="00D310E2" w:rsidP="00BB2B1E">
                            <w:pPr>
                              <w:pStyle w:val="MsoNormal0"/>
                              <w:spacing w:after="0" w:line="257" w:lineRule="auto"/>
                              <w:jc w:val="center"/>
                              <w:rPr>
                                <w:noProof/>
                                <w:sz w:val="22"/>
                              </w:rPr>
                            </w:pPr>
                            <w:r>
                              <w:rPr>
                                <w:noProof/>
                                <w:color w:val="262626"/>
                                <w:sz w:val="22"/>
                              </w:rPr>
                              <w:t>13-Sep-2021</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5248C0EF" w14:textId="77777777" w:rsidR="00DD6229" w:rsidRDefault="00D310E2" w:rsidP="00BB2B1E">
                            <w:pPr>
                              <w:pStyle w:val="MsoNormal0"/>
                              <w:spacing w:after="0" w:line="257" w:lineRule="auto"/>
                              <w:jc w:val="center"/>
                              <w:rPr>
                                <w:noProof/>
                                <w:sz w:val="22"/>
                              </w:rPr>
                            </w:pPr>
                            <w:r>
                              <w:rPr>
                                <w:noProof/>
                                <w:color w:val="262626"/>
                                <w:sz w:val="22"/>
                              </w:rPr>
                              <w:t>27-Sep-2021</w:t>
                            </w:r>
                          </w:p>
                        </w:tc>
                      </w:tr>
                      <w:tr w:rsidR="00DD6229" w14:paraId="3D2DD755"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4639A112" w14:textId="77777777" w:rsidR="00DD6229" w:rsidRDefault="00D310E2" w:rsidP="00BB2B1E">
                            <w:pPr>
                              <w:pStyle w:val="MsoNormal0"/>
                              <w:spacing w:after="0" w:line="257" w:lineRule="auto"/>
                              <w:rPr>
                                <w:noProof/>
                                <w:sz w:val="22"/>
                              </w:rPr>
                            </w:pPr>
                            <w:r>
                              <w:rPr>
                                <w:noProof/>
                                <w:color w:val="262626"/>
                                <w:sz w:val="22"/>
                              </w:rPr>
                              <w:lastRenderedPageBreak/>
                              <w:t>Operation Closing/Cancellation</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BE507CE" w14:textId="77777777" w:rsidR="00DD6229" w:rsidRDefault="00D310E2" w:rsidP="00BB2B1E">
                            <w:pPr>
                              <w:pStyle w:val="MsoNormal0"/>
                              <w:spacing w:after="0" w:line="257" w:lineRule="auto"/>
                              <w:jc w:val="center"/>
                              <w:rPr>
                                <w:noProof/>
                                <w:sz w:val="22"/>
                              </w:rPr>
                            </w:pPr>
                            <w:r>
                              <w:rPr>
                                <w:noProof/>
                                <w:color w:val="262626"/>
                                <w:sz w:val="22"/>
                              </w:rPr>
                              <w:t>31-Dec-2024</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0C6942A1" w14:textId="77777777" w:rsidR="00DD6229" w:rsidRDefault="00D310E2" w:rsidP="00BB2B1E">
                            <w:pPr>
                              <w:pStyle w:val="MsoNormal0"/>
                              <w:spacing w:after="0" w:line="257" w:lineRule="auto"/>
                              <w:jc w:val="center"/>
                              <w:rPr>
                                <w:noProof/>
                                <w:sz w:val="22"/>
                              </w:rPr>
                            </w:pPr>
                            <w:r>
                              <w:rPr>
                                <w:noProof/>
                                <w:color w:val="262626"/>
                                <w:sz w:val="22"/>
                              </w:rPr>
                              <w:t>31-Dec-2024</w:t>
                            </w:r>
                          </w:p>
                        </w:tc>
                      </w:tr>
                      <w:tr w:rsidR="00DD6229" w14:paraId="1F80FF7A" w14:textId="77777777">
                        <w:trPr>
                          <w:trHeight w:val="20"/>
                        </w:trPr>
                        <w:tc>
                          <w:tcPr>
                            <w:tcW w:w="5634" w:type="dxa"/>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22AA9E3D" w14:textId="77777777" w:rsidR="00DD6229" w:rsidRDefault="00D310E2" w:rsidP="00BB2B1E">
                            <w:pPr>
                              <w:pStyle w:val="MsoNormal0"/>
                              <w:spacing w:after="0" w:line="257" w:lineRule="auto"/>
                              <w:rPr>
                                <w:noProof/>
                                <w:sz w:val="22"/>
                              </w:rPr>
                            </w:pPr>
                            <w:r>
                              <w:rPr>
                                <w:noProof/>
                                <w:color w:val="262626"/>
                                <w:sz w:val="22"/>
                              </w:rPr>
                              <w:t>ICR/NCO</w:t>
                            </w:r>
                          </w:p>
                        </w:tc>
                        <w:tc>
                          <w:tcPr>
                            <w:tcW w:w="3316" w:type="dxa"/>
                            <w:gridSpan w:val="2"/>
                            <w:tcBorders>
                              <w:top w:val="single" w:sz="8" w:space="0" w:color="D9D9D9"/>
                              <w:bottom w:val="single" w:sz="8" w:space="0" w:color="D9D9D9"/>
                              <w:right w:val="single" w:sz="8" w:space="0" w:color="D9D9D9"/>
                            </w:tcBorders>
                            <w:tcMar>
                              <w:top w:w="72" w:type="dxa"/>
                              <w:left w:w="120" w:type="dxa"/>
                              <w:bottom w:w="72" w:type="dxa"/>
                              <w:right w:w="125" w:type="dxa"/>
                            </w:tcMar>
                            <w:vAlign w:val="center"/>
                            <w:hideMark/>
                          </w:tcPr>
                          <w:p w14:paraId="06855325" w14:textId="77777777" w:rsidR="00DD6229" w:rsidRDefault="00D310E2" w:rsidP="00BB2B1E">
                            <w:pPr>
                              <w:pStyle w:val="MsoNormal0"/>
                              <w:spacing w:after="0" w:line="257" w:lineRule="auto"/>
                              <w:jc w:val="center"/>
                              <w:rPr>
                                <w:noProof/>
                                <w:sz w:val="22"/>
                              </w:rPr>
                            </w:pPr>
                            <w:r>
                              <w:rPr>
                                <w:noProof/>
                                <w:color w:val="262626"/>
                                <w:sz w:val="22"/>
                              </w:rPr>
                              <w:t>30-Jun-2025</w:t>
                            </w:r>
                          </w:p>
                        </w:tc>
                        <w:tc>
                          <w:tcPr>
                            <w:tcW w:w="3030" w:type="dxa"/>
                            <w:tcBorders>
                              <w:top w:val="single" w:sz="8" w:space="0" w:color="D9D9D9"/>
                              <w:bottom w:val="single" w:sz="8" w:space="0" w:color="D9D9D9"/>
                            </w:tcBorders>
                            <w:tcMar>
                              <w:top w:w="72" w:type="dxa"/>
                              <w:left w:w="120" w:type="dxa"/>
                              <w:bottom w:w="72" w:type="dxa"/>
                              <w:right w:w="120" w:type="dxa"/>
                            </w:tcMar>
                            <w:vAlign w:val="center"/>
                            <w:hideMark/>
                          </w:tcPr>
                          <w:p w14:paraId="43D362C5" w14:textId="77777777" w:rsidR="00DD6229" w:rsidRDefault="00D310E2" w:rsidP="00BB2B1E">
                            <w:pPr>
                              <w:pStyle w:val="MsoNormal0"/>
                              <w:spacing w:after="0" w:line="257" w:lineRule="auto"/>
                              <w:jc w:val="center"/>
                              <w:rPr>
                                <w:noProof/>
                                <w:sz w:val="22"/>
                              </w:rPr>
                            </w:pPr>
                            <w:r>
                              <w:rPr>
                                <w:noProof/>
                                <w:color w:val="262626"/>
                                <w:sz w:val="22"/>
                              </w:rPr>
                              <w:t>--</w:t>
                            </w:r>
                          </w:p>
                        </w:tc>
                      </w:tr>
                    </w:tbl>
                    <w:p w14:paraId="32D5B1FB" w14:textId="77777777" w:rsidR="001D4738" w:rsidRPr="00DC4148" w:rsidRDefault="001D4738" w:rsidP="00BB2B1E">
                      <w:pPr>
                        <w:spacing w:line="257" w:lineRule="auto"/>
                        <w:rPr>
                          <w:noProof/>
                          <w:szCs w:val="22"/>
                        </w:rPr>
                      </w:pPr>
                    </w:p>
                  </w:tc>
                </w:tr>
              </w:tbl>
              <w:p w14:paraId="3268BB0E" w14:textId="77777777" w:rsidR="00306DCB" w:rsidRPr="00306DCB" w:rsidRDefault="00000000" w:rsidP="00D3303E">
                <w:pPr>
                  <w:ind w:right="29"/>
                  <w:rPr>
                    <w:color w:val="FF0000"/>
                  </w:rPr>
                </w:pPr>
              </w:p>
            </w:tc>
          </w:tr>
        </w:tbl>
      </w:sdtContent>
    </w:sdt>
    <w:p w14:paraId="13F665B6" w14:textId="77777777" w:rsidR="00D721CB" w:rsidRPr="00DD1516" w:rsidRDefault="00D721CB" w:rsidP="007A58DF">
      <w:pPr>
        <w:rPr>
          <w:sz w:val="2"/>
          <w:szCs w:val="2"/>
        </w:rPr>
      </w:pPr>
    </w:p>
    <w:sdt>
      <w:sdtPr>
        <w:id w:val="406354760"/>
        <w:lock w:val="sdtContentLocked"/>
        <w:group/>
      </w:sdtPr>
      <w:sdtContent>
        <w:tbl>
          <w:tblPr>
            <w:tblStyle w:val="TableGrid"/>
            <w:tblW w:w="1086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Look w:val="04A0" w:firstRow="1" w:lastRow="0" w:firstColumn="1" w:lastColumn="0" w:noHBand="0" w:noVBand="1"/>
          </w:tblPr>
          <w:tblGrid>
            <w:gridCol w:w="10861"/>
          </w:tblGrid>
          <w:tr w:rsidR="00DD6229" w14:paraId="58745194" w14:textId="77777777" w:rsidTr="00A53150">
            <w:tc>
              <w:tcPr>
                <w:tcW w:w="10861" w:type="dxa"/>
                <w:shd w:val="clear" w:color="auto" w:fill="F7F7F7"/>
              </w:tcPr>
              <w:p w14:paraId="6EA8AFFC" w14:textId="77777777" w:rsidR="001B523F" w:rsidRPr="00153685" w:rsidRDefault="00D310E2" w:rsidP="00D3303E">
                <w:pPr>
                  <w:ind w:right="29"/>
                  <w:rPr>
                    <w:color w:val="F7F7F7"/>
                  </w:rPr>
                </w:pPr>
                <w:r w:rsidRPr="00153685">
                  <w:rPr>
                    <w:color w:val="F7F7F7"/>
                  </w:rPr>
                  <w:t>@#&amp;OPS~Doctype~OPS^</w:t>
                </w:r>
                <w:r w:rsidR="006412EE" w:rsidRPr="00153685">
                  <w:rPr>
                    <w:color w:val="F7F7F7"/>
                  </w:rPr>
                  <w:t>dynamics</w:t>
                </w:r>
                <w:r w:rsidRPr="00153685">
                  <w:rPr>
                    <w:color w:val="F7F7F7"/>
                  </w:rPr>
                  <w:t>@</w:t>
                </w:r>
                <w:r w:rsidR="00153685" w:rsidRPr="008A029B">
                  <w:rPr>
                    <w:color w:val="F7F7F7"/>
                  </w:rPr>
                  <w:t>icr</w:t>
                </w:r>
                <w:r w:rsidR="008C3EC9" w:rsidRPr="008A029B">
                  <w:rPr>
                    <w:color w:val="F7F7F7"/>
                  </w:rPr>
                  <w:t>rat</w:t>
                </w:r>
                <w:r w:rsidR="00153685" w:rsidRPr="008A029B">
                  <w:rPr>
                    <w:color w:val="F7F7F7"/>
                  </w:rPr>
                  <w:t>ing</w:t>
                </w:r>
                <w:r w:rsidR="008C3EC9" w:rsidRPr="008A029B">
                  <w:rPr>
                    <w:color w:val="F7F7F7"/>
                  </w:rPr>
                  <w:t>s</w:t>
                </w:r>
                <w:r w:rsidRPr="00153685">
                  <w:rPr>
                    <w:color w:val="F7F7F7"/>
                  </w:rPr>
                  <w:t>#doctemplate</w:t>
                </w:r>
              </w:p>
            </w:tc>
          </w:tr>
          <w:tr w:rsidR="00DD6229" w14:paraId="3DC4C628" w14:textId="77777777" w:rsidTr="00A53150">
            <w:tc>
              <w:tcPr>
                <w:tcW w:w="10861" w:type="dxa"/>
                <w:shd w:val="clear" w:color="auto" w:fill="F7F7F7"/>
                <w:tcMar>
                  <w:left w:w="0" w:type="dxa"/>
                  <w:right w:w="0" w:type="dxa"/>
                </w:tcMar>
              </w:tcPr>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6D839EE8" w14:textId="77777777" w:rsidTr="00A53150">
                  <w:trPr>
                    <w:trHeight w:val="432"/>
                  </w:trPr>
                  <w:tc>
                    <w:tcPr>
                      <w:tcW w:w="10895" w:type="dxa"/>
                      <w:shd w:val="clear" w:color="auto" w:fill="F2F2F2" w:themeFill="background1" w:themeFillShade="F2"/>
                      <w:vAlign w:val="center"/>
                      <w:hideMark/>
                    </w:tcPr>
                    <w:p w14:paraId="016A7E80" w14:textId="77777777" w:rsidR="00306DCB" w:rsidRPr="00DC4148" w:rsidRDefault="00D310E2" w:rsidP="00306DCB">
                      <w:pPr>
                        <w:rPr>
                          <w:b/>
                          <w:bCs/>
                          <w:szCs w:val="22"/>
                        </w:rPr>
                      </w:pPr>
                      <w:r w:rsidRPr="00EB2713">
                        <w:rPr>
                          <w:rFonts w:ascii="Calibri" w:eastAsia="Calibri" w:hAnsi="Calibri" w:cs="Times New Roman"/>
                          <w:b/>
                          <w:szCs w:val="22"/>
                        </w:rPr>
                        <w:t>RATINGS SUMMARY</w:t>
                      </w:r>
                    </w:p>
                  </w:tc>
                </w:tr>
              </w:tbl>
              <w:p w14:paraId="6D742324" w14:textId="77777777" w:rsidR="00306DCB" w:rsidRDefault="00D310E2" w:rsidP="00306DCB">
                <w:pPr>
                  <w:tabs>
                    <w:tab w:val="left" w:pos="1230"/>
                  </w:tabs>
                  <w:ind w:right="29"/>
                </w:pPr>
                <w:r>
                  <w:tab/>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0890"/>
                </w:tblGrid>
                <w:tr w:rsidR="00DD6229" w14:paraId="262F8CE4" w14:textId="77777777" w:rsidTr="001D4738">
                  <w:trPr>
                    <w:trHeight w:val="432"/>
                  </w:trPr>
                  <w:tc>
                    <w:tcPr>
                      <w:tcW w:w="10890" w:type="dxa"/>
                      <w:tcMar>
                        <w:left w:w="0" w:type="dxa"/>
                        <w:right w:w="0" w:type="dxa"/>
                      </w:tcMar>
                      <w:vAlign w:val="center"/>
                    </w:tcPr>
                    <w:tbl>
                      <w:tblPr>
                        <w:tblStyle w:val="TableGrid16"/>
                        <w:tblW w:w="10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CellMar>
                          <w:left w:w="115" w:type="dxa"/>
                          <w:right w:w="115" w:type="dxa"/>
                        </w:tblCellMar>
                        <w:tblLook w:val="04A0" w:firstRow="1" w:lastRow="0" w:firstColumn="1" w:lastColumn="0" w:noHBand="0" w:noVBand="1"/>
                      </w:tblPr>
                      <w:tblGrid>
                        <w:gridCol w:w="3425"/>
                        <w:gridCol w:w="3690"/>
                        <w:gridCol w:w="3745"/>
                      </w:tblGrid>
                      <w:tr w:rsidR="00DD6229" w14:paraId="4AAB693D" w14:textId="77777777" w:rsidTr="009D438A">
                        <w:trPr>
                          <w:trHeight w:val="432"/>
                        </w:trPr>
                        <w:tc>
                          <w:tcPr>
                            <w:tcW w:w="3425" w:type="dxa"/>
                            <w:tcBorders>
                              <w:bottom w:val="single" w:sz="4" w:space="0" w:color="D0CECE"/>
                              <w:right w:val="single" w:sz="4" w:space="0" w:color="D0CECE"/>
                            </w:tcBorders>
                            <w:shd w:val="clear" w:color="auto" w:fill="F7F7F7"/>
                            <w:vAlign w:val="center"/>
                          </w:tcPr>
                          <w:p w14:paraId="1B750102" w14:textId="77777777" w:rsidR="001B205E" w:rsidRPr="00D34CD7" w:rsidRDefault="00D310E2" w:rsidP="00692E07">
                            <w:pPr>
                              <w:ind w:left="30"/>
                              <w:jc w:val="center"/>
                              <w:rPr>
                                <w:b/>
                                <w:szCs w:val="22"/>
                              </w:rPr>
                            </w:pPr>
                            <w:r w:rsidRPr="009C3917">
                              <w:rPr>
                                <w:color w:val="767171" w:themeColor="background2" w:themeShade="80"/>
                                <w:szCs w:val="22"/>
                              </w:rPr>
                              <w:t>Outcome</w:t>
                            </w:r>
                          </w:p>
                        </w:tc>
                        <w:tc>
                          <w:tcPr>
                            <w:tcW w:w="3690" w:type="dxa"/>
                            <w:tcBorders>
                              <w:left w:val="single" w:sz="4" w:space="0" w:color="D0CECE"/>
                              <w:bottom w:val="single" w:sz="4" w:space="0" w:color="D0CECE"/>
                              <w:right w:val="single" w:sz="4" w:space="0" w:color="D0CECE"/>
                            </w:tcBorders>
                            <w:shd w:val="clear" w:color="auto" w:fill="F7F7F7"/>
                            <w:vAlign w:val="center"/>
                          </w:tcPr>
                          <w:p w14:paraId="72B476FA" w14:textId="77777777" w:rsidR="001B205E" w:rsidRPr="00D34CD7" w:rsidRDefault="00D310E2" w:rsidP="00692E07">
                            <w:pPr>
                              <w:ind w:left="30"/>
                              <w:jc w:val="center"/>
                              <w:rPr>
                                <w:b/>
                                <w:szCs w:val="22"/>
                              </w:rPr>
                            </w:pPr>
                            <w:r w:rsidRPr="001C07C4">
                              <w:rPr>
                                <w:color w:val="767171" w:themeColor="background2" w:themeShade="80"/>
                                <w:szCs w:val="22"/>
                              </w:rPr>
                              <w:t>Bank Performance</w:t>
                            </w:r>
                          </w:p>
                        </w:tc>
                        <w:tc>
                          <w:tcPr>
                            <w:tcW w:w="3745" w:type="dxa"/>
                            <w:tcBorders>
                              <w:left w:val="single" w:sz="4" w:space="0" w:color="D0CECE"/>
                              <w:bottom w:val="single" w:sz="4" w:space="0" w:color="D0CECE"/>
                            </w:tcBorders>
                            <w:shd w:val="clear" w:color="auto" w:fill="F7F7F7"/>
                            <w:vAlign w:val="center"/>
                          </w:tcPr>
                          <w:p w14:paraId="10453914" w14:textId="77777777" w:rsidR="001B205E" w:rsidRPr="00D34CD7" w:rsidRDefault="00D310E2" w:rsidP="00692E07">
                            <w:pPr>
                              <w:ind w:left="30"/>
                              <w:jc w:val="center"/>
                              <w:rPr>
                                <w:b/>
                                <w:szCs w:val="22"/>
                              </w:rPr>
                            </w:pPr>
                            <w:r w:rsidRPr="00705A2C">
                              <w:rPr>
                                <w:color w:val="767171" w:themeColor="background2" w:themeShade="80"/>
                                <w:szCs w:val="22"/>
                              </w:rPr>
                              <w:t>M&amp;E Quality</w:t>
                            </w:r>
                          </w:p>
                        </w:tc>
                      </w:tr>
                      <w:tr w:rsidR="00DD6229" w14:paraId="38524632" w14:textId="77777777" w:rsidTr="009D438A">
                        <w:trPr>
                          <w:trHeight w:val="432"/>
                        </w:trPr>
                        <w:tc>
                          <w:tcPr>
                            <w:tcW w:w="3425" w:type="dxa"/>
                            <w:tcBorders>
                              <w:top w:val="single" w:sz="4" w:space="0" w:color="D0CECE"/>
                              <w:right w:val="single" w:sz="4" w:space="0" w:color="D0CECE"/>
                            </w:tcBorders>
                            <w:shd w:val="clear" w:color="auto" w:fill="F7F7F7"/>
                            <w:vAlign w:val="center"/>
                          </w:tcPr>
                          <w:p w14:paraId="2CF1331C" w14:textId="77777777" w:rsidR="001B205E" w:rsidRPr="006A3AD2" w:rsidRDefault="001B205E" w:rsidP="00770559">
                            <w:pPr>
                              <w:ind w:left="30"/>
                              <w:rPr>
                                <w:szCs w:val="22"/>
                              </w:rPr>
                            </w:pPr>
                          </w:p>
                        </w:tc>
                        <w:tc>
                          <w:tcPr>
                            <w:tcW w:w="3690" w:type="dxa"/>
                            <w:tcBorders>
                              <w:top w:val="single" w:sz="4" w:space="0" w:color="D0CECE"/>
                              <w:left w:val="single" w:sz="4" w:space="0" w:color="D0CECE"/>
                              <w:right w:val="single" w:sz="4" w:space="0" w:color="D0CECE"/>
                            </w:tcBorders>
                            <w:shd w:val="clear" w:color="auto" w:fill="F7F7F7"/>
                            <w:vAlign w:val="center"/>
                          </w:tcPr>
                          <w:p w14:paraId="3C428CDE" w14:textId="77777777" w:rsidR="001B205E" w:rsidRPr="006A3AD2" w:rsidRDefault="001B205E" w:rsidP="00770559">
                            <w:pPr>
                              <w:ind w:left="30"/>
                              <w:rPr>
                                <w:szCs w:val="22"/>
                              </w:rPr>
                            </w:pPr>
                          </w:p>
                        </w:tc>
                        <w:tc>
                          <w:tcPr>
                            <w:tcW w:w="3745" w:type="dxa"/>
                            <w:tcBorders>
                              <w:top w:val="single" w:sz="4" w:space="0" w:color="D0CECE"/>
                              <w:left w:val="single" w:sz="4" w:space="0" w:color="D0CECE"/>
                            </w:tcBorders>
                            <w:shd w:val="clear" w:color="auto" w:fill="F7F7F7"/>
                            <w:vAlign w:val="center"/>
                          </w:tcPr>
                          <w:p w14:paraId="6022F65D" w14:textId="77777777" w:rsidR="001B205E" w:rsidRPr="006A3AD2" w:rsidRDefault="001B205E" w:rsidP="00770559">
                            <w:pPr>
                              <w:ind w:left="30"/>
                              <w:rPr>
                                <w:szCs w:val="22"/>
                              </w:rPr>
                            </w:pPr>
                          </w:p>
                        </w:tc>
                      </w:tr>
                    </w:tbl>
                    <w:p w14:paraId="475BC208" w14:textId="77777777" w:rsidR="001D4738" w:rsidRPr="00DC4148" w:rsidRDefault="001D4738" w:rsidP="009D438A">
                      <w:pPr>
                        <w:spacing w:line="257" w:lineRule="auto"/>
                        <w:rPr>
                          <w:noProof/>
                          <w:szCs w:val="22"/>
                        </w:rPr>
                      </w:pPr>
                    </w:p>
                  </w:tc>
                </w:tr>
              </w:tbl>
              <w:p w14:paraId="093CD475" w14:textId="77777777" w:rsidR="00306DCB" w:rsidRDefault="00306DCB" w:rsidP="00306DCB">
                <w:pPr>
                  <w:ind w:right="29" w:firstLine="720"/>
                </w:pPr>
              </w:p>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483EC5F5" w14:textId="77777777" w:rsidTr="00A53150">
                  <w:trPr>
                    <w:trHeight w:val="432"/>
                  </w:trPr>
                  <w:tc>
                    <w:tcPr>
                      <w:tcW w:w="10895" w:type="dxa"/>
                      <w:shd w:val="clear" w:color="auto" w:fill="F2F2F2" w:themeFill="background1" w:themeFillShade="F2"/>
                      <w:vAlign w:val="center"/>
                      <w:hideMark/>
                    </w:tcPr>
                    <w:p w14:paraId="7DAF46DF" w14:textId="77777777" w:rsidR="00306DCB" w:rsidRPr="00A307E2" w:rsidRDefault="00D310E2" w:rsidP="00306DCB">
                      <w:pPr>
                        <w:rPr>
                          <w:b/>
                          <w:bCs/>
                          <w:szCs w:val="22"/>
                        </w:rPr>
                      </w:pPr>
                      <w:r>
                        <w:rPr>
                          <w:b/>
                          <w:szCs w:val="22"/>
                        </w:rPr>
                        <w:t>ISR RATINGS</w:t>
                      </w:r>
                    </w:p>
                  </w:tc>
                </w:tr>
              </w:tbl>
              <w:p w14:paraId="2B3D260A" w14:textId="77777777" w:rsidR="00306DCB" w:rsidRDefault="00306DCB" w:rsidP="00306DCB">
                <w:pPr>
                  <w:ind w:right="29"/>
                </w:pPr>
              </w:p>
              <w:tbl>
                <w:tblPr>
                  <w:tblStyle w:val="TableGrid"/>
                  <w:tblW w:w="10905"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10905"/>
                </w:tblGrid>
                <w:tr w:rsidR="00DD6229" w14:paraId="10459374" w14:textId="77777777" w:rsidTr="00BA598B">
                  <w:trPr>
                    <w:trHeight w:val="417"/>
                  </w:trPr>
                  <w:tc>
                    <w:tcPr>
                      <w:tcW w:w="10905" w:type="dxa"/>
                      <w:tcBorders>
                        <w:top w:val="nil"/>
                        <w:bottom w:val="nil"/>
                      </w:tcBorders>
                      <w:tcMar>
                        <w:left w:w="0" w:type="dxa"/>
                        <w:right w:w="0" w:type="dxa"/>
                      </w:tcMar>
                      <w:vAlign w:val="center"/>
                    </w:tcPr>
                    <w:tbl>
                      <w:tblPr>
                        <w:tblStyle w:val="TableGrid171"/>
                        <w:tblW w:w="10875" w:type="dxa"/>
                        <w:shd w:val="clear" w:color="auto" w:fill="F7F7F7"/>
                        <w:tblLayout w:type="fixed"/>
                        <w:tblCellMar>
                          <w:left w:w="0" w:type="dxa"/>
                          <w:right w:w="0" w:type="dxa"/>
                        </w:tblCellMar>
                        <w:tblLook w:val="05E0" w:firstRow="1" w:lastRow="1" w:firstColumn="1" w:lastColumn="1" w:noHBand="0" w:noVBand="1"/>
                      </w:tblPr>
                      <w:tblGrid>
                        <w:gridCol w:w="768"/>
                        <w:gridCol w:w="2295"/>
                        <w:gridCol w:w="2854"/>
                        <w:gridCol w:w="2668"/>
                        <w:gridCol w:w="2290"/>
                      </w:tblGrid>
                      <w:tr w:rsidR="00DD6229" w14:paraId="357F5749" w14:textId="77777777">
                        <w:trPr>
                          <w:trHeight w:val="417"/>
                        </w:trPr>
                        <w:tc>
                          <w:tcPr>
                            <w:tcW w:w="80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3E925E5" w14:textId="77777777" w:rsidR="00DD6229" w:rsidRPr="000F04D2" w:rsidRDefault="00D310E2" w:rsidP="00BA598B">
                            <w:pPr>
                              <w:pStyle w:val="MsoNormal0"/>
                              <w:spacing w:after="0" w:line="257" w:lineRule="auto"/>
                              <w:ind w:left="86" w:hanging="14"/>
                              <w:jc w:val="center"/>
                              <w:rPr>
                                <w:noProof/>
                                <w:sz w:val="22"/>
                              </w:rPr>
                            </w:pPr>
                            <w:r w:rsidRPr="000F04D2">
                              <w:rPr>
                                <w:noProof/>
                                <w:color w:val="767171"/>
                                <w:sz w:val="22"/>
                              </w:rPr>
                              <w:t>No.</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25FC159" w14:textId="77777777" w:rsidR="00DD6229" w:rsidRPr="000F04D2" w:rsidRDefault="00D310E2" w:rsidP="00BA598B">
                            <w:pPr>
                              <w:pStyle w:val="MsoNormal0"/>
                              <w:spacing w:after="0" w:line="257" w:lineRule="auto"/>
                              <w:ind w:left="86" w:hanging="14"/>
                              <w:jc w:val="center"/>
                              <w:rPr>
                                <w:noProof/>
                                <w:sz w:val="22"/>
                              </w:rPr>
                            </w:pPr>
                            <w:r w:rsidRPr="000F04D2">
                              <w:rPr>
                                <w:noProof/>
                                <w:color w:val="767171"/>
                                <w:sz w:val="22"/>
                              </w:rPr>
                              <w:t xml:space="preserve">Date ISR Archived </w:t>
                            </w:r>
                          </w:p>
                        </w:tc>
                        <w:tc>
                          <w:tcPr>
                            <w:tcW w:w="30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2E89302D" w14:textId="77777777" w:rsidR="00DD6229" w:rsidRPr="000F04D2" w:rsidRDefault="00D310E2" w:rsidP="00BA598B">
                            <w:pPr>
                              <w:pStyle w:val="MsoNormal0"/>
                              <w:spacing w:after="0" w:line="257" w:lineRule="auto"/>
                              <w:ind w:left="86" w:hanging="14"/>
                              <w:jc w:val="center"/>
                              <w:rPr>
                                <w:noProof/>
                                <w:sz w:val="22"/>
                              </w:rPr>
                            </w:pPr>
                            <w:r w:rsidRPr="000F04D2">
                              <w:rPr>
                                <w:noProof/>
                                <w:color w:val="767171"/>
                                <w:sz w:val="22"/>
                              </w:rPr>
                              <w:t>DO Rating</w:t>
                            </w:r>
                          </w:p>
                        </w:tc>
                        <w:tc>
                          <w:tcPr>
                            <w:tcW w:w="28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009F4B5" w14:textId="77777777" w:rsidR="00DD6229" w:rsidRPr="000F04D2" w:rsidRDefault="00D310E2" w:rsidP="00BA598B">
                            <w:pPr>
                              <w:pStyle w:val="MsoNormal0"/>
                              <w:spacing w:after="0" w:line="257" w:lineRule="auto"/>
                              <w:ind w:left="86" w:hanging="14"/>
                              <w:jc w:val="center"/>
                              <w:rPr>
                                <w:noProof/>
                                <w:sz w:val="22"/>
                              </w:rPr>
                            </w:pPr>
                            <w:r w:rsidRPr="000F04D2">
                              <w:rPr>
                                <w:noProof/>
                                <w:color w:val="767171"/>
                                <w:sz w:val="22"/>
                              </w:rPr>
                              <w:t>IP Rating</w:t>
                            </w:r>
                          </w:p>
                        </w:tc>
                        <w:tc>
                          <w:tcPr>
                            <w:tcW w:w="2240" w:type="dxa"/>
                            <w:tcBorders>
                              <w:bottom w:val="single" w:sz="8" w:space="0" w:color="D0CECE"/>
                            </w:tcBorders>
                            <w:shd w:val="clear" w:color="auto" w:fill="F7F7F7"/>
                            <w:tcMar>
                              <w:top w:w="0" w:type="dxa"/>
                              <w:left w:w="120" w:type="dxa"/>
                              <w:bottom w:w="0" w:type="dxa"/>
                              <w:right w:w="120" w:type="dxa"/>
                            </w:tcMar>
                            <w:vAlign w:val="center"/>
                            <w:hideMark/>
                          </w:tcPr>
                          <w:p w14:paraId="78FDA3BC" w14:textId="77777777" w:rsidR="00DD6229" w:rsidRPr="000F04D2" w:rsidRDefault="00D310E2" w:rsidP="00BA598B">
                            <w:pPr>
                              <w:pStyle w:val="MsoNormal0"/>
                              <w:spacing w:after="0" w:line="257" w:lineRule="auto"/>
                              <w:ind w:left="100" w:hanging="14"/>
                              <w:jc w:val="center"/>
                              <w:rPr>
                                <w:noProof/>
                                <w:sz w:val="22"/>
                              </w:rPr>
                            </w:pPr>
                            <w:r w:rsidRPr="000F04D2">
                              <w:rPr>
                                <w:noProof/>
                                <w:color w:val="767171"/>
                                <w:sz w:val="22"/>
                              </w:rPr>
                              <w:t>Actual Disbursements (US$M)</w:t>
                            </w:r>
                          </w:p>
                        </w:tc>
                      </w:tr>
                      <w:tr w:rsidR="00DD6229" w14:paraId="3FFE06FA"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1446C40"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01</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8F9C032"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06-Dec-2018</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04F1C33"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5F9A8CC"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55CD4C89"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0.00</w:t>
                            </w:r>
                          </w:p>
                        </w:tc>
                      </w:tr>
                      <w:tr w:rsidR="00DD6229" w14:paraId="74DD5FDC"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F5E6B2E"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02</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4428CB1"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26-Jun-2019</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81C38FD"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DC3482E"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77B4F9BB"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1.29</w:t>
                            </w:r>
                          </w:p>
                        </w:tc>
                      </w:tr>
                      <w:tr w:rsidR="00DD6229" w14:paraId="3781B0EC"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BB36E89"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03</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DA46219"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23-Dec-2019</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6543B51"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8744AEB"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506B17ED"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1.97</w:t>
                            </w:r>
                          </w:p>
                        </w:tc>
                      </w:tr>
                      <w:tr w:rsidR="00DD6229" w14:paraId="60C4C73B"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56D0EB3"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04</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3D9AF03"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29-Jun-2020</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11BD298"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36AD626"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64A67433"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2.72</w:t>
                            </w:r>
                          </w:p>
                        </w:tc>
                      </w:tr>
                      <w:tr w:rsidR="00DD6229" w14:paraId="34F6DF9F"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81C0230"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05</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58CF0E2"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08-Dec-2020</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B01FB45"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61178DB"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27564DE4"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4.57</w:t>
                            </w:r>
                          </w:p>
                        </w:tc>
                      </w:tr>
                      <w:tr w:rsidR="00DD6229" w14:paraId="4862C015"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DEDAEA6"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06</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225218FB"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24-Jun-2021</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29526A1"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EF7D955"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355992D5"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7.37</w:t>
                            </w:r>
                          </w:p>
                        </w:tc>
                      </w:tr>
                      <w:tr w:rsidR="00DD6229" w14:paraId="2F8F2585"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F6FC325"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07</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D9E09EE"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22-Dec-2021</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2EFBEBC"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27512E2"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606220BF"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9.38</w:t>
                            </w:r>
                          </w:p>
                        </w:tc>
                      </w:tr>
                      <w:tr w:rsidR="00DD6229" w14:paraId="02A43E5C"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219F198A"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08</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FA37BC7"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03-Apr-2022</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DD0676B"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F1C63E3"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2F30EA96"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9.72</w:t>
                            </w:r>
                          </w:p>
                        </w:tc>
                      </w:tr>
                      <w:tr w:rsidR="00DD6229" w14:paraId="1307ED43"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1F8F5EF"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09</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6FFB999"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06-Sep-2022</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B802961"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EC03F64"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004C87F2"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11.82</w:t>
                            </w:r>
                          </w:p>
                        </w:tc>
                      </w:tr>
                      <w:tr w:rsidR="00DD6229" w14:paraId="28BA8746"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225EC79"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10</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3EDAA96"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29-Mar-2023</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FB63D97"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D65C8DD"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14D77545"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14.41</w:t>
                            </w:r>
                          </w:p>
                        </w:tc>
                      </w:tr>
                      <w:tr w:rsidR="00DD6229" w14:paraId="1303D005"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6E44C8B"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11</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F59283E"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27-Jun-2023</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2A69B1C2"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3D53426"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153E5306"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15.41</w:t>
                            </w:r>
                          </w:p>
                        </w:tc>
                      </w:tr>
                      <w:tr w:rsidR="00DD6229" w14:paraId="1A9F3851"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4500432"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12</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CBDA45D"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16-Dec-2023</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2577872"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20B4A680"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Moderately 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4D64445B"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17.52</w:t>
                            </w:r>
                          </w:p>
                        </w:tc>
                      </w:tr>
                      <w:tr w:rsidR="00DD6229" w14:paraId="659DFDFF"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9404C6C"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13</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2C0B2A2"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24-May-2024</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591E42B"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8EB0E01"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0C8501AD"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18.52</w:t>
                            </w:r>
                          </w:p>
                        </w:tc>
                      </w:tr>
                      <w:tr w:rsidR="00DD6229" w14:paraId="1086973A"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92609A8"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14</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34D730F"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11-Nov-2024</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D43D833"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Highly 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EC9D685"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20379CC9"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20.09</w:t>
                            </w:r>
                          </w:p>
                        </w:tc>
                      </w:tr>
                      <w:tr w:rsidR="00DD6229" w14:paraId="2477459F" w14:textId="77777777">
                        <w:trPr>
                          <w:trHeight w:val="417"/>
                        </w:trPr>
                        <w:tc>
                          <w:tcPr>
                            <w:tcW w:w="768"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6643522" w14:textId="77777777" w:rsidR="00DD6229" w:rsidRPr="000F04D2" w:rsidRDefault="00D310E2" w:rsidP="00BA598B">
                            <w:pPr>
                              <w:pStyle w:val="MsoNormal0"/>
                              <w:spacing w:after="0" w:line="257" w:lineRule="auto"/>
                              <w:ind w:left="86" w:hanging="14"/>
                              <w:rPr>
                                <w:noProof/>
                                <w:sz w:val="22"/>
                              </w:rPr>
                            </w:pPr>
                            <w:r w:rsidRPr="000F04D2">
                              <w:rPr>
                                <w:noProof/>
                                <w:color w:val="000000"/>
                                <w:sz w:val="22"/>
                              </w:rPr>
                              <w:t>15</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D572183"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18-Dec-2024</w:t>
                            </w:r>
                          </w:p>
                        </w:tc>
                        <w:tc>
                          <w:tcPr>
                            <w:tcW w:w="18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2AD4EFF"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Highly Satisfactory</w:t>
                            </w:r>
                          </w:p>
                        </w:tc>
                        <w:tc>
                          <w:tcPr>
                            <w:tcW w:w="244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DBC4D27" w14:textId="77777777" w:rsidR="00DD6229" w:rsidRPr="000F04D2" w:rsidRDefault="00D310E2" w:rsidP="00BA598B">
                            <w:pPr>
                              <w:pStyle w:val="MsoNormal0"/>
                              <w:spacing w:after="0" w:line="257" w:lineRule="auto"/>
                              <w:ind w:left="86" w:hanging="14"/>
                              <w:jc w:val="both"/>
                              <w:rPr>
                                <w:noProof/>
                                <w:sz w:val="22"/>
                              </w:rPr>
                            </w:pPr>
                            <w:r w:rsidRPr="000F04D2">
                              <w:rPr>
                                <w:noProof/>
                                <w:color w:val="000000"/>
                                <w:sz w:val="22"/>
                              </w:rPr>
                              <w:t>Satisfactory</w:t>
                            </w:r>
                          </w:p>
                        </w:tc>
                        <w:tc>
                          <w:tcPr>
                            <w:tcW w:w="2440" w:type="dxa"/>
                            <w:tcBorders>
                              <w:bottom w:val="single" w:sz="8" w:space="0" w:color="D0CECE"/>
                            </w:tcBorders>
                            <w:shd w:val="clear" w:color="auto" w:fill="F7F7F7"/>
                            <w:tcMar>
                              <w:top w:w="0" w:type="dxa"/>
                              <w:left w:w="120" w:type="dxa"/>
                              <w:bottom w:w="0" w:type="dxa"/>
                              <w:right w:w="120" w:type="dxa"/>
                            </w:tcMar>
                            <w:vAlign w:val="center"/>
                            <w:hideMark/>
                          </w:tcPr>
                          <w:p w14:paraId="7BE893B3" w14:textId="77777777" w:rsidR="00DD6229" w:rsidRPr="000F04D2" w:rsidRDefault="00D310E2" w:rsidP="00BA598B">
                            <w:pPr>
                              <w:pStyle w:val="MsoNormal0"/>
                              <w:spacing w:after="0" w:line="257" w:lineRule="auto"/>
                              <w:ind w:left="100" w:hanging="14"/>
                              <w:jc w:val="right"/>
                              <w:rPr>
                                <w:noProof/>
                                <w:sz w:val="22"/>
                              </w:rPr>
                            </w:pPr>
                            <w:r w:rsidRPr="000F04D2">
                              <w:rPr>
                                <w:noProof/>
                                <w:color w:val="000000"/>
                                <w:sz w:val="22"/>
                              </w:rPr>
                              <w:t>20.35</w:t>
                            </w:r>
                          </w:p>
                        </w:tc>
                      </w:tr>
                    </w:tbl>
                    <w:p w14:paraId="0EB6A787" w14:textId="77777777" w:rsidR="000E013B" w:rsidRPr="000F04D2" w:rsidRDefault="000E013B" w:rsidP="00BA598B">
                      <w:pPr>
                        <w:spacing w:line="257" w:lineRule="auto"/>
                        <w:ind w:left="100" w:hanging="14"/>
                        <w:rPr>
                          <w:noProof/>
                          <w:szCs w:val="22"/>
                        </w:rPr>
                      </w:pPr>
                    </w:p>
                  </w:tc>
                </w:tr>
              </w:tbl>
              <w:p w14:paraId="58367F76" w14:textId="77777777" w:rsidR="00306DCB" w:rsidRPr="00306DCB" w:rsidRDefault="00000000" w:rsidP="00D3303E">
                <w:pPr>
                  <w:ind w:right="29"/>
                  <w:rPr>
                    <w:color w:val="FF0000"/>
                  </w:rPr>
                </w:pPr>
              </w:p>
            </w:tc>
          </w:tr>
        </w:tbl>
      </w:sdtContent>
    </w:sdt>
    <w:p w14:paraId="40F2C2C6" w14:textId="77777777" w:rsidR="00D721CB" w:rsidRPr="00C44493" w:rsidRDefault="00D721CB" w:rsidP="007A58DF">
      <w:pPr>
        <w:rPr>
          <w:sz w:val="2"/>
          <w:szCs w:val="2"/>
        </w:rPr>
      </w:pPr>
    </w:p>
    <w:sdt>
      <w:sdtPr>
        <w:id w:val="340136903"/>
        <w:lock w:val="sdtContentLocked"/>
        <w:group/>
      </w:sdtPr>
      <w:sdtContent>
        <w:tbl>
          <w:tblPr>
            <w:tblStyle w:val="TableGrid"/>
            <w:tblW w:w="1086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Look w:val="04A0" w:firstRow="1" w:lastRow="0" w:firstColumn="1" w:lastColumn="0" w:noHBand="0" w:noVBand="1"/>
          </w:tblPr>
          <w:tblGrid>
            <w:gridCol w:w="10861"/>
          </w:tblGrid>
          <w:tr w:rsidR="00DD6229" w14:paraId="3F9395B6" w14:textId="77777777" w:rsidTr="00A53150">
            <w:tc>
              <w:tcPr>
                <w:tcW w:w="10861" w:type="dxa"/>
                <w:shd w:val="clear" w:color="auto" w:fill="F7F7F7"/>
              </w:tcPr>
              <w:p w14:paraId="3C270264" w14:textId="77777777" w:rsidR="001B523F" w:rsidRPr="00153685" w:rsidRDefault="00D310E2" w:rsidP="00D3303E">
                <w:pPr>
                  <w:ind w:right="29"/>
                  <w:rPr>
                    <w:color w:val="F7F7F7"/>
                  </w:rPr>
                </w:pPr>
                <w:r w:rsidRPr="00153685">
                  <w:rPr>
                    <w:color w:val="F7F7F7"/>
                  </w:rPr>
                  <w:t>@#&amp;OPS~Doctype~OPS^</w:t>
                </w:r>
                <w:r w:rsidR="006412EE" w:rsidRPr="00153685">
                  <w:rPr>
                    <w:color w:val="F7F7F7"/>
                  </w:rPr>
                  <w:t>dynamics</w:t>
                </w:r>
                <w:r w:rsidRPr="00153685">
                  <w:rPr>
                    <w:color w:val="F7F7F7"/>
                  </w:rPr>
                  <w:t>@</w:t>
                </w:r>
                <w:r w:rsidR="00153685" w:rsidRPr="005C6D77">
                  <w:rPr>
                    <w:color w:val="F7F7F7"/>
                  </w:rPr>
                  <w:t>icr</w:t>
                </w:r>
                <w:r w:rsidR="00BB1ADE" w:rsidRPr="005C6D77">
                  <w:rPr>
                    <w:color w:val="F7F7F7"/>
                  </w:rPr>
                  <w:t>sectortheme</w:t>
                </w:r>
                <w:r w:rsidRPr="00153685">
                  <w:rPr>
                    <w:color w:val="F7F7F7"/>
                  </w:rPr>
                  <w:t>#doctemplate</w:t>
                </w:r>
              </w:p>
            </w:tc>
          </w:tr>
          <w:tr w:rsidR="00DD6229" w14:paraId="3E0AE5FA" w14:textId="77777777" w:rsidTr="00A53150">
            <w:tc>
              <w:tcPr>
                <w:tcW w:w="10861" w:type="dxa"/>
                <w:shd w:val="clear" w:color="auto" w:fill="F7F7F7"/>
                <w:tcMar>
                  <w:left w:w="0" w:type="dxa"/>
                  <w:right w:w="0" w:type="dxa"/>
                </w:tcMar>
              </w:tcPr>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7990198B" w14:textId="77777777" w:rsidTr="00A53150">
                  <w:trPr>
                    <w:trHeight w:val="432"/>
                  </w:trPr>
                  <w:tc>
                    <w:tcPr>
                      <w:tcW w:w="10895" w:type="dxa"/>
                      <w:shd w:val="clear" w:color="auto" w:fill="F2F2F2" w:themeFill="background1" w:themeFillShade="F2"/>
                      <w:vAlign w:val="center"/>
                      <w:hideMark/>
                    </w:tcPr>
                    <w:p w14:paraId="1BE349BA" w14:textId="77777777" w:rsidR="00306DCB" w:rsidRPr="00DC4148" w:rsidRDefault="00D310E2" w:rsidP="00306DCB">
                      <w:pPr>
                        <w:rPr>
                          <w:b/>
                          <w:bCs/>
                          <w:szCs w:val="22"/>
                        </w:rPr>
                      </w:pPr>
                      <w:r w:rsidRPr="005F18AA">
                        <w:rPr>
                          <w:rFonts w:ascii="Calibri" w:eastAsia="Calibri" w:hAnsi="Calibri" w:cs="Times New Roman"/>
                          <w:b/>
                          <w:szCs w:val="22"/>
                        </w:rPr>
                        <w:t>SECTORS AND THEMES</w:t>
                      </w:r>
                    </w:p>
                  </w:tc>
                </w:tr>
              </w:tbl>
              <w:p w14:paraId="2830D372" w14:textId="77777777" w:rsidR="00306DCB" w:rsidRDefault="00D310E2" w:rsidP="00306DCB">
                <w:pPr>
                  <w:tabs>
                    <w:tab w:val="left" w:pos="1230"/>
                  </w:tabs>
                  <w:ind w:right="29"/>
                </w:pPr>
                <w:r>
                  <w:tab/>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0890"/>
                </w:tblGrid>
                <w:tr w:rsidR="00DD6229" w14:paraId="6CA717A1" w14:textId="77777777" w:rsidTr="001D4738">
                  <w:trPr>
                    <w:trHeight w:val="432"/>
                  </w:trPr>
                  <w:tc>
                    <w:tcPr>
                      <w:tcW w:w="10890" w:type="dxa"/>
                      <w:tcMar>
                        <w:left w:w="0" w:type="dxa"/>
                        <w:right w:w="0" w:type="dxa"/>
                      </w:tcMar>
                      <w:vAlign w:val="center"/>
                    </w:tcPr>
                    <w:p w14:paraId="742C9042" w14:textId="77777777" w:rsidR="005F18AA" w:rsidRPr="00DC4148" w:rsidRDefault="00D310E2" w:rsidP="00261ADE">
                      <w:pPr>
                        <w:spacing w:line="257" w:lineRule="auto"/>
                        <w:ind w:left="150"/>
                        <w:rPr>
                          <w:noProof/>
                          <w:szCs w:val="22"/>
                        </w:rPr>
                      </w:pPr>
                      <w:r>
                        <w:rPr>
                          <w:b/>
                          <w:color w:val="002060"/>
                          <w:szCs w:val="22"/>
                        </w:rPr>
                        <w:lastRenderedPageBreak/>
                        <w:t>Sectors</w:t>
                      </w:r>
                    </w:p>
                  </w:tc>
                </w:tr>
                <w:tr w:rsidR="00DD6229" w14:paraId="28A5BC2E" w14:textId="77777777" w:rsidTr="001D4738">
                  <w:trPr>
                    <w:trHeight w:val="432"/>
                  </w:trPr>
                  <w:tc>
                    <w:tcPr>
                      <w:tcW w:w="10890" w:type="dxa"/>
                      <w:tcMar>
                        <w:left w:w="0" w:type="dxa"/>
                        <w:right w:w="0" w:type="dxa"/>
                      </w:tcMar>
                      <w:vAlign w:val="center"/>
                    </w:tcPr>
                    <w:tbl>
                      <w:tblPr>
                        <w:tblStyle w:val="TableGrid171"/>
                        <w:tblW w:w="10500" w:type="dxa"/>
                        <w:shd w:val="clear" w:color="auto" w:fill="F7F7F7"/>
                        <w:tblLayout w:type="fixed"/>
                        <w:tblCellMar>
                          <w:left w:w="0" w:type="dxa"/>
                          <w:right w:w="0" w:type="dxa"/>
                        </w:tblCellMar>
                        <w:tblLook w:val="05E0" w:firstRow="1" w:lastRow="1" w:firstColumn="1" w:lastColumn="1" w:noHBand="0" w:noVBand="1"/>
                      </w:tblPr>
                      <w:tblGrid>
                        <w:gridCol w:w="2543"/>
                        <w:gridCol w:w="3679"/>
                        <w:gridCol w:w="959"/>
                        <w:gridCol w:w="1662"/>
                        <w:gridCol w:w="1657"/>
                      </w:tblGrid>
                      <w:tr w:rsidR="00DD6229" w14:paraId="5C297E61" w14:textId="77777777">
                        <w:trPr>
                          <w:trHeight w:val="432"/>
                        </w:trPr>
                        <w:tc>
                          <w:tcPr>
                            <w:tcW w:w="2820"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61426BCE" w14:textId="77777777" w:rsidR="00DD6229" w:rsidRDefault="00D310E2" w:rsidP="00BB2B1E">
                            <w:pPr>
                              <w:pStyle w:val="MsoNormal0"/>
                              <w:spacing w:after="0" w:line="257" w:lineRule="auto"/>
                              <w:jc w:val="center"/>
                              <w:rPr>
                                <w:noProof/>
                                <w:sz w:val="22"/>
                              </w:rPr>
                            </w:pPr>
                            <w:r>
                              <w:rPr>
                                <w:noProof/>
                                <w:sz w:val="22"/>
                              </w:rPr>
                              <w:t>Major Sector</w:t>
                            </w:r>
                          </w:p>
                        </w:tc>
                        <w:tc>
                          <w:tcPr>
                            <w:tcW w:w="425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4C2EA277" w14:textId="77777777" w:rsidR="00DD6229" w:rsidRDefault="00D310E2" w:rsidP="00BB2B1E">
                            <w:pPr>
                              <w:pStyle w:val="MsoNormal0"/>
                              <w:spacing w:after="0" w:line="257" w:lineRule="auto"/>
                              <w:jc w:val="center"/>
                              <w:rPr>
                                <w:noProof/>
                                <w:sz w:val="22"/>
                              </w:rPr>
                            </w:pPr>
                            <w:r>
                              <w:rPr>
                                <w:noProof/>
                                <w:sz w:val="22"/>
                              </w:rPr>
                              <w:t>Sector</w:t>
                            </w:r>
                          </w:p>
                        </w:tc>
                        <w:tc>
                          <w:tcPr>
                            <w:tcW w:w="110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341B86E6" w14:textId="77777777" w:rsidR="00DD6229" w:rsidRDefault="00D310E2" w:rsidP="00BB2B1E">
                            <w:pPr>
                              <w:pStyle w:val="MsoNormal0"/>
                              <w:spacing w:after="0" w:line="257" w:lineRule="auto"/>
                              <w:jc w:val="center"/>
                              <w:rPr>
                                <w:noProof/>
                                <w:sz w:val="22"/>
                              </w:rPr>
                            </w:pPr>
                            <w:r>
                              <w:rPr>
                                <w:noProof/>
                                <w:sz w:val="22"/>
                              </w:rPr>
                              <w:t>%</w:t>
                            </w:r>
                          </w:p>
                        </w:tc>
                        <w:tc>
                          <w:tcPr>
                            <w:tcW w:w="195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1F12ECF7" w14:textId="77777777" w:rsidR="00DD6229" w:rsidRDefault="00D310E2" w:rsidP="00BB2B1E">
                            <w:pPr>
                              <w:pStyle w:val="MsoNormal0"/>
                              <w:spacing w:after="0" w:line="257" w:lineRule="auto"/>
                              <w:jc w:val="center"/>
                              <w:rPr>
                                <w:noProof/>
                                <w:sz w:val="22"/>
                              </w:rPr>
                            </w:pPr>
                            <w:r>
                              <w:rPr>
                                <w:noProof/>
                                <w:sz w:val="22"/>
                              </w:rPr>
                              <w:t>Adaptation</w:t>
                            </w:r>
                          </w:p>
                          <w:p w14:paraId="3419772E" w14:textId="77777777" w:rsidR="00DD6229" w:rsidRDefault="00D310E2" w:rsidP="00BB2B1E">
                            <w:pPr>
                              <w:pStyle w:val="MsoNormal0"/>
                              <w:spacing w:after="0" w:line="257" w:lineRule="auto"/>
                              <w:ind w:left="86"/>
                              <w:rPr>
                                <w:noProof/>
                                <w:sz w:val="22"/>
                              </w:rPr>
                            </w:pPr>
                            <w:r>
                              <w:rPr>
                                <w:noProof/>
                                <w:sz w:val="22"/>
                              </w:rPr>
                              <w:t>Co-benefits (%)</w:t>
                            </w:r>
                          </w:p>
                        </w:tc>
                        <w:tc>
                          <w:tcPr>
                            <w:tcW w:w="1950" w:type="dxa"/>
                            <w:tcBorders>
                              <w:bottom w:val="single" w:sz="8" w:space="0" w:color="D0CECE"/>
                            </w:tcBorders>
                            <w:shd w:val="clear" w:color="auto" w:fill="F2F2F2"/>
                            <w:tcMar>
                              <w:top w:w="0" w:type="dxa"/>
                              <w:left w:w="120" w:type="dxa"/>
                              <w:bottom w:w="0" w:type="dxa"/>
                              <w:right w:w="120" w:type="dxa"/>
                            </w:tcMar>
                            <w:vAlign w:val="center"/>
                            <w:hideMark/>
                          </w:tcPr>
                          <w:p w14:paraId="4FFDE312" w14:textId="77777777" w:rsidR="00DD6229" w:rsidRDefault="00D310E2" w:rsidP="00BB2B1E">
                            <w:pPr>
                              <w:pStyle w:val="MsoNormal0"/>
                              <w:spacing w:after="0" w:line="257" w:lineRule="auto"/>
                              <w:jc w:val="center"/>
                              <w:rPr>
                                <w:noProof/>
                                <w:sz w:val="22"/>
                              </w:rPr>
                            </w:pPr>
                            <w:r>
                              <w:rPr>
                                <w:noProof/>
                                <w:sz w:val="22"/>
                              </w:rPr>
                              <w:t>Mitigation</w:t>
                            </w:r>
                          </w:p>
                          <w:p w14:paraId="59FD0EB1" w14:textId="77777777" w:rsidR="00DD6229" w:rsidRDefault="00D310E2" w:rsidP="00BB2B1E">
                            <w:pPr>
                              <w:pStyle w:val="MsoNormal0"/>
                              <w:spacing w:after="0" w:line="257" w:lineRule="auto"/>
                              <w:jc w:val="center"/>
                              <w:rPr>
                                <w:noProof/>
                                <w:sz w:val="22"/>
                              </w:rPr>
                            </w:pPr>
                            <w:r>
                              <w:rPr>
                                <w:noProof/>
                                <w:sz w:val="22"/>
                              </w:rPr>
                              <w:t>Co-benefits (%)</w:t>
                            </w:r>
                          </w:p>
                        </w:tc>
                      </w:tr>
                      <w:tr w:rsidR="00DD6229" w14:paraId="4F7B79C1" w14:textId="77777777">
                        <w:trPr>
                          <w:trHeight w:val="432"/>
                        </w:trPr>
                        <w:tc>
                          <w:tcPr>
                            <w:tcW w:w="3020" w:type="dxa"/>
                            <w:vMerge w:val="restart"/>
                            <w:tcBorders>
                              <w:right w:val="single" w:sz="8" w:space="0" w:color="D0CECE"/>
                            </w:tcBorders>
                            <w:shd w:val="clear" w:color="auto" w:fill="F7F7F7"/>
                            <w:tcMar>
                              <w:top w:w="0" w:type="dxa"/>
                              <w:left w:w="120" w:type="dxa"/>
                              <w:bottom w:w="0" w:type="dxa"/>
                              <w:right w:w="125" w:type="dxa"/>
                            </w:tcMar>
                            <w:vAlign w:val="center"/>
                            <w:hideMark/>
                          </w:tcPr>
                          <w:p w14:paraId="3EE24686" w14:textId="77777777" w:rsidR="00DD6229" w:rsidRDefault="00D310E2" w:rsidP="00BB2B1E">
                            <w:pPr>
                              <w:pStyle w:val="MsoNormal0"/>
                              <w:spacing w:after="0" w:line="257" w:lineRule="auto"/>
                              <w:ind w:left="86"/>
                              <w:rPr>
                                <w:noProof/>
                                <w:sz w:val="22"/>
                              </w:rPr>
                            </w:pPr>
                            <w:r>
                              <w:rPr>
                                <w:noProof/>
                                <w:sz w:val="22"/>
                              </w:rPr>
                              <w:t>FY17 - Education</w:t>
                            </w:r>
                          </w:p>
                        </w:tc>
                        <w:tc>
                          <w:tcPr>
                            <w:tcW w:w="43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9B8631E" w14:textId="77777777" w:rsidR="00DD6229" w:rsidRDefault="00D310E2" w:rsidP="00BB2B1E">
                            <w:pPr>
                              <w:pStyle w:val="MsoNormal0"/>
                              <w:spacing w:after="0" w:line="257" w:lineRule="auto"/>
                              <w:ind w:left="86"/>
                              <w:rPr>
                                <w:noProof/>
                                <w:sz w:val="22"/>
                              </w:rPr>
                            </w:pPr>
                            <w:r>
                              <w:rPr>
                                <w:noProof/>
                                <w:sz w:val="22"/>
                              </w:rPr>
                              <w:t>FY17 - Secondary Education</w:t>
                            </w:r>
                          </w:p>
                        </w:tc>
                        <w:tc>
                          <w:tcPr>
                            <w:tcW w:w="110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1BF209D" w14:textId="77777777" w:rsidR="00DD6229" w:rsidRDefault="00D310E2" w:rsidP="00BB2B1E">
                            <w:pPr>
                              <w:pStyle w:val="MsoNormal0"/>
                              <w:spacing w:after="0" w:line="257" w:lineRule="auto"/>
                              <w:ind w:left="86"/>
                              <w:jc w:val="right"/>
                              <w:rPr>
                                <w:noProof/>
                                <w:sz w:val="22"/>
                              </w:rPr>
                            </w:pPr>
                            <w:r>
                              <w:rPr>
                                <w:noProof/>
                                <w:sz w:val="22"/>
                              </w:rPr>
                              <w:t>18</w:t>
                            </w:r>
                          </w:p>
                        </w:tc>
                        <w:tc>
                          <w:tcPr>
                            <w:tcW w:w="195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C52C8AE" w14:textId="77777777" w:rsidR="00DD6229" w:rsidRDefault="00D310E2" w:rsidP="00BB2B1E">
                            <w:pPr>
                              <w:pStyle w:val="MsoNormal0"/>
                              <w:spacing w:after="0" w:line="257" w:lineRule="auto"/>
                              <w:ind w:left="86"/>
                              <w:jc w:val="right"/>
                              <w:rPr>
                                <w:noProof/>
                                <w:sz w:val="22"/>
                              </w:rPr>
                            </w:pPr>
                            <w:r>
                              <w:rPr>
                                <w:noProof/>
                                <w:sz w:val="22"/>
                              </w:rPr>
                              <w:t>0</w:t>
                            </w:r>
                          </w:p>
                        </w:tc>
                        <w:tc>
                          <w:tcPr>
                            <w:tcW w:w="1950" w:type="dxa"/>
                            <w:tcBorders>
                              <w:bottom w:val="single" w:sz="8" w:space="0" w:color="D0CECE"/>
                            </w:tcBorders>
                            <w:shd w:val="clear" w:color="auto" w:fill="F7F7F7"/>
                            <w:tcMar>
                              <w:top w:w="0" w:type="dxa"/>
                              <w:left w:w="120" w:type="dxa"/>
                              <w:bottom w:w="0" w:type="dxa"/>
                              <w:right w:w="120" w:type="dxa"/>
                            </w:tcMar>
                            <w:vAlign w:val="center"/>
                            <w:hideMark/>
                          </w:tcPr>
                          <w:p w14:paraId="2EE9840C" w14:textId="77777777" w:rsidR="00DD6229" w:rsidRDefault="00D310E2" w:rsidP="00BB2B1E">
                            <w:pPr>
                              <w:pStyle w:val="MsoNormal0"/>
                              <w:spacing w:after="0" w:line="257" w:lineRule="auto"/>
                              <w:jc w:val="right"/>
                              <w:rPr>
                                <w:noProof/>
                                <w:sz w:val="22"/>
                              </w:rPr>
                            </w:pPr>
                            <w:r>
                              <w:rPr>
                                <w:noProof/>
                                <w:sz w:val="22"/>
                              </w:rPr>
                              <w:t>0</w:t>
                            </w:r>
                          </w:p>
                        </w:tc>
                      </w:tr>
                      <w:tr w:rsidR="00DD6229" w14:paraId="6E948458" w14:textId="77777777">
                        <w:trPr>
                          <w:trHeight w:val="432"/>
                        </w:trPr>
                        <w:tc>
                          <w:tcPr>
                            <w:tcW w:w="2543" w:type="dxa"/>
                            <w:vMerge/>
                            <w:tcBorders>
                              <w:bottom w:val="single" w:sz="8" w:space="0" w:color="D0CECE"/>
                              <w:right w:val="single" w:sz="8" w:space="0" w:color="D0CECE"/>
                            </w:tcBorders>
                            <w:shd w:val="clear" w:color="auto" w:fill="F7F7F7"/>
                            <w:vAlign w:val="center"/>
                            <w:hideMark/>
                          </w:tcPr>
                          <w:p w14:paraId="4EFAC032" w14:textId="77777777" w:rsidR="00DD6229" w:rsidRDefault="00DD6229">
                            <w:pPr>
                              <w:rPr>
                                <w:noProof/>
                              </w:rPr>
                            </w:pPr>
                          </w:p>
                        </w:tc>
                        <w:tc>
                          <w:tcPr>
                            <w:tcW w:w="43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4AC2B43" w14:textId="77777777" w:rsidR="00DD6229" w:rsidRDefault="00D310E2" w:rsidP="00BB2B1E">
                            <w:pPr>
                              <w:pStyle w:val="MsoNormal0"/>
                              <w:spacing w:after="0" w:line="257" w:lineRule="auto"/>
                              <w:ind w:left="86"/>
                              <w:rPr>
                                <w:noProof/>
                                <w:sz w:val="22"/>
                              </w:rPr>
                            </w:pPr>
                            <w:r>
                              <w:rPr>
                                <w:noProof/>
                                <w:sz w:val="22"/>
                              </w:rPr>
                              <w:t>FY17 - Workforce Development and Vocational Education</w:t>
                            </w:r>
                          </w:p>
                        </w:tc>
                        <w:tc>
                          <w:tcPr>
                            <w:tcW w:w="110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C046ECC" w14:textId="77777777" w:rsidR="00DD6229" w:rsidRDefault="00D310E2" w:rsidP="00BB2B1E">
                            <w:pPr>
                              <w:pStyle w:val="MsoNormal0"/>
                              <w:spacing w:after="0" w:line="257" w:lineRule="auto"/>
                              <w:ind w:left="86"/>
                              <w:jc w:val="right"/>
                              <w:rPr>
                                <w:noProof/>
                                <w:sz w:val="22"/>
                              </w:rPr>
                            </w:pPr>
                            <w:r>
                              <w:rPr>
                                <w:noProof/>
                                <w:sz w:val="22"/>
                              </w:rPr>
                              <w:t>20</w:t>
                            </w:r>
                          </w:p>
                        </w:tc>
                        <w:tc>
                          <w:tcPr>
                            <w:tcW w:w="195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11B7090" w14:textId="77777777" w:rsidR="00DD6229" w:rsidRDefault="00D310E2" w:rsidP="00BB2B1E">
                            <w:pPr>
                              <w:pStyle w:val="MsoNormal0"/>
                              <w:spacing w:after="0" w:line="257" w:lineRule="auto"/>
                              <w:ind w:left="86"/>
                              <w:jc w:val="right"/>
                              <w:rPr>
                                <w:noProof/>
                                <w:sz w:val="22"/>
                              </w:rPr>
                            </w:pPr>
                            <w:r>
                              <w:rPr>
                                <w:noProof/>
                                <w:sz w:val="22"/>
                              </w:rPr>
                              <w:t>0</w:t>
                            </w:r>
                          </w:p>
                        </w:tc>
                        <w:tc>
                          <w:tcPr>
                            <w:tcW w:w="1950" w:type="dxa"/>
                            <w:tcBorders>
                              <w:bottom w:val="single" w:sz="8" w:space="0" w:color="D0CECE"/>
                            </w:tcBorders>
                            <w:shd w:val="clear" w:color="auto" w:fill="F7F7F7"/>
                            <w:tcMar>
                              <w:top w:w="0" w:type="dxa"/>
                              <w:left w:w="120" w:type="dxa"/>
                              <w:bottom w:w="0" w:type="dxa"/>
                              <w:right w:w="120" w:type="dxa"/>
                            </w:tcMar>
                            <w:vAlign w:val="center"/>
                            <w:hideMark/>
                          </w:tcPr>
                          <w:p w14:paraId="04B9FFBC" w14:textId="77777777" w:rsidR="00DD6229" w:rsidRDefault="00D310E2" w:rsidP="00BB2B1E">
                            <w:pPr>
                              <w:pStyle w:val="MsoNormal0"/>
                              <w:spacing w:after="0" w:line="257" w:lineRule="auto"/>
                              <w:jc w:val="right"/>
                              <w:rPr>
                                <w:noProof/>
                                <w:sz w:val="22"/>
                              </w:rPr>
                            </w:pPr>
                            <w:r>
                              <w:rPr>
                                <w:noProof/>
                                <w:sz w:val="22"/>
                              </w:rPr>
                              <w:t>0</w:t>
                            </w:r>
                          </w:p>
                        </w:tc>
                      </w:tr>
                      <w:tr w:rsidR="00DD6229" w14:paraId="7AC74831" w14:textId="77777777">
                        <w:trPr>
                          <w:trHeight w:val="432"/>
                        </w:trPr>
                        <w:tc>
                          <w:tcPr>
                            <w:tcW w:w="3020" w:type="dxa"/>
                            <w:vMerge w:val="restart"/>
                            <w:tcBorders>
                              <w:right w:val="single" w:sz="8" w:space="0" w:color="D0CECE"/>
                            </w:tcBorders>
                            <w:shd w:val="clear" w:color="auto" w:fill="F7F7F7"/>
                            <w:tcMar>
                              <w:top w:w="0" w:type="dxa"/>
                              <w:left w:w="120" w:type="dxa"/>
                              <w:bottom w:w="0" w:type="dxa"/>
                              <w:right w:w="125" w:type="dxa"/>
                            </w:tcMar>
                            <w:vAlign w:val="center"/>
                            <w:hideMark/>
                          </w:tcPr>
                          <w:p w14:paraId="52A614E3" w14:textId="77777777" w:rsidR="00DD6229" w:rsidRDefault="00D310E2" w:rsidP="00BB2B1E">
                            <w:pPr>
                              <w:pStyle w:val="MsoNormal0"/>
                              <w:spacing w:after="0" w:line="257" w:lineRule="auto"/>
                              <w:ind w:left="86"/>
                              <w:rPr>
                                <w:noProof/>
                                <w:sz w:val="22"/>
                              </w:rPr>
                            </w:pPr>
                            <w:r>
                              <w:rPr>
                                <w:noProof/>
                                <w:sz w:val="22"/>
                              </w:rPr>
                              <w:t>FY17 - Social Protection</w:t>
                            </w:r>
                          </w:p>
                        </w:tc>
                        <w:tc>
                          <w:tcPr>
                            <w:tcW w:w="43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487C181D" w14:textId="77777777" w:rsidR="00DD6229" w:rsidRDefault="00D310E2" w:rsidP="00BB2B1E">
                            <w:pPr>
                              <w:pStyle w:val="MsoNormal0"/>
                              <w:spacing w:after="0" w:line="257" w:lineRule="auto"/>
                              <w:ind w:left="86"/>
                              <w:rPr>
                                <w:noProof/>
                                <w:sz w:val="22"/>
                              </w:rPr>
                            </w:pPr>
                            <w:r>
                              <w:rPr>
                                <w:noProof/>
                                <w:sz w:val="22"/>
                              </w:rPr>
                              <w:t>FY17 - Public Administration - Social Protection</w:t>
                            </w:r>
                          </w:p>
                        </w:tc>
                        <w:tc>
                          <w:tcPr>
                            <w:tcW w:w="110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BB5ED98" w14:textId="77777777" w:rsidR="00DD6229" w:rsidRDefault="00D310E2" w:rsidP="00BB2B1E">
                            <w:pPr>
                              <w:pStyle w:val="MsoNormal0"/>
                              <w:spacing w:after="0" w:line="257" w:lineRule="auto"/>
                              <w:ind w:left="86"/>
                              <w:jc w:val="right"/>
                              <w:rPr>
                                <w:noProof/>
                                <w:sz w:val="22"/>
                              </w:rPr>
                            </w:pPr>
                            <w:r>
                              <w:rPr>
                                <w:noProof/>
                                <w:sz w:val="22"/>
                              </w:rPr>
                              <w:t>35</w:t>
                            </w:r>
                          </w:p>
                        </w:tc>
                        <w:tc>
                          <w:tcPr>
                            <w:tcW w:w="195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D68D0FC" w14:textId="77777777" w:rsidR="00DD6229" w:rsidRDefault="00D310E2" w:rsidP="00BB2B1E">
                            <w:pPr>
                              <w:pStyle w:val="MsoNormal0"/>
                              <w:spacing w:after="0" w:line="257" w:lineRule="auto"/>
                              <w:ind w:left="86"/>
                              <w:jc w:val="right"/>
                              <w:rPr>
                                <w:noProof/>
                                <w:sz w:val="22"/>
                              </w:rPr>
                            </w:pPr>
                            <w:r>
                              <w:rPr>
                                <w:noProof/>
                                <w:sz w:val="22"/>
                              </w:rPr>
                              <w:t>0</w:t>
                            </w:r>
                          </w:p>
                        </w:tc>
                        <w:tc>
                          <w:tcPr>
                            <w:tcW w:w="1950" w:type="dxa"/>
                            <w:tcBorders>
                              <w:bottom w:val="single" w:sz="8" w:space="0" w:color="D0CECE"/>
                            </w:tcBorders>
                            <w:shd w:val="clear" w:color="auto" w:fill="F7F7F7"/>
                            <w:tcMar>
                              <w:top w:w="0" w:type="dxa"/>
                              <w:left w:w="120" w:type="dxa"/>
                              <w:bottom w:w="0" w:type="dxa"/>
                              <w:right w:w="120" w:type="dxa"/>
                            </w:tcMar>
                            <w:vAlign w:val="center"/>
                            <w:hideMark/>
                          </w:tcPr>
                          <w:p w14:paraId="69263B8C" w14:textId="77777777" w:rsidR="00DD6229" w:rsidRDefault="00D310E2" w:rsidP="00BB2B1E">
                            <w:pPr>
                              <w:pStyle w:val="MsoNormal0"/>
                              <w:spacing w:after="0" w:line="257" w:lineRule="auto"/>
                              <w:jc w:val="right"/>
                              <w:rPr>
                                <w:noProof/>
                                <w:sz w:val="22"/>
                              </w:rPr>
                            </w:pPr>
                            <w:r>
                              <w:rPr>
                                <w:noProof/>
                                <w:sz w:val="22"/>
                              </w:rPr>
                              <w:t>0</w:t>
                            </w:r>
                          </w:p>
                        </w:tc>
                      </w:tr>
                      <w:tr w:rsidR="00DD6229" w14:paraId="4667CCBB" w14:textId="77777777">
                        <w:trPr>
                          <w:trHeight w:val="432"/>
                        </w:trPr>
                        <w:tc>
                          <w:tcPr>
                            <w:tcW w:w="2543" w:type="dxa"/>
                            <w:vMerge/>
                            <w:tcBorders>
                              <w:bottom w:val="single" w:sz="8" w:space="0" w:color="D0CECE"/>
                              <w:right w:val="single" w:sz="8" w:space="0" w:color="D0CECE"/>
                            </w:tcBorders>
                            <w:shd w:val="clear" w:color="auto" w:fill="F7F7F7"/>
                            <w:vAlign w:val="center"/>
                            <w:hideMark/>
                          </w:tcPr>
                          <w:p w14:paraId="4A2973F0" w14:textId="77777777" w:rsidR="00DD6229" w:rsidRDefault="00DD6229">
                            <w:pPr>
                              <w:rPr>
                                <w:noProof/>
                              </w:rPr>
                            </w:pPr>
                          </w:p>
                        </w:tc>
                        <w:tc>
                          <w:tcPr>
                            <w:tcW w:w="439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351AD02" w14:textId="77777777" w:rsidR="00DD6229" w:rsidRDefault="00D310E2" w:rsidP="00BB2B1E">
                            <w:pPr>
                              <w:pStyle w:val="MsoNormal0"/>
                              <w:spacing w:after="0" w:line="257" w:lineRule="auto"/>
                              <w:ind w:left="86"/>
                              <w:rPr>
                                <w:noProof/>
                                <w:sz w:val="22"/>
                              </w:rPr>
                            </w:pPr>
                            <w:r>
                              <w:rPr>
                                <w:noProof/>
                                <w:sz w:val="22"/>
                              </w:rPr>
                              <w:t>FY17 - Social Protection</w:t>
                            </w:r>
                          </w:p>
                        </w:tc>
                        <w:tc>
                          <w:tcPr>
                            <w:tcW w:w="110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F66F201" w14:textId="77777777" w:rsidR="00DD6229" w:rsidRDefault="00D310E2" w:rsidP="00BB2B1E">
                            <w:pPr>
                              <w:pStyle w:val="MsoNormal0"/>
                              <w:spacing w:after="0" w:line="257" w:lineRule="auto"/>
                              <w:ind w:left="86"/>
                              <w:jc w:val="right"/>
                              <w:rPr>
                                <w:noProof/>
                                <w:sz w:val="22"/>
                              </w:rPr>
                            </w:pPr>
                            <w:r>
                              <w:rPr>
                                <w:noProof/>
                                <w:sz w:val="22"/>
                              </w:rPr>
                              <w:t>27</w:t>
                            </w:r>
                          </w:p>
                        </w:tc>
                        <w:tc>
                          <w:tcPr>
                            <w:tcW w:w="1955"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B5EE6C2" w14:textId="77777777" w:rsidR="00DD6229" w:rsidRDefault="00D310E2" w:rsidP="00BB2B1E">
                            <w:pPr>
                              <w:pStyle w:val="MsoNormal0"/>
                              <w:spacing w:after="0" w:line="257" w:lineRule="auto"/>
                              <w:ind w:left="86"/>
                              <w:jc w:val="right"/>
                              <w:rPr>
                                <w:noProof/>
                                <w:sz w:val="22"/>
                              </w:rPr>
                            </w:pPr>
                            <w:r>
                              <w:rPr>
                                <w:noProof/>
                                <w:sz w:val="22"/>
                              </w:rPr>
                              <w:t>0</w:t>
                            </w:r>
                          </w:p>
                        </w:tc>
                        <w:tc>
                          <w:tcPr>
                            <w:tcW w:w="1950" w:type="dxa"/>
                            <w:tcBorders>
                              <w:bottom w:val="single" w:sz="8" w:space="0" w:color="D0CECE"/>
                            </w:tcBorders>
                            <w:shd w:val="clear" w:color="auto" w:fill="F7F7F7"/>
                            <w:tcMar>
                              <w:top w:w="0" w:type="dxa"/>
                              <w:left w:w="120" w:type="dxa"/>
                              <w:bottom w:w="0" w:type="dxa"/>
                              <w:right w:w="120" w:type="dxa"/>
                            </w:tcMar>
                            <w:vAlign w:val="center"/>
                            <w:hideMark/>
                          </w:tcPr>
                          <w:p w14:paraId="52C76483" w14:textId="77777777" w:rsidR="00DD6229" w:rsidRDefault="00D310E2" w:rsidP="00BB2B1E">
                            <w:pPr>
                              <w:pStyle w:val="MsoNormal0"/>
                              <w:spacing w:after="0" w:line="257" w:lineRule="auto"/>
                              <w:jc w:val="right"/>
                              <w:rPr>
                                <w:noProof/>
                                <w:sz w:val="22"/>
                              </w:rPr>
                            </w:pPr>
                            <w:r>
                              <w:rPr>
                                <w:noProof/>
                                <w:sz w:val="22"/>
                              </w:rPr>
                              <w:t>0</w:t>
                            </w:r>
                          </w:p>
                        </w:tc>
                      </w:tr>
                    </w:tbl>
                    <w:p w14:paraId="1726054B" w14:textId="77777777" w:rsidR="001D4738" w:rsidRPr="00DC4148" w:rsidRDefault="001D4738" w:rsidP="00BB2B1E">
                      <w:pPr>
                        <w:spacing w:line="257" w:lineRule="auto"/>
                        <w:rPr>
                          <w:noProof/>
                          <w:szCs w:val="22"/>
                        </w:rPr>
                      </w:pPr>
                    </w:p>
                  </w:tc>
                </w:tr>
              </w:tbl>
              <w:p w14:paraId="7930F172" w14:textId="77777777" w:rsidR="00306DCB" w:rsidRDefault="00306DCB" w:rsidP="00306DCB">
                <w:pPr>
                  <w:ind w:right="29"/>
                </w:pPr>
              </w:p>
              <w:tbl>
                <w:tblPr>
                  <w:tblStyle w:val="TableGrid"/>
                  <w:tblW w:w="10844"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10844"/>
                </w:tblGrid>
                <w:tr w:rsidR="00DD6229" w14:paraId="042E5D4A" w14:textId="77777777" w:rsidTr="005F18AA">
                  <w:trPr>
                    <w:trHeight w:val="379"/>
                  </w:trPr>
                  <w:tc>
                    <w:tcPr>
                      <w:tcW w:w="10844" w:type="dxa"/>
                      <w:tcBorders>
                        <w:top w:val="nil"/>
                        <w:bottom w:val="nil"/>
                      </w:tcBorders>
                      <w:tcMar>
                        <w:left w:w="0" w:type="dxa"/>
                        <w:right w:w="0" w:type="dxa"/>
                      </w:tcMar>
                      <w:vAlign w:val="center"/>
                    </w:tcPr>
                    <w:p w14:paraId="65ABA037" w14:textId="77777777" w:rsidR="005F18AA" w:rsidRPr="00A307E2" w:rsidRDefault="00D310E2" w:rsidP="00A57CE4">
                      <w:pPr>
                        <w:spacing w:line="257" w:lineRule="auto"/>
                        <w:ind w:left="150"/>
                        <w:rPr>
                          <w:noProof/>
                          <w:szCs w:val="22"/>
                          <w:highlight w:val="yellow"/>
                        </w:rPr>
                      </w:pPr>
                      <w:r w:rsidRPr="00A57CE4">
                        <w:rPr>
                          <w:b/>
                          <w:color w:val="002060"/>
                          <w:szCs w:val="22"/>
                        </w:rPr>
                        <w:t>Themes</w:t>
                      </w:r>
                    </w:p>
                  </w:tc>
                </w:tr>
                <w:tr w:rsidR="00DD6229" w14:paraId="1A93B3B0" w14:textId="77777777" w:rsidTr="005F18AA">
                  <w:trPr>
                    <w:trHeight w:val="379"/>
                  </w:trPr>
                  <w:tc>
                    <w:tcPr>
                      <w:tcW w:w="10844" w:type="dxa"/>
                      <w:tcBorders>
                        <w:top w:val="nil"/>
                        <w:bottom w:val="nil"/>
                      </w:tcBorders>
                      <w:tcMar>
                        <w:left w:w="0" w:type="dxa"/>
                        <w:right w:w="0" w:type="dxa"/>
                      </w:tcMar>
                      <w:vAlign w:val="center"/>
                    </w:tcPr>
                    <w:tbl>
                      <w:tblPr>
                        <w:tblStyle w:val="TableGrid171"/>
                        <w:tblW w:w="10500" w:type="dxa"/>
                        <w:shd w:val="clear" w:color="auto" w:fill="F7F7F7"/>
                        <w:tblLayout w:type="fixed"/>
                        <w:tblCellMar>
                          <w:left w:w="0" w:type="dxa"/>
                          <w:right w:w="0" w:type="dxa"/>
                        </w:tblCellMar>
                        <w:tblLook w:val="05E0" w:firstRow="1" w:lastRow="1" w:firstColumn="1" w:lastColumn="1" w:noHBand="0" w:noVBand="1"/>
                      </w:tblPr>
                      <w:tblGrid>
                        <w:gridCol w:w="2545"/>
                        <w:gridCol w:w="3700"/>
                        <w:gridCol w:w="2549"/>
                        <w:gridCol w:w="1706"/>
                      </w:tblGrid>
                      <w:tr w:rsidR="00DD6229" w14:paraId="5B0CFFEF" w14:textId="77777777">
                        <w:trPr>
                          <w:trHeight w:val="432"/>
                        </w:trPr>
                        <w:tc>
                          <w:tcPr>
                            <w:tcW w:w="2520"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01BD844D" w14:textId="77777777" w:rsidR="00DD6229" w:rsidRPr="00E57DBF" w:rsidRDefault="00D310E2" w:rsidP="00E57DBF">
                            <w:pPr>
                              <w:pStyle w:val="MsoNormal0"/>
                              <w:spacing w:after="0" w:line="257" w:lineRule="auto"/>
                              <w:jc w:val="center"/>
                              <w:rPr>
                                <w:noProof/>
                                <w:sz w:val="22"/>
                              </w:rPr>
                            </w:pPr>
                            <w:r w:rsidRPr="00E57DBF">
                              <w:rPr>
                                <w:noProof/>
                                <w:sz w:val="22"/>
                              </w:rPr>
                              <w:t>Major Theme</w:t>
                            </w:r>
                          </w:p>
                        </w:tc>
                        <w:tc>
                          <w:tcPr>
                            <w:tcW w:w="3815"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5E893C16" w14:textId="77777777" w:rsidR="00DD6229" w:rsidRPr="00E57DBF" w:rsidRDefault="00D310E2" w:rsidP="00E57DBF">
                            <w:pPr>
                              <w:pStyle w:val="MsoNormal0"/>
                              <w:spacing w:after="0" w:line="257" w:lineRule="auto"/>
                              <w:jc w:val="center"/>
                              <w:rPr>
                                <w:noProof/>
                                <w:sz w:val="22"/>
                              </w:rPr>
                            </w:pPr>
                            <w:r w:rsidRPr="00E57DBF">
                              <w:rPr>
                                <w:noProof/>
                                <w:sz w:val="22"/>
                              </w:rPr>
                              <w:t>Theme (Level 2)</w:t>
                            </w:r>
                          </w:p>
                        </w:tc>
                        <w:tc>
                          <w:tcPr>
                            <w:tcW w:w="2621" w:type="dxa"/>
                            <w:tcBorders>
                              <w:bottom w:val="single" w:sz="8" w:space="0" w:color="D0CECE"/>
                              <w:right w:val="single" w:sz="8" w:space="0" w:color="D0CECE"/>
                            </w:tcBorders>
                            <w:shd w:val="clear" w:color="auto" w:fill="F2F2F2"/>
                            <w:tcMar>
                              <w:top w:w="0" w:type="dxa"/>
                              <w:left w:w="120" w:type="dxa"/>
                              <w:bottom w:w="0" w:type="dxa"/>
                              <w:right w:w="125" w:type="dxa"/>
                            </w:tcMar>
                            <w:vAlign w:val="center"/>
                            <w:hideMark/>
                          </w:tcPr>
                          <w:p w14:paraId="51D30816" w14:textId="77777777" w:rsidR="00DD6229" w:rsidRPr="00E57DBF" w:rsidRDefault="00D310E2" w:rsidP="00E57DBF">
                            <w:pPr>
                              <w:pStyle w:val="MsoNormal0"/>
                              <w:spacing w:after="0" w:line="257" w:lineRule="auto"/>
                              <w:jc w:val="center"/>
                              <w:rPr>
                                <w:noProof/>
                                <w:sz w:val="22"/>
                              </w:rPr>
                            </w:pPr>
                            <w:r w:rsidRPr="00E57DBF">
                              <w:rPr>
                                <w:noProof/>
                                <w:sz w:val="22"/>
                              </w:rPr>
                              <w:t>Theme (Level 3)</w:t>
                            </w:r>
                          </w:p>
                        </w:tc>
                        <w:tc>
                          <w:tcPr>
                            <w:tcW w:w="1755" w:type="dxa"/>
                            <w:tcBorders>
                              <w:bottom w:val="single" w:sz="8" w:space="0" w:color="D0CECE"/>
                            </w:tcBorders>
                            <w:shd w:val="clear" w:color="auto" w:fill="F2F2F2"/>
                            <w:tcMar>
                              <w:top w:w="0" w:type="dxa"/>
                              <w:left w:w="120" w:type="dxa"/>
                              <w:bottom w:w="0" w:type="dxa"/>
                              <w:right w:w="120" w:type="dxa"/>
                            </w:tcMar>
                            <w:vAlign w:val="center"/>
                            <w:hideMark/>
                          </w:tcPr>
                          <w:p w14:paraId="27EA1AA5" w14:textId="77777777" w:rsidR="00DD6229" w:rsidRPr="00E57DBF" w:rsidRDefault="00D310E2" w:rsidP="00E57DBF">
                            <w:pPr>
                              <w:pStyle w:val="MsoNormal0"/>
                              <w:spacing w:after="0" w:line="257" w:lineRule="auto"/>
                              <w:jc w:val="center"/>
                              <w:rPr>
                                <w:noProof/>
                                <w:sz w:val="22"/>
                              </w:rPr>
                            </w:pPr>
                            <w:r w:rsidRPr="00E57DBF">
                              <w:rPr>
                                <w:noProof/>
                                <w:sz w:val="22"/>
                              </w:rPr>
                              <w:t>%</w:t>
                            </w:r>
                          </w:p>
                        </w:tc>
                      </w:tr>
                      <w:tr w:rsidR="00DD6229" w14:paraId="5F70CC88" w14:textId="77777777">
                        <w:trPr>
                          <w:trHeight w:val="432"/>
                        </w:trPr>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CC3656B"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Economic Policy</w:t>
                            </w:r>
                          </w:p>
                        </w:tc>
                        <w:tc>
                          <w:tcPr>
                            <w:tcW w:w="2621" w:type="dxa"/>
                            <w:tcBorders>
                              <w:top w:val="single" w:sz="8" w:space="0" w:color="D0CECE"/>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F167B70"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Economic Growth and Planning</w:t>
                            </w:r>
                          </w:p>
                        </w:tc>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C8A28B0"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Migration, Remittances and Diaspora Engagement</w:t>
                            </w:r>
                          </w:p>
                        </w:tc>
                        <w:tc>
                          <w:tcPr>
                            <w:tcW w:w="1755" w:type="dxa"/>
                            <w:tcBorders>
                              <w:bottom w:val="single" w:sz="8" w:space="0" w:color="D0CECE"/>
                            </w:tcBorders>
                            <w:shd w:val="clear" w:color="auto" w:fill="F7F7F7"/>
                            <w:tcMar>
                              <w:top w:w="0" w:type="dxa"/>
                              <w:left w:w="120" w:type="dxa"/>
                              <w:bottom w:w="0" w:type="dxa"/>
                              <w:right w:w="120" w:type="dxa"/>
                            </w:tcMar>
                            <w:vAlign w:val="center"/>
                            <w:hideMark/>
                          </w:tcPr>
                          <w:p w14:paraId="0B47E033" w14:textId="77777777" w:rsidR="00DD6229" w:rsidRPr="00E57DBF" w:rsidRDefault="00D310E2" w:rsidP="00E57DBF">
                            <w:pPr>
                              <w:pStyle w:val="MsoNormal0"/>
                              <w:spacing w:after="0" w:line="257" w:lineRule="auto"/>
                              <w:jc w:val="right"/>
                              <w:rPr>
                                <w:noProof/>
                                <w:sz w:val="22"/>
                              </w:rPr>
                            </w:pPr>
                            <w:r w:rsidRPr="00E57DBF">
                              <w:rPr>
                                <w:noProof/>
                                <w:color w:val="000000"/>
                                <w:sz w:val="22"/>
                              </w:rPr>
                              <w:t>45</w:t>
                            </w:r>
                          </w:p>
                        </w:tc>
                      </w:tr>
                      <w:tr w:rsidR="00DD6229" w14:paraId="4EF8A65F" w14:textId="77777777">
                        <w:trPr>
                          <w:trHeight w:val="432"/>
                        </w:trPr>
                        <w:tc>
                          <w:tcPr>
                            <w:tcW w:w="2621" w:type="dxa"/>
                            <w:vMerge w:val="restart"/>
                            <w:tcBorders>
                              <w:right w:val="single" w:sz="8" w:space="0" w:color="D0CECE"/>
                            </w:tcBorders>
                            <w:shd w:val="clear" w:color="auto" w:fill="F7F7F7"/>
                            <w:tcMar>
                              <w:top w:w="0" w:type="dxa"/>
                              <w:left w:w="120" w:type="dxa"/>
                              <w:bottom w:w="0" w:type="dxa"/>
                              <w:right w:w="125" w:type="dxa"/>
                            </w:tcMar>
                            <w:vAlign w:val="center"/>
                            <w:hideMark/>
                          </w:tcPr>
                          <w:p w14:paraId="05636C9B"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Human Development and Gender</w:t>
                            </w:r>
                          </w:p>
                        </w:tc>
                        <w:tc>
                          <w:tcPr>
                            <w:tcW w:w="2621" w:type="dxa"/>
                            <w:tcBorders>
                              <w:top w:val="single" w:sz="8" w:space="0" w:color="D0CECE"/>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524A18B3"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Education</w:t>
                            </w:r>
                          </w:p>
                        </w:tc>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FA2732D"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Access to Education</w:t>
                            </w:r>
                          </w:p>
                        </w:tc>
                        <w:tc>
                          <w:tcPr>
                            <w:tcW w:w="1755" w:type="dxa"/>
                            <w:tcBorders>
                              <w:bottom w:val="single" w:sz="8" w:space="0" w:color="D0CECE"/>
                            </w:tcBorders>
                            <w:shd w:val="clear" w:color="auto" w:fill="F7F7F7"/>
                            <w:tcMar>
                              <w:top w:w="0" w:type="dxa"/>
                              <w:left w:w="120" w:type="dxa"/>
                              <w:bottom w:w="0" w:type="dxa"/>
                              <w:right w:w="120" w:type="dxa"/>
                            </w:tcMar>
                            <w:vAlign w:val="center"/>
                            <w:hideMark/>
                          </w:tcPr>
                          <w:p w14:paraId="1629719F" w14:textId="77777777" w:rsidR="00DD6229" w:rsidRPr="00E57DBF" w:rsidRDefault="00D310E2" w:rsidP="00E57DBF">
                            <w:pPr>
                              <w:pStyle w:val="MsoNormal0"/>
                              <w:spacing w:after="0" w:line="257" w:lineRule="auto"/>
                              <w:jc w:val="right"/>
                              <w:rPr>
                                <w:noProof/>
                                <w:sz w:val="22"/>
                              </w:rPr>
                            </w:pPr>
                            <w:r w:rsidRPr="00E57DBF">
                              <w:rPr>
                                <w:noProof/>
                                <w:color w:val="000000"/>
                                <w:sz w:val="22"/>
                              </w:rPr>
                              <w:t>90</w:t>
                            </w:r>
                          </w:p>
                        </w:tc>
                      </w:tr>
                      <w:tr w:rsidR="00DD6229" w14:paraId="357B3CD6" w14:textId="77777777">
                        <w:trPr>
                          <w:trHeight w:val="432"/>
                        </w:trPr>
                        <w:tc>
                          <w:tcPr>
                            <w:tcW w:w="2545" w:type="dxa"/>
                            <w:vMerge/>
                            <w:tcBorders>
                              <w:right w:val="single" w:sz="8" w:space="0" w:color="D0CECE"/>
                            </w:tcBorders>
                            <w:shd w:val="clear" w:color="auto" w:fill="F7F7F7"/>
                            <w:vAlign w:val="center"/>
                            <w:hideMark/>
                          </w:tcPr>
                          <w:p w14:paraId="34135A89" w14:textId="77777777" w:rsidR="00DD6229" w:rsidRPr="00E57DBF" w:rsidRDefault="00DD6229">
                            <w:pPr>
                              <w:rPr>
                                <w:noProof/>
                                <w:color w:val="000000"/>
                              </w:rPr>
                            </w:pPr>
                          </w:p>
                        </w:tc>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585134F"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Gender</w:t>
                            </w:r>
                          </w:p>
                        </w:tc>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D4299DD" w14:textId="77777777" w:rsidR="00DD6229" w:rsidRPr="00E57DBF" w:rsidRDefault="00DD6229" w:rsidP="00E57DBF">
                            <w:pPr>
                              <w:pStyle w:val="MsoNormal0"/>
                              <w:spacing w:after="0" w:line="257" w:lineRule="auto"/>
                              <w:ind w:left="86"/>
                              <w:rPr>
                                <w:noProof/>
                                <w:sz w:val="22"/>
                              </w:rPr>
                            </w:pPr>
                          </w:p>
                        </w:tc>
                        <w:tc>
                          <w:tcPr>
                            <w:tcW w:w="1755" w:type="dxa"/>
                            <w:tcBorders>
                              <w:bottom w:val="single" w:sz="8" w:space="0" w:color="AEAAAA"/>
                            </w:tcBorders>
                            <w:shd w:val="clear" w:color="auto" w:fill="F7F7F7"/>
                            <w:tcMar>
                              <w:top w:w="0" w:type="dxa"/>
                              <w:left w:w="120" w:type="dxa"/>
                              <w:bottom w:w="0" w:type="dxa"/>
                              <w:right w:w="120" w:type="dxa"/>
                            </w:tcMar>
                            <w:vAlign w:val="center"/>
                            <w:hideMark/>
                          </w:tcPr>
                          <w:p w14:paraId="3F1576CC" w14:textId="77777777" w:rsidR="00DD6229" w:rsidRPr="00E57DBF" w:rsidRDefault="00D310E2" w:rsidP="00E57DBF">
                            <w:pPr>
                              <w:pStyle w:val="MsoNormal0"/>
                              <w:spacing w:after="0" w:line="257" w:lineRule="auto"/>
                              <w:jc w:val="right"/>
                              <w:rPr>
                                <w:noProof/>
                                <w:sz w:val="22"/>
                              </w:rPr>
                            </w:pPr>
                            <w:r w:rsidRPr="00E57DBF">
                              <w:rPr>
                                <w:noProof/>
                                <w:color w:val="000000"/>
                                <w:sz w:val="22"/>
                              </w:rPr>
                              <w:t>45</w:t>
                            </w:r>
                          </w:p>
                        </w:tc>
                      </w:tr>
                      <w:tr w:rsidR="00DD6229" w14:paraId="63102257" w14:textId="77777777">
                        <w:trPr>
                          <w:trHeight w:val="431"/>
                        </w:trPr>
                        <w:tc>
                          <w:tcPr>
                            <w:tcW w:w="2545" w:type="dxa"/>
                            <w:vMerge/>
                            <w:tcBorders>
                              <w:right w:val="single" w:sz="8" w:space="0" w:color="D0CECE"/>
                            </w:tcBorders>
                            <w:shd w:val="clear" w:color="auto" w:fill="F7F7F7"/>
                            <w:vAlign w:val="center"/>
                            <w:hideMark/>
                          </w:tcPr>
                          <w:p w14:paraId="53D9B795" w14:textId="77777777" w:rsidR="00DD6229" w:rsidRPr="00E57DBF" w:rsidRDefault="00DD6229">
                            <w:pPr>
                              <w:rPr>
                                <w:noProof/>
                                <w:color w:val="000000"/>
                              </w:rPr>
                            </w:pPr>
                          </w:p>
                        </w:tc>
                        <w:tc>
                          <w:tcPr>
                            <w:tcW w:w="2621" w:type="dxa"/>
                            <w:vMerge w:val="restart"/>
                            <w:tcBorders>
                              <w:right w:val="single" w:sz="8" w:space="0" w:color="D0CECE"/>
                            </w:tcBorders>
                            <w:shd w:val="clear" w:color="auto" w:fill="F7F7F7"/>
                            <w:tcMar>
                              <w:top w:w="0" w:type="dxa"/>
                              <w:left w:w="120" w:type="dxa"/>
                              <w:bottom w:w="0" w:type="dxa"/>
                              <w:right w:w="125" w:type="dxa"/>
                            </w:tcMar>
                            <w:vAlign w:val="center"/>
                            <w:hideMark/>
                          </w:tcPr>
                          <w:p w14:paraId="6264A0CD"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Labor Market Policy and Programs</w:t>
                            </w:r>
                          </w:p>
                        </w:tc>
                        <w:tc>
                          <w:tcPr>
                            <w:tcW w:w="2626" w:type="dxa"/>
                            <w:tcBorders>
                              <w:left w:val="single" w:sz="8" w:space="0" w:color="D0CECE"/>
                              <w:bottom w:val="single" w:sz="8" w:space="0" w:color="D0CECE"/>
                              <w:right w:val="single" w:sz="8" w:space="0" w:color="D0CECE"/>
                            </w:tcBorders>
                            <w:shd w:val="clear" w:color="auto" w:fill="F7F7F7"/>
                            <w:tcMar>
                              <w:top w:w="0" w:type="dxa"/>
                              <w:left w:w="125" w:type="dxa"/>
                              <w:bottom w:w="0" w:type="dxa"/>
                              <w:right w:w="125" w:type="dxa"/>
                            </w:tcMar>
                            <w:vAlign w:val="center"/>
                            <w:hideMark/>
                          </w:tcPr>
                          <w:p w14:paraId="4979B1DD"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Active Labor Market Programs</w:t>
                            </w:r>
                          </w:p>
                        </w:tc>
                        <w:tc>
                          <w:tcPr>
                            <w:tcW w:w="1755" w:type="dxa"/>
                            <w:tcBorders>
                              <w:bottom w:val="single" w:sz="8" w:space="0" w:color="AEAAAA"/>
                            </w:tcBorders>
                            <w:shd w:val="clear" w:color="auto" w:fill="F7F7F7"/>
                            <w:tcMar>
                              <w:top w:w="0" w:type="dxa"/>
                              <w:left w:w="120" w:type="dxa"/>
                              <w:bottom w:w="0" w:type="dxa"/>
                              <w:right w:w="120" w:type="dxa"/>
                            </w:tcMar>
                            <w:vAlign w:val="center"/>
                            <w:hideMark/>
                          </w:tcPr>
                          <w:p w14:paraId="5CA93982" w14:textId="77777777" w:rsidR="00DD6229" w:rsidRPr="00E57DBF" w:rsidRDefault="00D310E2" w:rsidP="00E57DBF">
                            <w:pPr>
                              <w:pStyle w:val="MsoNormal0"/>
                              <w:spacing w:after="0" w:line="257" w:lineRule="auto"/>
                              <w:jc w:val="right"/>
                              <w:rPr>
                                <w:noProof/>
                                <w:sz w:val="22"/>
                              </w:rPr>
                            </w:pPr>
                            <w:r w:rsidRPr="00E57DBF">
                              <w:rPr>
                                <w:noProof/>
                                <w:color w:val="000000"/>
                                <w:sz w:val="22"/>
                              </w:rPr>
                              <w:t>65</w:t>
                            </w:r>
                          </w:p>
                        </w:tc>
                      </w:tr>
                      <w:tr w:rsidR="00DD6229" w14:paraId="12DADA53" w14:textId="77777777">
                        <w:trPr>
                          <w:trHeight w:val="431"/>
                        </w:trPr>
                        <w:tc>
                          <w:tcPr>
                            <w:tcW w:w="2545" w:type="dxa"/>
                            <w:vMerge/>
                            <w:tcBorders>
                              <w:bottom w:val="single" w:sz="8" w:space="0" w:color="D0CECE"/>
                              <w:right w:val="single" w:sz="8" w:space="0" w:color="D0CECE"/>
                            </w:tcBorders>
                            <w:shd w:val="clear" w:color="auto" w:fill="F7F7F7"/>
                            <w:vAlign w:val="center"/>
                            <w:hideMark/>
                          </w:tcPr>
                          <w:p w14:paraId="7D0255F1" w14:textId="77777777" w:rsidR="00DD6229" w:rsidRPr="00E57DBF" w:rsidRDefault="00DD6229">
                            <w:pPr>
                              <w:rPr>
                                <w:noProof/>
                                <w:color w:val="000000"/>
                              </w:rPr>
                            </w:pPr>
                          </w:p>
                        </w:tc>
                        <w:tc>
                          <w:tcPr>
                            <w:tcW w:w="3700" w:type="dxa"/>
                            <w:vMerge/>
                            <w:tcBorders>
                              <w:bottom w:val="single" w:sz="8" w:space="0" w:color="D0CECE"/>
                              <w:right w:val="single" w:sz="8" w:space="0" w:color="D0CECE"/>
                            </w:tcBorders>
                            <w:shd w:val="clear" w:color="auto" w:fill="F7F7F7"/>
                            <w:vAlign w:val="center"/>
                            <w:hideMark/>
                          </w:tcPr>
                          <w:p w14:paraId="5DA805CB" w14:textId="77777777" w:rsidR="00DD6229" w:rsidRPr="00E57DBF" w:rsidRDefault="00DD6229">
                            <w:pPr>
                              <w:rPr>
                                <w:noProof/>
                                <w:color w:val="000000"/>
                              </w:rPr>
                            </w:pPr>
                          </w:p>
                        </w:tc>
                        <w:tc>
                          <w:tcPr>
                            <w:tcW w:w="2626" w:type="dxa"/>
                            <w:tcBorders>
                              <w:left w:val="single" w:sz="8" w:space="0" w:color="D0CECE"/>
                              <w:bottom w:val="single" w:sz="8" w:space="0" w:color="D0CECE"/>
                              <w:right w:val="single" w:sz="8" w:space="0" w:color="D0CECE"/>
                            </w:tcBorders>
                            <w:shd w:val="clear" w:color="auto" w:fill="F7F7F7"/>
                            <w:tcMar>
                              <w:top w:w="0" w:type="dxa"/>
                              <w:left w:w="125" w:type="dxa"/>
                              <w:bottom w:w="0" w:type="dxa"/>
                              <w:right w:w="125" w:type="dxa"/>
                            </w:tcMar>
                            <w:vAlign w:val="center"/>
                            <w:hideMark/>
                          </w:tcPr>
                          <w:p w14:paraId="11F337B5"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Skills Development</w:t>
                            </w:r>
                          </w:p>
                        </w:tc>
                        <w:tc>
                          <w:tcPr>
                            <w:tcW w:w="1755" w:type="dxa"/>
                            <w:tcBorders>
                              <w:bottom w:val="single" w:sz="8" w:space="0" w:color="AEAAAA"/>
                            </w:tcBorders>
                            <w:shd w:val="clear" w:color="auto" w:fill="F7F7F7"/>
                            <w:tcMar>
                              <w:top w:w="0" w:type="dxa"/>
                              <w:left w:w="120" w:type="dxa"/>
                              <w:bottom w:w="0" w:type="dxa"/>
                              <w:right w:w="120" w:type="dxa"/>
                            </w:tcMar>
                            <w:vAlign w:val="center"/>
                            <w:hideMark/>
                          </w:tcPr>
                          <w:p w14:paraId="3AACD101" w14:textId="77777777" w:rsidR="00DD6229" w:rsidRPr="00E57DBF" w:rsidRDefault="00D310E2" w:rsidP="00E57DBF">
                            <w:pPr>
                              <w:pStyle w:val="MsoNormal0"/>
                              <w:spacing w:after="0" w:line="257" w:lineRule="auto"/>
                              <w:jc w:val="right"/>
                              <w:rPr>
                                <w:noProof/>
                                <w:sz w:val="22"/>
                              </w:rPr>
                            </w:pPr>
                            <w:r w:rsidRPr="00E57DBF">
                              <w:rPr>
                                <w:noProof/>
                                <w:color w:val="000000"/>
                                <w:sz w:val="22"/>
                              </w:rPr>
                              <w:t>55</w:t>
                            </w:r>
                          </w:p>
                        </w:tc>
                      </w:tr>
                      <w:tr w:rsidR="00DD6229" w14:paraId="2F304B9D" w14:textId="77777777">
                        <w:trPr>
                          <w:trHeight w:val="432"/>
                        </w:trPr>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0F65626"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Private Sector Development</w:t>
                            </w:r>
                          </w:p>
                        </w:tc>
                        <w:tc>
                          <w:tcPr>
                            <w:tcW w:w="2621" w:type="dxa"/>
                            <w:tcBorders>
                              <w:top w:val="single" w:sz="8" w:space="0" w:color="D0CECE"/>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3553F241"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Jobs</w:t>
                            </w:r>
                          </w:p>
                        </w:tc>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70818A97"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Job Creation</w:t>
                            </w:r>
                          </w:p>
                        </w:tc>
                        <w:tc>
                          <w:tcPr>
                            <w:tcW w:w="1755" w:type="dxa"/>
                            <w:tcBorders>
                              <w:bottom w:val="single" w:sz="8" w:space="0" w:color="D0CECE"/>
                            </w:tcBorders>
                            <w:shd w:val="clear" w:color="auto" w:fill="F7F7F7"/>
                            <w:tcMar>
                              <w:top w:w="0" w:type="dxa"/>
                              <w:left w:w="120" w:type="dxa"/>
                              <w:bottom w:w="0" w:type="dxa"/>
                              <w:right w:w="120" w:type="dxa"/>
                            </w:tcMar>
                            <w:vAlign w:val="center"/>
                            <w:hideMark/>
                          </w:tcPr>
                          <w:p w14:paraId="34AEC109" w14:textId="77777777" w:rsidR="00DD6229" w:rsidRPr="00E57DBF" w:rsidRDefault="00D310E2" w:rsidP="00E57DBF">
                            <w:pPr>
                              <w:pStyle w:val="MsoNormal0"/>
                              <w:spacing w:after="0" w:line="257" w:lineRule="auto"/>
                              <w:jc w:val="right"/>
                              <w:rPr>
                                <w:noProof/>
                                <w:sz w:val="22"/>
                              </w:rPr>
                            </w:pPr>
                            <w:r w:rsidRPr="00E57DBF">
                              <w:rPr>
                                <w:noProof/>
                                <w:color w:val="000000"/>
                                <w:sz w:val="22"/>
                              </w:rPr>
                              <w:t>65</w:t>
                            </w:r>
                          </w:p>
                        </w:tc>
                      </w:tr>
                      <w:tr w:rsidR="00DD6229" w14:paraId="0D416A6F" w14:textId="77777777">
                        <w:trPr>
                          <w:trHeight w:val="432"/>
                        </w:trPr>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6AD19B9A"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Social Development and Protection</w:t>
                            </w:r>
                          </w:p>
                        </w:tc>
                        <w:tc>
                          <w:tcPr>
                            <w:tcW w:w="2621" w:type="dxa"/>
                            <w:tcBorders>
                              <w:top w:val="single" w:sz="8" w:space="0" w:color="D0CECE"/>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064B4D6C"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Social Protection</w:t>
                            </w:r>
                          </w:p>
                        </w:tc>
                        <w:tc>
                          <w:tcPr>
                            <w:tcW w:w="2621" w:type="dxa"/>
                            <w:tcBorders>
                              <w:bottom w:val="single" w:sz="8" w:space="0" w:color="D0CECE"/>
                              <w:right w:val="single" w:sz="8" w:space="0" w:color="D0CECE"/>
                            </w:tcBorders>
                            <w:shd w:val="clear" w:color="auto" w:fill="F7F7F7"/>
                            <w:tcMar>
                              <w:top w:w="0" w:type="dxa"/>
                              <w:left w:w="120" w:type="dxa"/>
                              <w:bottom w:w="0" w:type="dxa"/>
                              <w:right w:w="125" w:type="dxa"/>
                            </w:tcMar>
                            <w:vAlign w:val="center"/>
                            <w:hideMark/>
                          </w:tcPr>
                          <w:p w14:paraId="11E5E00F" w14:textId="77777777" w:rsidR="00DD6229" w:rsidRPr="00E57DBF" w:rsidRDefault="00D310E2" w:rsidP="00E57DBF">
                            <w:pPr>
                              <w:pStyle w:val="MsoNormal0"/>
                              <w:spacing w:after="0" w:line="257" w:lineRule="auto"/>
                              <w:ind w:left="86"/>
                              <w:rPr>
                                <w:noProof/>
                                <w:sz w:val="22"/>
                              </w:rPr>
                            </w:pPr>
                            <w:r w:rsidRPr="00E57DBF">
                              <w:rPr>
                                <w:noProof/>
                                <w:color w:val="000000"/>
                                <w:sz w:val="22"/>
                              </w:rPr>
                              <w:t>FY17 - Social Safety Nets</w:t>
                            </w:r>
                          </w:p>
                        </w:tc>
                        <w:tc>
                          <w:tcPr>
                            <w:tcW w:w="1755" w:type="dxa"/>
                            <w:tcBorders>
                              <w:bottom w:val="single" w:sz="8" w:space="0" w:color="D0CECE"/>
                            </w:tcBorders>
                            <w:shd w:val="clear" w:color="auto" w:fill="F7F7F7"/>
                            <w:tcMar>
                              <w:top w:w="0" w:type="dxa"/>
                              <w:left w:w="120" w:type="dxa"/>
                              <w:bottom w:w="0" w:type="dxa"/>
                              <w:right w:w="120" w:type="dxa"/>
                            </w:tcMar>
                            <w:vAlign w:val="center"/>
                            <w:hideMark/>
                          </w:tcPr>
                          <w:p w14:paraId="3AD15F4A" w14:textId="77777777" w:rsidR="00DD6229" w:rsidRPr="00E57DBF" w:rsidRDefault="00D310E2" w:rsidP="00E57DBF">
                            <w:pPr>
                              <w:pStyle w:val="MsoNormal0"/>
                              <w:spacing w:after="0" w:line="257" w:lineRule="auto"/>
                              <w:jc w:val="right"/>
                              <w:rPr>
                                <w:noProof/>
                                <w:sz w:val="22"/>
                              </w:rPr>
                            </w:pPr>
                            <w:r w:rsidRPr="00E57DBF">
                              <w:rPr>
                                <w:noProof/>
                                <w:color w:val="000000"/>
                                <w:sz w:val="22"/>
                              </w:rPr>
                              <w:t>70</w:t>
                            </w:r>
                          </w:p>
                        </w:tc>
                      </w:tr>
                    </w:tbl>
                    <w:p w14:paraId="219CE1EB" w14:textId="77777777" w:rsidR="000E013B" w:rsidRPr="00A307E2" w:rsidRDefault="000E013B" w:rsidP="00E57DBF">
                      <w:pPr>
                        <w:spacing w:line="257" w:lineRule="auto"/>
                        <w:rPr>
                          <w:noProof/>
                          <w:szCs w:val="22"/>
                          <w:highlight w:val="yellow"/>
                        </w:rPr>
                      </w:pPr>
                    </w:p>
                  </w:tc>
                </w:tr>
              </w:tbl>
              <w:p w14:paraId="2F612D12" w14:textId="77777777" w:rsidR="00306DCB" w:rsidRPr="00306DCB" w:rsidRDefault="00000000" w:rsidP="00D3303E">
                <w:pPr>
                  <w:ind w:right="29"/>
                  <w:rPr>
                    <w:color w:val="FF0000"/>
                  </w:rPr>
                </w:pPr>
              </w:p>
            </w:tc>
          </w:tr>
        </w:tbl>
      </w:sdtContent>
    </w:sdt>
    <w:p w14:paraId="43258AE0" w14:textId="77777777" w:rsidR="00D721CB" w:rsidRPr="00B50041" w:rsidRDefault="00D721CB" w:rsidP="007A58DF">
      <w:pPr>
        <w:rPr>
          <w:sz w:val="2"/>
          <w:szCs w:val="2"/>
        </w:rPr>
      </w:pPr>
    </w:p>
    <w:sdt>
      <w:sdtPr>
        <w:tag w:val="OPS_CORE_SECTION_END_4"/>
        <w:id w:val="1157405302"/>
        <w:lock w:val="sdtContentLocked"/>
        <w:placeholder>
          <w:docPart w:val="F220A3369994439483FB86DDE7D3173F"/>
        </w:placeholder>
      </w:sdtPr>
      <w:sdtContent>
        <w:p w14:paraId="124D922A" w14:textId="77777777" w:rsidR="008D4A1B" w:rsidRDefault="00D310E2" w:rsidP="007B43A6">
          <w:pPr>
            <w:pStyle w:val="Normal4"/>
            <w:spacing w:after="0" w:line="14" w:lineRule="exact"/>
            <w:sectPr w:rsidR="008D4A1B" w:rsidSect="00F70582">
              <w:type w:val="continuous"/>
              <w:pgSz w:w="12240" w:h="15840"/>
              <w:pgMar w:top="1440" w:right="720" w:bottom="1440" w:left="720" w:header="720" w:footer="720" w:gutter="0"/>
              <w:pgNumType w:fmt="lowerRoman"/>
              <w:cols w:space="720"/>
            </w:sectPr>
          </w:pPr>
          <w:r>
            <w:t xml:space="preserve"> </w:t>
          </w:r>
        </w:p>
      </w:sdtContent>
    </w:sdt>
    <w:p w14:paraId="44ED001E" w14:textId="77777777" w:rsidR="0054131A" w:rsidRDefault="00D310E2" w:rsidP="005510E7">
      <w:pPr>
        <w:spacing w:line="240" w:lineRule="auto"/>
      </w:pPr>
      <w:r>
        <w:rPr>
          <w:noProof/>
        </w:rPr>
        <mc:AlternateContent>
          <mc:Choice Requires="wps">
            <w:drawing>
              <wp:anchor distT="0" distB="0" distL="114300" distR="114300" simplePos="0" relativeHeight="251658240" behindDoc="0" locked="0" layoutInCell="1" allowOverlap="1" wp14:anchorId="4657A3CE" wp14:editId="2B33FDEA">
                <wp:simplePos x="0" y="0"/>
                <wp:positionH relativeFrom="column">
                  <wp:posOffset>-470204</wp:posOffset>
                </wp:positionH>
                <wp:positionV relativeFrom="paragraph">
                  <wp:posOffset>170180</wp:posOffset>
                </wp:positionV>
                <wp:extent cx="7799705"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7799705" cy="0"/>
                        </a:xfrm>
                        <a:prstGeom prst="line">
                          <a:avLst/>
                        </a:prstGeom>
                        <a:ln w="9525">
                          <a:solidFill>
                            <a:schemeClr val="tx1">
                              <a:lumMod val="50000"/>
                              <a:lumOff val="50000"/>
                              <a:alpha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B3AD30"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13.4pt" to="577.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" strokecolor="gray [1629]">
                <v:stroke dashstyle="dash" opacity="26214f" joinstyle="miter"/>
              </v:line>
            </w:pict>
          </mc:Fallback>
        </mc:AlternateContent>
      </w:r>
    </w:p>
    <w:p w14:paraId="532A54D7" w14:textId="77777777" w:rsidR="0054131A" w:rsidRDefault="0054131A" w:rsidP="00D70B84">
      <w:pPr>
        <w:spacing w:line="240" w:lineRule="auto"/>
      </w:pPr>
    </w:p>
    <w:p w14:paraId="1A05A30F" w14:textId="6E65EBAD" w:rsidR="006A4EE8" w:rsidRDefault="006A4EE8" w:rsidP="00F953F7">
      <w:pPr>
        <w:spacing w:line="240" w:lineRule="auto"/>
      </w:pPr>
    </w:p>
    <w:p w14:paraId="654D3FF4" w14:textId="77777777" w:rsidR="00D03362" w:rsidRDefault="00D03362" w:rsidP="00F953F7">
      <w:pPr>
        <w:spacing w:line="240" w:lineRule="auto"/>
      </w:pPr>
    </w:p>
    <w:p w14:paraId="5F9B54BF" w14:textId="77777777" w:rsidR="00D03362" w:rsidRDefault="00D03362" w:rsidP="00F953F7">
      <w:pPr>
        <w:spacing w:line="240" w:lineRule="auto"/>
        <w:sectPr w:rsidR="00D03362" w:rsidSect="00F70582">
          <w:footerReference w:type="default" r:id="rId18"/>
          <w:type w:val="continuous"/>
          <w:pgSz w:w="12240" w:h="15840"/>
          <w:pgMar w:top="1440" w:right="720" w:bottom="1440" w:left="720" w:header="720" w:footer="720" w:gutter="0"/>
          <w:cols w:space="720"/>
        </w:sectPr>
      </w:pPr>
    </w:p>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10895"/>
      </w:tblGrid>
      <w:tr w:rsidR="00DD6229" w14:paraId="0D6B50D9" w14:textId="77777777" w:rsidTr="00993CEF">
        <w:trPr>
          <w:trHeight w:val="432"/>
        </w:trPr>
        <w:tc>
          <w:tcPr>
            <w:tcW w:w="10895" w:type="dxa"/>
            <w:shd w:val="clear" w:color="auto" w:fill="F2F2F2" w:themeFill="background1" w:themeFillShade="F2"/>
            <w:vAlign w:val="center"/>
            <w:hideMark/>
          </w:tcPr>
          <w:p w14:paraId="650F0CCF" w14:textId="77777777" w:rsidR="00B05D9A" w:rsidRPr="00DC4148" w:rsidRDefault="00D310E2" w:rsidP="00993CEF">
            <w:pPr>
              <w:rPr>
                <w:b/>
                <w:bCs/>
                <w:szCs w:val="22"/>
              </w:rPr>
            </w:pPr>
            <w:r>
              <w:rPr>
                <w:b/>
                <w:bCs/>
                <w:szCs w:val="22"/>
              </w:rPr>
              <w:lastRenderedPageBreak/>
              <w:t>ADM STAFF</w:t>
            </w:r>
          </w:p>
        </w:tc>
      </w:tr>
    </w:tbl>
    <w:p w14:paraId="69093AAB" w14:textId="77777777" w:rsidR="00B05D9A" w:rsidRDefault="00B05D9A" w:rsidP="007A58DF"/>
    <w:tbl>
      <w:tblPr>
        <w:tblStyle w:val="TableGrid17"/>
        <w:tblW w:w="108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CellMar>
          <w:left w:w="115" w:type="dxa"/>
          <w:right w:w="115" w:type="dxa"/>
        </w:tblCellMar>
        <w:tblLook w:val="04A0" w:firstRow="1" w:lastRow="0" w:firstColumn="1" w:lastColumn="0" w:noHBand="0" w:noVBand="1"/>
      </w:tblPr>
      <w:tblGrid>
        <w:gridCol w:w="3474"/>
        <w:gridCol w:w="3551"/>
        <w:gridCol w:w="3870"/>
      </w:tblGrid>
      <w:tr w:rsidR="00DD6229" w14:paraId="0007030A"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221CA7E9" w14:textId="77777777" w:rsidR="0089319C" w:rsidRPr="00513594" w:rsidRDefault="00D310E2" w:rsidP="00993CEF">
            <w:pPr>
              <w:ind w:left="86"/>
              <w:rPr>
                <w:b/>
                <w:color w:val="002060"/>
                <w:szCs w:val="22"/>
              </w:rPr>
            </w:pPr>
            <w:r>
              <w:rPr>
                <w:color w:val="767171" w:themeColor="background2" w:themeShade="80"/>
                <w:szCs w:val="22"/>
              </w:rPr>
              <w:t>Role</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40625DCD" w14:textId="77777777" w:rsidR="0089319C" w:rsidRPr="00513594" w:rsidRDefault="00D310E2" w:rsidP="00993CEF">
            <w:pPr>
              <w:ind w:left="86"/>
              <w:rPr>
                <w:b/>
                <w:color w:val="002060"/>
                <w:szCs w:val="22"/>
              </w:rPr>
            </w:pPr>
            <w:r>
              <w:rPr>
                <w:color w:val="767171" w:themeColor="background2" w:themeShade="80"/>
                <w:szCs w:val="22"/>
              </w:rPr>
              <w:t>At Approval</w:t>
            </w:r>
          </w:p>
        </w:tc>
        <w:tc>
          <w:tcPr>
            <w:tcW w:w="3870" w:type="dxa"/>
            <w:tcBorders>
              <w:left w:val="single" w:sz="4" w:space="0" w:color="D0CECE"/>
              <w:bottom w:val="single" w:sz="4" w:space="0" w:color="D0CECE" w:themeColor="background2" w:themeShade="E6"/>
            </w:tcBorders>
            <w:shd w:val="clear" w:color="auto" w:fill="auto"/>
            <w:vAlign w:val="center"/>
          </w:tcPr>
          <w:p w14:paraId="18B5583E" w14:textId="77777777" w:rsidR="0089319C" w:rsidRPr="00513594" w:rsidRDefault="00D310E2" w:rsidP="00993CEF">
            <w:pPr>
              <w:rPr>
                <w:b/>
                <w:color w:val="002060"/>
                <w:szCs w:val="22"/>
              </w:rPr>
            </w:pPr>
            <w:r>
              <w:rPr>
                <w:color w:val="767171" w:themeColor="background2" w:themeShade="80"/>
                <w:szCs w:val="22"/>
              </w:rPr>
              <w:t>At ICR</w:t>
            </w:r>
          </w:p>
        </w:tc>
      </w:tr>
      <w:tr w:rsidR="00DD6229" w14:paraId="365AAF5E"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280C592C" w14:textId="77777777" w:rsidR="00FD00B7" w:rsidRDefault="00D310E2" w:rsidP="00FD00B7">
            <w:pPr>
              <w:ind w:left="86"/>
              <w:rPr>
                <w:color w:val="767171" w:themeColor="background2" w:themeShade="80"/>
                <w:szCs w:val="22"/>
              </w:rPr>
            </w:pPr>
            <w:r w:rsidRPr="00382C58">
              <w:rPr>
                <w:noProof/>
                <w:szCs w:val="22"/>
              </w:rPr>
              <w:t>Practice Manager</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7CC5ABD9" w14:textId="67E9DDC4" w:rsidR="00FD00B7" w:rsidRPr="0013261C" w:rsidRDefault="00B436A1" w:rsidP="00FD00B7">
            <w:pPr>
              <w:ind w:left="86"/>
              <w:rPr>
                <w:noProof/>
              </w:rPr>
            </w:pPr>
            <w:r w:rsidRPr="00B436A1">
              <w:rPr>
                <w:noProof/>
              </w:rPr>
              <w:t>Philip O’Keefe </w:t>
            </w:r>
          </w:p>
        </w:tc>
        <w:tc>
          <w:tcPr>
            <w:tcW w:w="3870" w:type="dxa"/>
            <w:tcBorders>
              <w:left w:val="single" w:sz="4" w:space="0" w:color="D0CECE"/>
              <w:bottom w:val="single" w:sz="4" w:space="0" w:color="D0CECE" w:themeColor="background2" w:themeShade="E6"/>
            </w:tcBorders>
            <w:shd w:val="clear" w:color="auto" w:fill="auto"/>
            <w:vAlign w:val="center"/>
          </w:tcPr>
          <w:p w14:paraId="465E9A85" w14:textId="64145EC4" w:rsidR="00FD00B7" w:rsidRPr="00A753D1" w:rsidRDefault="00CE19A9" w:rsidP="00FD00B7">
            <w:pPr>
              <w:rPr>
                <w:noProof/>
                <w:highlight w:val="cyan"/>
              </w:rPr>
            </w:pPr>
            <w:r w:rsidRPr="00CE19A9">
              <w:rPr>
                <w:noProof/>
              </w:rPr>
              <w:t>Camilla Holmemo</w:t>
            </w:r>
          </w:p>
        </w:tc>
      </w:tr>
      <w:tr w:rsidR="00DD6229" w14:paraId="5FD33C38"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500674D3" w14:textId="77777777" w:rsidR="00FD00B7" w:rsidRDefault="00D310E2" w:rsidP="00FD00B7">
            <w:pPr>
              <w:ind w:left="86"/>
              <w:rPr>
                <w:noProof/>
              </w:rPr>
            </w:pPr>
            <w:r w:rsidRPr="00A570B1">
              <w:rPr>
                <w:noProof/>
                <w:szCs w:val="22"/>
              </w:rPr>
              <w:t>Regional Director</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22BCAE07" w14:textId="372C69D2" w:rsidR="00FD00B7" w:rsidRDefault="00A707AA" w:rsidP="00FD00B7">
            <w:pPr>
              <w:ind w:left="86"/>
              <w:rPr>
                <w:noProof/>
              </w:rPr>
            </w:pPr>
            <w:r>
              <w:rPr>
                <w:noProof/>
              </w:rPr>
              <w:t xml:space="preserve">Daniel </w:t>
            </w:r>
            <w:r w:rsidR="00A9380B">
              <w:rPr>
                <w:noProof/>
              </w:rPr>
              <w:t>Du</w:t>
            </w:r>
            <w:r w:rsidR="00B12749">
              <w:rPr>
                <w:noProof/>
              </w:rPr>
              <w:t>litzky</w:t>
            </w:r>
          </w:p>
        </w:tc>
        <w:tc>
          <w:tcPr>
            <w:tcW w:w="3870" w:type="dxa"/>
            <w:tcBorders>
              <w:left w:val="single" w:sz="4" w:space="0" w:color="D0CECE"/>
              <w:bottom w:val="single" w:sz="4" w:space="0" w:color="D0CECE" w:themeColor="background2" w:themeShade="E6"/>
            </w:tcBorders>
            <w:shd w:val="clear" w:color="auto" w:fill="auto"/>
            <w:vAlign w:val="center"/>
          </w:tcPr>
          <w:p w14:paraId="3B6D012F" w14:textId="77777777" w:rsidR="00FD00B7" w:rsidRDefault="00D310E2" w:rsidP="00FD00B7">
            <w:pPr>
              <w:rPr>
                <w:noProof/>
              </w:rPr>
            </w:pPr>
            <w:r>
              <w:rPr>
                <w:noProof/>
              </w:rPr>
              <w:t>Alberto Rodriguez</w:t>
            </w:r>
          </w:p>
        </w:tc>
      </w:tr>
      <w:tr w:rsidR="00DD6229" w14:paraId="05D254B2"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45BA0982" w14:textId="77777777" w:rsidR="00FD00B7" w:rsidRDefault="00D310E2" w:rsidP="00FD00B7">
            <w:pPr>
              <w:ind w:left="86"/>
              <w:rPr>
                <w:color w:val="767171" w:themeColor="background2" w:themeShade="80"/>
                <w:szCs w:val="22"/>
              </w:rPr>
            </w:pPr>
            <w:r w:rsidRPr="00A570B1">
              <w:rPr>
                <w:noProof/>
                <w:szCs w:val="22"/>
              </w:rPr>
              <w:t>Global Director</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0D0B9FEA" w14:textId="7FB5B3DA" w:rsidR="00FD00B7" w:rsidRPr="0013261C" w:rsidRDefault="00B436A1" w:rsidP="00FD00B7">
            <w:pPr>
              <w:ind w:left="86"/>
              <w:rPr>
                <w:noProof/>
              </w:rPr>
            </w:pPr>
            <w:r>
              <w:rPr>
                <w:noProof/>
              </w:rPr>
              <w:t>Michal J. Rutkowski</w:t>
            </w:r>
          </w:p>
        </w:tc>
        <w:tc>
          <w:tcPr>
            <w:tcW w:w="3870" w:type="dxa"/>
            <w:tcBorders>
              <w:left w:val="single" w:sz="4" w:space="0" w:color="D0CECE"/>
              <w:bottom w:val="single" w:sz="4" w:space="0" w:color="D0CECE" w:themeColor="background2" w:themeShade="E6"/>
            </w:tcBorders>
            <w:shd w:val="clear" w:color="auto" w:fill="auto"/>
            <w:vAlign w:val="center"/>
          </w:tcPr>
          <w:p w14:paraId="120285C3" w14:textId="77777777" w:rsidR="00FD00B7" w:rsidRPr="0013261C" w:rsidRDefault="00D310E2" w:rsidP="00FD00B7">
            <w:pPr>
              <w:rPr>
                <w:noProof/>
              </w:rPr>
            </w:pPr>
            <w:r>
              <w:rPr>
                <w:noProof/>
              </w:rPr>
              <w:t>Iffath Anwar Sharif</w:t>
            </w:r>
          </w:p>
        </w:tc>
      </w:tr>
      <w:tr w:rsidR="00DD6229" w14:paraId="764D4FD2"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7107F5BF" w14:textId="77777777" w:rsidR="00FD00B7" w:rsidRDefault="00D310E2" w:rsidP="00FD00B7">
            <w:pPr>
              <w:ind w:left="86"/>
              <w:rPr>
                <w:noProof/>
              </w:rPr>
            </w:pPr>
            <w:r w:rsidRPr="00A570B1">
              <w:rPr>
                <w:noProof/>
                <w:szCs w:val="22"/>
              </w:rPr>
              <w:t>Practice Group Vice President</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596B8C5B" w14:textId="1A25BEEB" w:rsidR="00FD00B7" w:rsidRDefault="002703D3" w:rsidP="00FD00B7">
            <w:pPr>
              <w:ind w:left="86"/>
              <w:rPr>
                <w:noProof/>
              </w:rPr>
            </w:pPr>
            <w:r w:rsidRPr="002703D3">
              <w:rPr>
                <w:noProof/>
              </w:rPr>
              <w:t>Annette Dixon</w:t>
            </w:r>
          </w:p>
        </w:tc>
        <w:tc>
          <w:tcPr>
            <w:tcW w:w="3870" w:type="dxa"/>
            <w:tcBorders>
              <w:left w:val="single" w:sz="4" w:space="0" w:color="D0CECE"/>
              <w:bottom w:val="single" w:sz="4" w:space="0" w:color="D0CECE" w:themeColor="background2" w:themeShade="E6"/>
            </w:tcBorders>
            <w:shd w:val="clear" w:color="auto" w:fill="auto"/>
            <w:vAlign w:val="center"/>
          </w:tcPr>
          <w:p w14:paraId="0DF47586" w14:textId="77777777" w:rsidR="00FD00B7" w:rsidRDefault="00D310E2" w:rsidP="00FD00B7">
            <w:pPr>
              <w:rPr>
                <w:noProof/>
              </w:rPr>
            </w:pPr>
            <w:r>
              <w:rPr>
                <w:noProof/>
              </w:rPr>
              <w:t>Mamta Murthi</w:t>
            </w:r>
          </w:p>
        </w:tc>
      </w:tr>
      <w:tr w:rsidR="00DD6229" w14:paraId="030D6A3D"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0EFC29B2" w14:textId="77777777" w:rsidR="00FD00B7" w:rsidRDefault="00D310E2" w:rsidP="00FD00B7">
            <w:pPr>
              <w:ind w:left="86"/>
              <w:rPr>
                <w:color w:val="767171" w:themeColor="background2" w:themeShade="80"/>
                <w:szCs w:val="22"/>
              </w:rPr>
            </w:pPr>
            <w:r w:rsidRPr="00023E52">
              <w:rPr>
                <w:noProof/>
                <w:szCs w:val="22"/>
              </w:rPr>
              <w:t>Country Director</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7AD8559F" w14:textId="0E54E2D4" w:rsidR="00FD00B7" w:rsidRPr="0013261C" w:rsidRDefault="00B436A1" w:rsidP="00FD00B7">
            <w:pPr>
              <w:ind w:left="86"/>
              <w:rPr>
                <w:noProof/>
              </w:rPr>
            </w:pPr>
            <w:r w:rsidRPr="00B436A1">
              <w:rPr>
                <w:noProof/>
              </w:rPr>
              <w:t>Michel Kerf </w:t>
            </w:r>
          </w:p>
        </w:tc>
        <w:tc>
          <w:tcPr>
            <w:tcW w:w="3870" w:type="dxa"/>
            <w:tcBorders>
              <w:left w:val="single" w:sz="4" w:space="0" w:color="D0CECE"/>
              <w:bottom w:val="single" w:sz="4" w:space="0" w:color="D0CECE" w:themeColor="background2" w:themeShade="E6"/>
            </w:tcBorders>
            <w:shd w:val="clear" w:color="auto" w:fill="auto"/>
            <w:vAlign w:val="center"/>
          </w:tcPr>
          <w:p w14:paraId="5859AB4C" w14:textId="77777777" w:rsidR="00FD00B7" w:rsidRPr="0013261C" w:rsidRDefault="00D310E2" w:rsidP="00FD00B7">
            <w:pPr>
              <w:rPr>
                <w:noProof/>
              </w:rPr>
            </w:pPr>
            <w:r>
              <w:rPr>
                <w:noProof/>
              </w:rPr>
              <w:t>Stephen N. Ndegwa</w:t>
            </w:r>
          </w:p>
        </w:tc>
      </w:tr>
      <w:tr w:rsidR="00DD6229" w14:paraId="555C51C7"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34B161A7" w14:textId="77777777" w:rsidR="00FD00B7" w:rsidRDefault="00D310E2" w:rsidP="00FD00B7">
            <w:pPr>
              <w:ind w:left="86"/>
              <w:rPr>
                <w:noProof/>
              </w:rPr>
            </w:pPr>
            <w:r w:rsidRPr="00023E52">
              <w:rPr>
                <w:noProof/>
                <w:szCs w:val="22"/>
              </w:rPr>
              <w:t>Regional Vice President</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13FC260E" w14:textId="040A538B" w:rsidR="00FD00B7" w:rsidRDefault="00E94634" w:rsidP="00FD00B7">
            <w:pPr>
              <w:ind w:left="86"/>
              <w:rPr>
                <w:noProof/>
              </w:rPr>
            </w:pPr>
            <w:r w:rsidRPr="00E94634">
              <w:rPr>
                <w:noProof/>
              </w:rPr>
              <w:t>Victoria Kwakwa</w:t>
            </w:r>
          </w:p>
        </w:tc>
        <w:tc>
          <w:tcPr>
            <w:tcW w:w="3870" w:type="dxa"/>
            <w:tcBorders>
              <w:left w:val="single" w:sz="4" w:space="0" w:color="D0CECE"/>
              <w:bottom w:val="single" w:sz="4" w:space="0" w:color="D0CECE" w:themeColor="background2" w:themeShade="E6"/>
            </w:tcBorders>
            <w:shd w:val="clear" w:color="auto" w:fill="auto"/>
            <w:vAlign w:val="center"/>
          </w:tcPr>
          <w:p w14:paraId="4B4C9E28" w14:textId="77777777" w:rsidR="00FD00B7" w:rsidRDefault="00D310E2" w:rsidP="00FD00B7">
            <w:pPr>
              <w:rPr>
                <w:noProof/>
              </w:rPr>
            </w:pPr>
            <w:r>
              <w:rPr>
                <w:noProof/>
              </w:rPr>
              <w:t>Manuela V. Ferro</w:t>
            </w:r>
          </w:p>
        </w:tc>
      </w:tr>
      <w:tr w:rsidR="00DD6229" w14:paraId="05D557D5"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51BA12B0" w14:textId="77777777" w:rsidR="00FD00B7" w:rsidRDefault="00D310E2" w:rsidP="00FD00B7">
            <w:pPr>
              <w:ind w:left="86"/>
              <w:rPr>
                <w:color w:val="767171" w:themeColor="background2" w:themeShade="80"/>
                <w:szCs w:val="22"/>
              </w:rPr>
            </w:pPr>
            <w:r w:rsidRPr="00023E52">
              <w:rPr>
                <w:noProof/>
                <w:szCs w:val="22"/>
              </w:rPr>
              <w:t>ADM Responsible Team Leader</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6A6BCA25" w14:textId="6A3F0689" w:rsidR="00FD00B7" w:rsidRPr="0013261C" w:rsidRDefault="00E94634" w:rsidP="00FD00B7">
            <w:pPr>
              <w:ind w:left="86"/>
              <w:rPr>
                <w:noProof/>
              </w:rPr>
            </w:pPr>
            <w:r w:rsidRPr="00E94634">
              <w:rPr>
                <w:noProof/>
              </w:rPr>
              <w:t>Jesse Jon Gerome Doyle</w:t>
            </w:r>
          </w:p>
        </w:tc>
        <w:tc>
          <w:tcPr>
            <w:tcW w:w="3870" w:type="dxa"/>
            <w:tcBorders>
              <w:left w:val="single" w:sz="4" w:space="0" w:color="D0CECE"/>
              <w:bottom w:val="single" w:sz="4" w:space="0" w:color="D0CECE" w:themeColor="background2" w:themeShade="E6"/>
            </w:tcBorders>
            <w:shd w:val="clear" w:color="auto" w:fill="auto"/>
            <w:vAlign w:val="center"/>
          </w:tcPr>
          <w:p w14:paraId="4436CFF9" w14:textId="77777777" w:rsidR="00FD00B7" w:rsidRPr="0013261C" w:rsidRDefault="00D310E2" w:rsidP="00FD00B7">
            <w:pPr>
              <w:rPr>
                <w:noProof/>
              </w:rPr>
            </w:pPr>
            <w:r>
              <w:rPr>
                <w:noProof/>
              </w:rPr>
              <w:t>Kenia Hatsue Silva Parsons</w:t>
            </w:r>
          </w:p>
        </w:tc>
      </w:tr>
      <w:tr w:rsidR="00DD6229" w:rsidRPr="0068296B" w14:paraId="47B1A3CF"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649727B8" w14:textId="77777777" w:rsidR="00FD00B7" w:rsidRDefault="00D310E2" w:rsidP="00FD00B7">
            <w:pPr>
              <w:ind w:left="86"/>
              <w:rPr>
                <w:noProof/>
              </w:rPr>
            </w:pPr>
            <w:r w:rsidRPr="00302E29">
              <w:rPr>
                <w:noProof/>
                <w:szCs w:val="22"/>
              </w:rPr>
              <w:t>Co-Team Leader(s)</w:t>
            </w:r>
          </w:p>
        </w:tc>
        <w:tc>
          <w:tcPr>
            <w:tcW w:w="3551" w:type="dxa"/>
            <w:tcBorders>
              <w:left w:val="single" w:sz="4" w:space="0" w:color="D0CECE"/>
              <w:bottom w:val="single" w:sz="4" w:space="0" w:color="D0CECE" w:themeColor="background2" w:themeShade="E6"/>
              <w:right w:val="single" w:sz="4" w:space="0" w:color="D0CECE"/>
            </w:tcBorders>
            <w:shd w:val="clear" w:color="auto" w:fill="auto"/>
            <w:vAlign w:val="center"/>
          </w:tcPr>
          <w:p w14:paraId="15DBB788" w14:textId="19C357B6" w:rsidR="00FD00B7" w:rsidRDefault="00E94634" w:rsidP="00FD00B7">
            <w:pPr>
              <w:ind w:left="86"/>
              <w:rPr>
                <w:noProof/>
              </w:rPr>
            </w:pPr>
            <w:r w:rsidRPr="00E94634">
              <w:rPr>
                <w:noProof/>
              </w:rPr>
              <w:t>Binh Thanh Vu </w:t>
            </w:r>
          </w:p>
        </w:tc>
        <w:tc>
          <w:tcPr>
            <w:tcW w:w="3870" w:type="dxa"/>
            <w:tcBorders>
              <w:left w:val="single" w:sz="4" w:space="0" w:color="D0CECE"/>
              <w:bottom w:val="single" w:sz="4" w:space="0" w:color="D0CECE" w:themeColor="background2" w:themeShade="E6"/>
            </w:tcBorders>
            <w:shd w:val="clear" w:color="auto" w:fill="auto"/>
            <w:vAlign w:val="center"/>
          </w:tcPr>
          <w:p w14:paraId="291C8F49" w14:textId="77777777" w:rsidR="00FD00B7" w:rsidRPr="00F76E0A" w:rsidRDefault="00D310E2" w:rsidP="00FD00B7">
            <w:pPr>
              <w:rPr>
                <w:noProof/>
                <w:lang w:val="es-419"/>
              </w:rPr>
            </w:pPr>
            <w:r w:rsidRPr="00F76E0A">
              <w:rPr>
                <w:noProof/>
                <w:lang w:val="es-419"/>
              </w:rPr>
              <w:t>Janssen Edelweiss Nunes Fernandes Teixeira, Toufiq Ahmed</w:t>
            </w:r>
          </w:p>
        </w:tc>
      </w:tr>
      <w:tr w:rsidR="00DD6229" w14:paraId="16C2F942" w14:textId="77777777" w:rsidTr="0089319C">
        <w:trPr>
          <w:trHeight w:val="432"/>
        </w:trPr>
        <w:tc>
          <w:tcPr>
            <w:tcW w:w="3474" w:type="dxa"/>
            <w:tcBorders>
              <w:bottom w:val="single" w:sz="4" w:space="0" w:color="D0CECE" w:themeColor="background2" w:themeShade="E6"/>
              <w:right w:val="single" w:sz="4" w:space="0" w:color="D0CECE"/>
            </w:tcBorders>
            <w:shd w:val="clear" w:color="auto" w:fill="auto"/>
            <w:vAlign w:val="center"/>
          </w:tcPr>
          <w:p w14:paraId="04E61033" w14:textId="77777777" w:rsidR="0013261C" w:rsidRDefault="00D310E2" w:rsidP="0013261C">
            <w:pPr>
              <w:ind w:left="86"/>
              <w:rPr>
                <w:noProof/>
              </w:rPr>
            </w:pPr>
            <w:r w:rsidRPr="00FC4C4C">
              <w:rPr>
                <w:noProof/>
                <w:szCs w:val="22"/>
              </w:rPr>
              <w:t>ICR Main Contributor</w:t>
            </w:r>
          </w:p>
        </w:tc>
        <w:tc>
          <w:tcPr>
            <w:tcW w:w="7421" w:type="dxa"/>
            <w:gridSpan w:val="2"/>
            <w:tcBorders>
              <w:left w:val="single" w:sz="4" w:space="0" w:color="D0CECE"/>
              <w:bottom w:val="single" w:sz="4" w:space="0" w:color="D0CECE" w:themeColor="background2" w:themeShade="E6"/>
            </w:tcBorders>
            <w:shd w:val="clear" w:color="auto" w:fill="auto"/>
            <w:vAlign w:val="center"/>
          </w:tcPr>
          <w:p w14:paraId="09081965" w14:textId="25FB0757" w:rsidR="0013261C" w:rsidRDefault="00F76E0A" w:rsidP="0013261C">
            <w:pPr>
              <w:rPr>
                <w:noProof/>
              </w:rPr>
            </w:pPr>
            <w:r>
              <w:rPr>
                <w:rFonts w:eastAsiaTheme="minorHAnsi"/>
                <w:color w:val="000000"/>
                <w:szCs w:val="22"/>
              </w:rPr>
              <w:t xml:space="preserve">Aishwarya Patil, Sandor </w:t>
            </w:r>
            <w:r w:rsidRPr="00F76E0A">
              <w:rPr>
                <w:rFonts w:eastAsiaTheme="minorHAnsi"/>
                <w:color w:val="000000"/>
                <w:szCs w:val="22"/>
              </w:rPr>
              <w:t>Karacsony</w:t>
            </w:r>
          </w:p>
        </w:tc>
      </w:tr>
    </w:tbl>
    <w:p w14:paraId="50E109FB" w14:textId="77777777" w:rsidR="00B05D9A" w:rsidRPr="00D721CB" w:rsidRDefault="00B05D9A" w:rsidP="007A58DF"/>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5431518F" w14:textId="77777777" w:rsidTr="00DE64B3">
        <w:trPr>
          <w:trHeight w:val="403"/>
        </w:trPr>
        <w:tc>
          <w:tcPr>
            <w:tcW w:w="10980" w:type="dxa"/>
            <w:shd w:val="clear" w:color="auto" w:fill="F2F7FC"/>
            <w:vAlign w:val="center"/>
          </w:tcPr>
          <w:p w14:paraId="6448B414" w14:textId="77777777" w:rsidR="00447EA0" w:rsidRPr="00DD5666" w:rsidRDefault="00D310E2" w:rsidP="00A15F63">
            <w:pPr>
              <w:pStyle w:val="Heading3"/>
              <w:keepNext w:val="0"/>
              <w:keepLines w:val="0"/>
              <w:numPr>
                <w:ilvl w:val="0"/>
                <w:numId w:val="2"/>
              </w:numPr>
              <w:ind w:left="345" w:hanging="187"/>
              <w:rPr>
                <w:noProof/>
              </w:rPr>
            </w:pPr>
            <w:bookmarkStart w:id="4" w:name="_Toc78351305"/>
            <w:bookmarkStart w:id="5" w:name="_Toc198922295"/>
            <w:bookmarkStart w:id="6" w:name="_Hlk78994324"/>
            <w:r w:rsidRPr="00CA25DD">
              <w:rPr>
                <w:rFonts w:eastAsia="Times New Roman"/>
              </w:rPr>
              <w:t>PROJECT CONTEXT AND DEVELOPMENT OBJECTIVES</w:t>
            </w:r>
            <w:bookmarkEnd w:id="4"/>
            <w:bookmarkEnd w:id="5"/>
          </w:p>
        </w:tc>
      </w:tr>
      <w:bookmarkEnd w:id="6"/>
    </w:tbl>
    <w:p w14:paraId="0312C32E" w14:textId="77777777" w:rsidR="00CE7E5B" w:rsidRDefault="00CE7E5B" w:rsidP="00447EA0"/>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18830C7D" w14:textId="77777777" w:rsidTr="004668AD">
        <w:trPr>
          <w:trHeight w:val="403"/>
        </w:trPr>
        <w:tc>
          <w:tcPr>
            <w:tcW w:w="10980" w:type="dxa"/>
            <w:shd w:val="clear" w:color="auto" w:fill="auto"/>
            <w:vAlign w:val="center"/>
          </w:tcPr>
          <w:p w14:paraId="01D6623A" w14:textId="77777777" w:rsidR="00DE64B3" w:rsidRPr="00173459" w:rsidRDefault="00D310E2" w:rsidP="00A15F63">
            <w:pPr>
              <w:pStyle w:val="ListParagraph"/>
              <w:numPr>
                <w:ilvl w:val="0"/>
                <w:numId w:val="3"/>
              </w:numPr>
              <w:spacing w:line="259" w:lineRule="auto"/>
              <w:rPr>
                <w:rFonts w:eastAsia="Calibri" w:cstheme="minorHAnsi"/>
                <w:b/>
                <w:bCs/>
              </w:rPr>
            </w:pPr>
            <w:bookmarkStart w:id="7" w:name="_Hlk78994478"/>
            <w:r w:rsidRPr="00173459">
              <w:rPr>
                <w:rFonts w:eastAsia="Calibri" w:cstheme="minorHAnsi"/>
                <w:b/>
                <w:bCs/>
              </w:rPr>
              <w:t>CONTEXT AT APPRAISAL</w:t>
            </w:r>
          </w:p>
        </w:tc>
      </w:tr>
      <w:bookmarkEnd w:id="7"/>
    </w:tbl>
    <w:p w14:paraId="7682D179" w14:textId="77777777" w:rsidR="00CA25DD" w:rsidRDefault="00CA25DD" w:rsidP="00447EA0"/>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0"/>
      </w:tblGrid>
      <w:tr w:rsidR="00DD6229" w14:paraId="21FC9DEA" w14:textId="77777777" w:rsidTr="0035024F">
        <w:trPr>
          <w:trHeight w:val="872"/>
        </w:trPr>
        <w:tc>
          <w:tcPr>
            <w:tcW w:w="11070" w:type="dxa"/>
          </w:tcPr>
          <w:p w14:paraId="0CEB94A8" w14:textId="77777777" w:rsidR="00A93EB1" w:rsidRPr="00173459" w:rsidRDefault="00D310E2" w:rsidP="00DF5474">
            <w:pPr>
              <w:jc w:val="both"/>
              <w:rPr>
                <w:rFonts w:eastAsia="Calibri" w:cstheme="minorHAnsi"/>
                <w:b/>
                <w:bCs/>
              </w:rPr>
            </w:pPr>
            <w:r w:rsidRPr="00173459">
              <w:rPr>
                <w:rFonts w:eastAsia="Calibri" w:cstheme="minorHAnsi"/>
                <w:b/>
                <w:bCs/>
              </w:rPr>
              <w:t>Context</w:t>
            </w:r>
          </w:p>
          <w:p w14:paraId="44443938" w14:textId="35AB9457" w:rsidR="00173459" w:rsidRPr="00173459" w:rsidRDefault="6C5F76EA" w:rsidP="00615339">
            <w:pPr>
              <w:pStyle w:val="ListParagraph"/>
              <w:numPr>
                <w:ilvl w:val="0"/>
                <w:numId w:val="10"/>
              </w:numPr>
              <w:spacing w:after="240"/>
              <w:ind w:left="0" w:firstLine="0"/>
              <w:jc w:val="both"/>
              <w:rPr>
                <w:rFonts w:eastAsia="Calibri"/>
              </w:rPr>
            </w:pPr>
            <w:r w:rsidRPr="10ABB9FD">
              <w:rPr>
                <w:rStyle w:val="normaltextrun"/>
                <w:color w:val="000000"/>
              </w:rPr>
              <w:t>Tonga, a small Pacific Island Country (PIC) comprising 171 islands, is classified as upper middle-income with a gross national income (GNI) per capita of US$ 5,190 in 2023.</w:t>
            </w:r>
            <w:r w:rsidR="00173459" w:rsidRPr="10ABB9FD">
              <w:rPr>
                <w:rStyle w:val="FootnoteReference"/>
                <w:color w:val="000000"/>
              </w:rPr>
              <w:footnoteReference w:id="2"/>
            </w:r>
            <w:r w:rsidRPr="10ABB9FD">
              <w:rPr>
                <w:rStyle w:val="normaltextrun"/>
                <w:color w:val="000000"/>
              </w:rPr>
              <w:t xml:space="preserve"> A strong economic growth over the past decade </w:t>
            </w:r>
            <w:r w:rsidR="001627F7">
              <w:rPr>
                <w:rStyle w:val="normaltextrun"/>
                <w:color w:val="000000"/>
              </w:rPr>
              <w:t xml:space="preserve">combined with </w:t>
            </w:r>
            <w:r w:rsidR="001627F7" w:rsidRPr="00A55FE3">
              <w:rPr>
                <w:rStyle w:val="normaltextrun"/>
                <w:color w:val="000000"/>
                <w:highlight w:val="yellow"/>
              </w:rPr>
              <w:t xml:space="preserve">remittances have </w:t>
            </w:r>
            <w:r w:rsidRPr="00A55FE3">
              <w:rPr>
                <w:rStyle w:val="normaltextrun"/>
                <w:color w:val="000000"/>
                <w:highlight w:val="yellow"/>
              </w:rPr>
              <w:t>contributed to significant poverty reduction</w:t>
            </w:r>
            <w:r w:rsidR="005C0F78" w:rsidRPr="00A55FE3">
              <w:rPr>
                <w:rStyle w:val="normaltextrun"/>
                <w:color w:val="000000"/>
                <w:highlight w:val="yellow"/>
              </w:rPr>
              <w:t>,</w:t>
            </w:r>
            <w:r w:rsidR="005C0F78">
              <w:rPr>
                <w:rStyle w:val="normaltextrun"/>
                <w:color w:val="000000"/>
              </w:rPr>
              <w:t xml:space="preserve"> with </w:t>
            </w:r>
            <w:r w:rsidR="005C0F78" w:rsidRPr="005C0F78">
              <w:rPr>
                <w:rStyle w:val="normaltextrun"/>
                <w:color w:val="000000"/>
              </w:rPr>
              <w:t xml:space="preserve">poverty rate at the national poverty line </w:t>
            </w:r>
            <w:r w:rsidR="005C0F78">
              <w:rPr>
                <w:rStyle w:val="normaltextrun"/>
                <w:color w:val="000000"/>
              </w:rPr>
              <w:t xml:space="preserve">having </w:t>
            </w:r>
            <w:r w:rsidR="005C0F78" w:rsidRPr="005C0F78">
              <w:rPr>
                <w:rStyle w:val="normaltextrun"/>
                <w:color w:val="000000"/>
              </w:rPr>
              <w:t>declined from</w:t>
            </w:r>
            <w:r w:rsidR="005C0F78">
              <w:rPr>
                <w:rStyle w:val="normaltextrun"/>
                <w:color w:val="000000"/>
              </w:rPr>
              <w:t xml:space="preserve"> </w:t>
            </w:r>
            <w:r w:rsidR="005C0F78" w:rsidRPr="005C0F78">
              <w:rPr>
                <w:rStyle w:val="normaltextrun"/>
                <w:color w:val="000000"/>
              </w:rPr>
              <w:t>an estimated 27.4 percent in 2015/16 to 20.6 percent in 2021</w:t>
            </w:r>
            <w:r w:rsidRPr="10ABB9FD">
              <w:rPr>
                <w:rStyle w:val="normaltextrun"/>
                <w:color w:val="000000"/>
              </w:rPr>
              <w:t>.</w:t>
            </w:r>
            <w:r w:rsidR="008B6CF1">
              <w:rPr>
                <w:rStyle w:val="FootnoteReference"/>
                <w:color w:val="000000"/>
              </w:rPr>
              <w:footnoteReference w:id="3"/>
            </w:r>
            <w:r w:rsidRPr="10ABB9FD">
              <w:rPr>
                <w:rStyle w:val="normaltextrun"/>
                <w:color w:val="000000"/>
              </w:rPr>
              <w:t xml:space="preserve"> However, the sustainability of this growth is challenged by a small population size, high rate of migration,</w:t>
            </w:r>
            <w:r w:rsidR="00173459" w:rsidRPr="10ABB9FD">
              <w:rPr>
                <w:rStyle w:val="FootnoteReference"/>
                <w:color w:val="000000"/>
              </w:rPr>
              <w:footnoteReference w:id="4"/>
            </w:r>
            <w:r w:rsidRPr="10ABB9FD">
              <w:rPr>
                <w:rStyle w:val="normaltextrun"/>
                <w:color w:val="000000"/>
              </w:rPr>
              <w:t xml:space="preserve"> remoteness from </w:t>
            </w:r>
            <w:r w:rsidRPr="10ABB9FD">
              <w:rPr>
                <w:color w:val="000000"/>
              </w:rPr>
              <w:t>major centers of economic activity,</w:t>
            </w:r>
            <w:r w:rsidRPr="10ABB9FD">
              <w:t xml:space="preserve"> and a </w:t>
            </w:r>
            <w:r w:rsidRPr="10ABB9FD">
              <w:rPr>
                <w:color w:val="000000"/>
              </w:rPr>
              <w:t>high degree of exposure t</w:t>
            </w:r>
            <w:r w:rsidRPr="10ABB9FD">
              <w:t>o</w:t>
            </w:r>
            <w:r w:rsidRPr="10ABB9FD">
              <w:rPr>
                <w:color w:val="000000"/>
              </w:rPr>
              <w:t xml:space="preserve"> external economic shocks, climate change, and natural disasters. In a single decade, the archipelago’s population of a little over 100,000 has endured major shocks including three Tropical Cyclones (TC), the </w:t>
            </w:r>
            <w:r w:rsidRPr="10ABB9FD">
              <w:rPr>
                <w:color w:val="000000"/>
              </w:rPr>
              <w:lastRenderedPageBreak/>
              <w:t xml:space="preserve">Covid-19 pandemic, and the Hunga- Tonga Hunga-Ha’apai (HT-HH) volcanic eruption. </w:t>
            </w:r>
            <w:r w:rsidRPr="00A55FE3">
              <w:rPr>
                <w:color w:val="000000"/>
                <w:highlight w:val="yellow"/>
              </w:rPr>
              <w:t>This fragility is exacerbated by Tonga’s high dependence on climate sensitive sectors such as agriculture, fisheries, and tourism</w:t>
            </w:r>
            <w:r w:rsidRPr="10ABB9FD">
              <w:rPr>
                <w:color w:val="000000"/>
              </w:rPr>
              <w:t xml:space="preserve">. </w:t>
            </w:r>
            <w:r w:rsidR="00A024D4" w:rsidRPr="00AD5130">
              <w:rPr>
                <w:rFonts w:ascii="Calibri" w:hAnsi="Calibri" w:cs="Calibri"/>
              </w:rPr>
              <w:t xml:space="preserve">Migration through short-term labor mobility is becoming an increasingly significant feature of the labor market, </w:t>
            </w:r>
            <w:r w:rsidR="00A024D4" w:rsidRPr="00A55FE3">
              <w:rPr>
                <w:rFonts w:ascii="Calibri" w:hAnsi="Calibri" w:cs="Calibri"/>
                <w:highlight w:val="yellow"/>
              </w:rPr>
              <w:t>signaling a growing labor drain.</w:t>
            </w:r>
            <w:r w:rsidR="00A024D4" w:rsidRPr="00DD44BE">
              <w:rPr>
                <w:rFonts w:ascii="Calibri" w:hAnsi="Calibri" w:cs="Calibri"/>
              </w:rPr>
              <w:t xml:space="preserve"> Participation in the Temporary Labor Mobility Scheme (TLMS) reached approximately 11 percent of the working-age population in 2022–23.</w:t>
            </w:r>
            <w:r w:rsidR="00A024D4" w:rsidRPr="005452C9">
              <w:rPr>
                <w:rStyle w:val="FootnoteReference"/>
                <w:rFonts w:ascii="Calibri" w:eastAsia="Open Sans" w:hAnsi="Calibri" w:cs="Calibri"/>
              </w:rPr>
              <w:footnoteReference w:id="5"/>
            </w:r>
            <w:r w:rsidR="00A024D4" w:rsidRPr="00DD44BE">
              <w:rPr>
                <w:rFonts w:ascii="Calibri" w:hAnsi="Calibri" w:cs="Calibri"/>
              </w:rPr>
              <w:t xml:space="preserve"> The temporary migrant labor force is </w:t>
            </w:r>
            <w:r w:rsidR="00A024D4" w:rsidRPr="00863659">
              <w:rPr>
                <w:rFonts w:ascii="Calibri" w:hAnsi="Calibri" w:cs="Calibri"/>
              </w:rPr>
              <w:t xml:space="preserve">predominantly </w:t>
            </w:r>
            <w:r w:rsidR="00A024D4">
              <w:rPr>
                <w:rFonts w:ascii="Calibri" w:hAnsi="Calibri" w:cs="Calibri"/>
              </w:rPr>
              <w:t xml:space="preserve">male and </w:t>
            </w:r>
            <w:r w:rsidR="00A024D4" w:rsidRPr="00863659">
              <w:rPr>
                <w:rFonts w:ascii="Calibri" w:hAnsi="Calibri" w:cs="Calibri"/>
              </w:rPr>
              <w:t>young</w:t>
            </w:r>
            <w:r w:rsidR="00A024D4" w:rsidRPr="00DD44BE">
              <w:rPr>
                <w:rFonts w:ascii="Calibri" w:hAnsi="Calibri" w:cs="Calibri"/>
              </w:rPr>
              <w:t>.</w:t>
            </w:r>
            <w:r w:rsidR="00A024D4">
              <w:rPr>
                <w:rFonts w:ascii="Calibri" w:hAnsi="Calibri" w:cs="Calibri"/>
              </w:rPr>
              <w:t xml:space="preserve"> </w:t>
            </w:r>
            <w:r w:rsidRPr="10ABB9FD">
              <w:rPr>
                <w:color w:val="000000"/>
              </w:rPr>
              <w:t>Remittances from outmigration are a critical source of income for Tongans. While progress in these sectors have led to improvements in living standards, the structural challenges and fluctuations in global economic conditions pose a risk to poverty alleviation and inclusive growth.</w:t>
            </w:r>
          </w:p>
          <w:p w14:paraId="362BB40E" w14:textId="77777777" w:rsidR="00173459" w:rsidRPr="00173459" w:rsidRDefault="00173459" w:rsidP="00DF5474">
            <w:pPr>
              <w:pStyle w:val="ListParagraph"/>
              <w:spacing w:after="240"/>
              <w:ind w:left="360"/>
              <w:jc w:val="both"/>
              <w:rPr>
                <w:rFonts w:eastAsia="Calibri" w:cstheme="minorHAnsi"/>
              </w:rPr>
            </w:pPr>
          </w:p>
          <w:p w14:paraId="3F1D9B03" w14:textId="77777777" w:rsidR="00173459" w:rsidRDefault="00173459" w:rsidP="00615339">
            <w:pPr>
              <w:pStyle w:val="ListParagraph"/>
              <w:numPr>
                <w:ilvl w:val="0"/>
                <w:numId w:val="10"/>
              </w:numPr>
              <w:spacing w:before="240"/>
              <w:ind w:left="-15" w:firstLine="15"/>
              <w:jc w:val="both"/>
              <w:rPr>
                <w:rFonts w:eastAsia="Calibri" w:cstheme="minorHAnsi"/>
              </w:rPr>
            </w:pPr>
            <w:r w:rsidRPr="00173459">
              <w:rPr>
                <w:rFonts w:eastAsia="Calibri" w:cstheme="minorHAnsi"/>
              </w:rPr>
              <w:t>At the time of appraisal of the Skills and Employment for Tongans Project (hereafter, “SET” or “the Project”), Tongans faced barriers to opportunities both domestically and for economic migration abroad. The barriers began at school-age, when less than three among every five children from the poorest households attended secondary school. This low enrollment or dropout problem had been attributed to, among others, financial constraints for households, lack of motivation for academic pursuits, and a belief that schools were not preparing students for the workplace. A transition into employment was affected, as seen by a large proportion of adults who remained unemployed or inactive. While there was a well-established Technical and Vocational Education and Training (TVET) system in place to supply skills, anecdotal evidence suggested that the training provided was not well matched with the skills demanded by domestic as well as international markets. On the labor demand side, domestic job creation had been limited, as evidenced by very few new jobs being advertised, the majority of which were in the public sector. Other barriers contributing to the supply-demand mismatches included employers reporting difficulties in recruiting staff with appropriate foundational, technical, and socio-emotional skills, a lack of recognition of Tonga’s national skills certification by employers abroad, a high domestic reservation wage among those willing to work, information asymmetries, and a lack of accurate data and sector strategies required to make decisions.</w:t>
            </w:r>
          </w:p>
          <w:p w14:paraId="1610A45C" w14:textId="77777777" w:rsidR="00173459" w:rsidRDefault="00173459" w:rsidP="00DF5474">
            <w:pPr>
              <w:pStyle w:val="ListParagraph"/>
              <w:spacing w:before="240"/>
              <w:ind w:left="360"/>
              <w:jc w:val="both"/>
              <w:rPr>
                <w:rFonts w:eastAsia="Calibri" w:cstheme="minorHAnsi"/>
              </w:rPr>
            </w:pPr>
          </w:p>
          <w:p w14:paraId="06425051" w14:textId="5E587549" w:rsidR="00173459" w:rsidRDefault="6C5F76EA" w:rsidP="00615339">
            <w:pPr>
              <w:pStyle w:val="ListParagraph"/>
              <w:numPr>
                <w:ilvl w:val="0"/>
                <w:numId w:val="10"/>
              </w:numPr>
              <w:spacing w:before="240"/>
              <w:ind w:left="0" w:firstLine="0"/>
              <w:jc w:val="both"/>
              <w:rPr>
                <w:rFonts w:eastAsia="Calibri"/>
              </w:rPr>
            </w:pPr>
            <w:r w:rsidRPr="10ABB9FD">
              <w:rPr>
                <w:rFonts w:eastAsia="Calibri"/>
              </w:rPr>
              <w:t>The burden of these challenges was disproportionately borne by the most vulnerable Tongans</w:t>
            </w:r>
            <w:r w:rsidR="005C0F78">
              <w:rPr>
                <w:rFonts w:eastAsia="Calibri"/>
              </w:rPr>
              <w:t xml:space="preserve">, i.e., </w:t>
            </w:r>
            <w:r w:rsidR="003A1ED2">
              <w:rPr>
                <w:rFonts w:eastAsia="Calibri"/>
              </w:rPr>
              <w:t xml:space="preserve">households </w:t>
            </w:r>
            <w:r w:rsidR="003A1ED2" w:rsidRPr="10ABB9FD">
              <w:rPr>
                <w:rFonts w:eastAsia="Calibri"/>
              </w:rPr>
              <w:t>under</w:t>
            </w:r>
            <w:r w:rsidR="00D626A9">
              <w:rPr>
                <w:rFonts w:eastAsia="Calibri"/>
              </w:rPr>
              <w:t xml:space="preserve"> the national monetary poverty line, as well as </w:t>
            </w:r>
            <w:r w:rsidRPr="10ABB9FD">
              <w:rPr>
                <w:rFonts w:eastAsia="Calibri"/>
              </w:rPr>
              <w:t>females, inhabitants of rural areas (almost 75 percent of the population). Social protection systems are at a nascent stage in Tonga, with only categorical programs targeting the elderly or persons with disabilities in place at the time of appraisal. Pre-pandemic, Tonga spent less than 0.4 percent of its GDP on social assistance – well below regional and global averages (Gould and Wai-Poi, 2022). Encouraged by support from the World Bank’s technical assistance leading up to the Project’s preparation, the Social Protection and Disability Division (SPDD) of the Ministry of Internal Affairs (MIA) recognized the need to develop a poverty alleviation program. This effort toward an adequate social protection system in the country led to the SPDD implementing the Pacific’s first conditional cash transfer (CCT) program targeting poor families – a component of SET. Implementation of a CCT required, among others, a Management Information System (MIS), operational capacity within the government, and a registry of the poor – all pre-requisites that were yet to be established prior to SET.</w:t>
            </w:r>
          </w:p>
          <w:p w14:paraId="5B99CCBA" w14:textId="77777777" w:rsidR="00173459" w:rsidRDefault="00173459" w:rsidP="00DF5474">
            <w:pPr>
              <w:pStyle w:val="ListParagraph"/>
              <w:spacing w:before="240"/>
              <w:ind w:left="360"/>
              <w:jc w:val="both"/>
              <w:rPr>
                <w:rFonts w:eastAsia="Calibri" w:cstheme="minorHAnsi"/>
              </w:rPr>
            </w:pPr>
          </w:p>
          <w:p w14:paraId="13AAFEC6" w14:textId="1F739995" w:rsidR="00173459" w:rsidRPr="00173459" w:rsidRDefault="00173459" w:rsidP="00615339">
            <w:pPr>
              <w:pStyle w:val="ListParagraph"/>
              <w:numPr>
                <w:ilvl w:val="0"/>
                <w:numId w:val="10"/>
              </w:numPr>
              <w:spacing w:before="240"/>
              <w:ind w:left="-15" w:firstLine="15"/>
              <w:jc w:val="both"/>
              <w:rPr>
                <w:rFonts w:eastAsia="Calibri" w:cstheme="minorHAnsi"/>
              </w:rPr>
            </w:pPr>
            <w:r w:rsidRPr="00173459">
              <w:rPr>
                <w:rFonts w:eastAsia="Calibri" w:cstheme="minorHAnsi"/>
              </w:rPr>
              <w:t>To this end, the Government of Tonga (GoT) set out a vision for improved and inclusive employment opportunities for Tongans. On August 28, 2018, the GoT approved SET. The Project was timely and aligned with goals of Tonga’s Strategic Development Framework 2015–2025. Particularly, SET aimed to: (i) place the building blocks for a knowledge‐based economy through TVET, (ii) foster human development and address gender and economic inequalities through the very first conditional cash transfer (CCT) program in the Pacific region, and (iii) facilitate better access to employment opportunities abroad through the provision of migration support services.</w:t>
            </w:r>
          </w:p>
        </w:tc>
      </w:tr>
      <w:tr w:rsidR="00DD6229" w14:paraId="6866D676" w14:textId="77777777" w:rsidTr="0035024F">
        <w:trPr>
          <w:trHeight w:val="872"/>
        </w:trPr>
        <w:tc>
          <w:tcPr>
            <w:tcW w:w="11070" w:type="dxa"/>
          </w:tcPr>
          <w:p w14:paraId="22D8E7EB" w14:textId="77777777" w:rsidR="00173459" w:rsidRDefault="00173459" w:rsidP="00A93EB1">
            <w:pPr>
              <w:rPr>
                <w:rFonts w:eastAsia="Calibri" w:cstheme="minorHAnsi"/>
              </w:rPr>
            </w:pPr>
          </w:p>
          <w:p w14:paraId="7915E0A3" w14:textId="77777777" w:rsidR="00A93EB1" w:rsidRDefault="00D310E2" w:rsidP="00A93EB1">
            <w:pPr>
              <w:rPr>
                <w:rFonts w:eastAsia="Calibri" w:cstheme="minorHAnsi"/>
                <w:b/>
                <w:bCs/>
              </w:rPr>
            </w:pPr>
            <w:r w:rsidRPr="00173459">
              <w:rPr>
                <w:rFonts w:eastAsia="Calibri" w:cstheme="minorHAnsi"/>
                <w:b/>
                <w:bCs/>
              </w:rPr>
              <w:t>Theory of Change (Results Chain)</w:t>
            </w:r>
          </w:p>
          <w:p w14:paraId="363B6CE8" w14:textId="061BD7DD" w:rsidR="00173459" w:rsidRDefault="00173459" w:rsidP="00615339">
            <w:pPr>
              <w:pStyle w:val="ListParagraph"/>
              <w:numPr>
                <w:ilvl w:val="0"/>
                <w:numId w:val="10"/>
              </w:numPr>
              <w:ind w:left="0" w:firstLine="0"/>
              <w:jc w:val="both"/>
              <w:rPr>
                <w:rFonts w:eastAsia="Calibri" w:cstheme="minorHAnsi"/>
              </w:rPr>
            </w:pPr>
            <w:r w:rsidRPr="00173459">
              <w:rPr>
                <w:rFonts w:eastAsia="Calibri" w:cstheme="minorHAnsi"/>
              </w:rPr>
              <w:t xml:space="preserve">A Theory of Change (ToC) was not required at the time of </w:t>
            </w:r>
            <w:r w:rsidR="003A1ED2" w:rsidRPr="00173459">
              <w:rPr>
                <w:rFonts w:eastAsia="Calibri" w:cstheme="minorHAnsi"/>
              </w:rPr>
              <w:t>appraisal and</w:t>
            </w:r>
            <w:r w:rsidRPr="00173459">
              <w:rPr>
                <w:rFonts w:eastAsia="Calibri" w:cstheme="minorHAnsi"/>
              </w:rPr>
              <w:t xml:space="preserve"> thus was not developed at the design stage. Figure 1 depicts the ToC inferred from context and appraisal, project activities, linking the interventions included in each of the four components (inputs) to their expected outputs, the outputs to their corresponding outcomes and finally, the outcomes of the expected long-term impact.</w:t>
            </w:r>
          </w:p>
          <w:p w14:paraId="71A2C0B8" w14:textId="77777777" w:rsidR="00234A04" w:rsidRDefault="00234A04" w:rsidP="00234A04">
            <w:pPr>
              <w:rPr>
                <w:rFonts w:eastAsia="Calibri" w:cstheme="minorHAnsi"/>
                <w:b/>
                <w:bCs/>
              </w:rPr>
            </w:pPr>
          </w:p>
          <w:p w14:paraId="6086AA1D" w14:textId="50E80F60" w:rsidR="00173459" w:rsidRPr="00234A04" w:rsidRDefault="00173459" w:rsidP="00234A04">
            <w:pPr>
              <w:rPr>
                <w:rFonts w:eastAsia="Calibri" w:cstheme="minorHAnsi"/>
                <w:b/>
                <w:bCs/>
              </w:rPr>
            </w:pPr>
            <w:r w:rsidRPr="00234A04">
              <w:rPr>
                <w:rFonts w:eastAsia="Calibri" w:cstheme="minorHAnsi"/>
                <w:b/>
                <w:bCs/>
              </w:rPr>
              <w:t xml:space="preserve">Figure 1: Theory of Change  </w:t>
            </w:r>
          </w:p>
          <w:tbl>
            <w:tblPr>
              <w:tblStyle w:val="TableGrid"/>
              <w:tblW w:w="0" w:type="auto"/>
              <w:tblLook w:val="04A0" w:firstRow="1" w:lastRow="0" w:firstColumn="1" w:lastColumn="0" w:noHBand="0" w:noVBand="1"/>
            </w:tblPr>
            <w:tblGrid>
              <w:gridCol w:w="1778"/>
              <w:gridCol w:w="2702"/>
              <w:gridCol w:w="1890"/>
              <w:gridCol w:w="2700"/>
              <w:gridCol w:w="1329"/>
            </w:tblGrid>
            <w:tr w:rsidR="000C6C28" w:rsidRPr="001C6D61" w14:paraId="128201B4" w14:textId="736CEFB5" w:rsidTr="00ED04DC">
              <w:tc>
                <w:tcPr>
                  <w:tcW w:w="1778" w:type="dxa"/>
                </w:tcPr>
                <w:p w14:paraId="29390C0E"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Problem statement</w:t>
                  </w:r>
                </w:p>
              </w:tc>
              <w:tc>
                <w:tcPr>
                  <w:tcW w:w="7292" w:type="dxa"/>
                  <w:gridSpan w:val="3"/>
                </w:tcPr>
                <w:p w14:paraId="0C902FAF" w14:textId="77777777" w:rsidR="000C6C28" w:rsidRPr="001C6D61" w:rsidRDefault="000C6C28" w:rsidP="00173459">
                  <w:pPr>
                    <w:rPr>
                      <w:rFonts w:ascii="Calibri" w:hAnsi="Calibri" w:cs="Calibri"/>
                      <w:sz w:val="20"/>
                      <w:szCs w:val="20"/>
                    </w:rPr>
                  </w:pPr>
                  <w:r w:rsidRPr="00634295">
                    <w:rPr>
                      <w:rFonts w:ascii="Calibri" w:hAnsi="Calibri" w:cs="Calibri"/>
                      <w:sz w:val="20"/>
                      <w:szCs w:val="20"/>
                    </w:rPr>
                    <w:t>Tongans, especially youth from vulnerable households, the Outer Islands, and women, face financial constraints to access and complete education and training. This translates into lack of necessary skills and qualifications to access job opportunities, both domestically and abroad</w:t>
                  </w:r>
                  <w:r>
                    <w:rPr>
                      <w:rFonts w:ascii="Calibri" w:hAnsi="Calibri" w:cs="Calibri"/>
                      <w:sz w:val="20"/>
                      <w:szCs w:val="20"/>
                    </w:rPr>
                    <w:t>.</w:t>
                  </w:r>
                </w:p>
              </w:tc>
              <w:tc>
                <w:tcPr>
                  <w:tcW w:w="1329" w:type="dxa"/>
                </w:tcPr>
                <w:p w14:paraId="3534DAAE" w14:textId="0E00EF0D" w:rsidR="000C6C28" w:rsidRPr="00ED04DC" w:rsidRDefault="000C6C28" w:rsidP="00173459">
                  <w:pPr>
                    <w:rPr>
                      <w:rFonts w:ascii="Calibri" w:hAnsi="Calibri" w:cs="Calibri"/>
                      <w:b/>
                      <w:bCs/>
                      <w:sz w:val="20"/>
                      <w:szCs w:val="20"/>
                    </w:rPr>
                  </w:pPr>
                  <w:r w:rsidRPr="00ED04DC">
                    <w:rPr>
                      <w:rFonts w:ascii="Calibri" w:hAnsi="Calibri" w:cs="Calibri"/>
                      <w:b/>
                      <w:bCs/>
                      <w:sz w:val="20"/>
                      <w:szCs w:val="20"/>
                    </w:rPr>
                    <w:t>PDO Area</w:t>
                  </w:r>
                </w:p>
              </w:tc>
            </w:tr>
            <w:tr w:rsidR="000C6C28" w:rsidRPr="001C6D61" w14:paraId="32074851" w14:textId="47B61CA7" w:rsidTr="00ED04DC">
              <w:tc>
                <w:tcPr>
                  <w:tcW w:w="1778" w:type="dxa"/>
                </w:tcPr>
                <w:p w14:paraId="2088018D" w14:textId="1158EDF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PDO</w:t>
                  </w:r>
                  <w:r>
                    <w:rPr>
                      <w:rFonts w:ascii="Calibri" w:hAnsi="Calibri" w:cs="Calibri"/>
                      <w:b/>
                      <w:bCs/>
                      <w:sz w:val="20"/>
                      <w:szCs w:val="20"/>
                    </w:rPr>
                    <w:t xml:space="preserve"> Statement</w:t>
                  </w:r>
                </w:p>
              </w:tc>
              <w:tc>
                <w:tcPr>
                  <w:tcW w:w="7292" w:type="dxa"/>
                  <w:gridSpan w:val="3"/>
                </w:tcPr>
                <w:p w14:paraId="1CB049AE"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To improve opportunities for secondary school progression and facilitate the transition to jobs in the domestic and overseas labor market for Tongans.</w:t>
                  </w:r>
                </w:p>
              </w:tc>
              <w:tc>
                <w:tcPr>
                  <w:tcW w:w="1329" w:type="dxa"/>
                </w:tcPr>
                <w:p w14:paraId="30760B89" w14:textId="77777777" w:rsidR="000C6C28" w:rsidRPr="001C6D61" w:rsidRDefault="000C6C28" w:rsidP="00173459">
                  <w:pPr>
                    <w:rPr>
                      <w:rFonts w:ascii="Calibri" w:hAnsi="Calibri" w:cs="Calibri"/>
                      <w:sz w:val="20"/>
                      <w:szCs w:val="20"/>
                    </w:rPr>
                  </w:pPr>
                </w:p>
              </w:tc>
            </w:tr>
            <w:tr w:rsidR="000C6C28" w:rsidRPr="001C6D61" w14:paraId="71588426" w14:textId="3BA54A95" w:rsidTr="00ED04DC">
              <w:tc>
                <w:tcPr>
                  <w:tcW w:w="1778" w:type="dxa"/>
                </w:tcPr>
                <w:p w14:paraId="5C6E166D"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Activities</w:t>
                  </w:r>
                </w:p>
              </w:tc>
              <w:tc>
                <w:tcPr>
                  <w:tcW w:w="2702" w:type="dxa"/>
                </w:tcPr>
                <w:p w14:paraId="065F4CFC"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Outputs</w:t>
                  </w:r>
                </w:p>
              </w:tc>
              <w:tc>
                <w:tcPr>
                  <w:tcW w:w="1890" w:type="dxa"/>
                </w:tcPr>
                <w:p w14:paraId="11191CEB"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Intermediate outcomes</w:t>
                  </w:r>
                </w:p>
              </w:tc>
              <w:tc>
                <w:tcPr>
                  <w:tcW w:w="2700" w:type="dxa"/>
                </w:tcPr>
                <w:p w14:paraId="0B770DC9"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Outcomes</w:t>
                  </w:r>
                </w:p>
              </w:tc>
              <w:tc>
                <w:tcPr>
                  <w:tcW w:w="1329" w:type="dxa"/>
                </w:tcPr>
                <w:p w14:paraId="4F2AF85D" w14:textId="77777777" w:rsidR="000C6C28" w:rsidRPr="001C6D61" w:rsidRDefault="000C6C28" w:rsidP="00173459">
                  <w:pPr>
                    <w:rPr>
                      <w:rFonts w:ascii="Calibri" w:hAnsi="Calibri" w:cs="Calibri"/>
                      <w:b/>
                      <w:bCs/>
                      <w:sz w:val="20"/>
                      <w:szCs w:val="20"/>
                    </w:rPr>
                  </w:pPr>
                </w:p>
              </w:tc>
            </w:tr>
            <w:tr w:rsidR="000C6C28" w:rsidRPr="001C6D61" w14:paraId="0B234D4F" w14:textId="3E86F781" w:rsidTr="00ED04DC">
              <w:tc>
                <w:tcPr>
                  <w:tcW w:w="9070" w:type="dxa"/>
                  <w:gridSpan w:val="4"/>
                </w:tcPr>
                <w:p w14:paraId="6BD2A57B"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Component 1</w:t>
                  </w:r>
                </w:p>
              </w:tc>
              <w:tc>
                <w:tcPr>
                  <w:tcW w:w="1329" w:type="dxa"/>
                </w:tcPr>
                <w:p w14:paraId="5AD1E308" w14:textId="77777777" w:rsidR="000C6C28" w:rsidRPr="001C6D61" w:rsidRDefault="000C6C28" w:rsidP="00173459">
                  <w:pPr>
                    <w:rPr>
                      <w:rFonts w:ascii="Calibri" w:hAnsi="Calibri" w:cs="Calibri"/>
                      <w:b/>
                      <w:bCs/>
                      <w:sz w:val="20"/>
                      <w:szCs w:val="20"/>
                    </w:rPr>
                  </w:pPr>
                </w:p>
              </w:tc>
            </w:tr>
            <w:tr w:rsidR="000C6C28" w:rsidRPr="001C6D61" w14:paraId="5A6074BA" w14:textId="40FF9B93" w:rsidTr="00ED04DC">
              <w:tc>
                <w:tcPr>
                  <w:tcW w:w="1778" w:type="dxa"/>
                </w:tcPr>
                <w:p w14:paraId="64597948" w14:textId="77777777" w:rsidR="000C6C28" w:rsidRPr="001C6D61" w:rsidRDefault="000C6C28" w:rsidP="00173459">
                  <w:pPr>
                    <w:rPr>
                      <w:rFonts w:ascii="Calibri" w:hAnsi="Calibri" w:cs="Calibri"/>
                      <w:b/>
                      <w:bCs/>
                      <w:sz w:val="20"/>
                      <w:szCs w:val="20"/>
                    </w:rPr>
                  </w:pPr>
                  <w:r w:rsidRPr="001C6D61">
                    <w:rPr>
                      <w:rFonts w:ascii="Calibri" w:hAnsi="Calibri" w:cs="Calibri"/>
                      <w:sz w:val="20"/>
                      <w:szCs w:val="20"/>
                    </w:rPr>
                    <w:t>Finance for CCT for secondary school attendance and completion</w:t>
                  </w:r>
                </w:p>
              </w:tc>
              <w:tc>
                <w:tcPr>
                  <w:tcW w:w="2702" w:type="dxa"/>
                </w:tcPr>
                <w:p w14:paraId="578EB817"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Development of a Management Information System for the CCT program</w:t>
                  </w:r>
                </w:p>
              </w:tc>
              <w:tc>
                <w:tcPr>
                  <w:tcW w:w="1890" w:type="dxa"/>
                  <w:vMerge w:val="restart"/>
                </w:tcPr>
                <w:p w14:paraId="19392AA4"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Cash transfers provided to beneficiaries and conditions (secondary school attendance</w:t>
                  </w:r>
                  <w:r>
                    <w:rPr>
                      <w:rFonts w:ascii="Calibri" w:hAnsi="Calibri" w:cs="Calibri"/>
                      <w:sz w:val="20"/>
                      <w:szCs w:val="20"/>
                    </w:rPr>
                    <w:t xml:space="preserve"> and completion</w:t>
                  </w:r>
                  <w:r w:rsidRPr="001C6D61">
                    <w:rPr>
                      <w:rFonts w:ascii="Calibri" w:hAnsi="Calibri" w:cs="Calibri"/>
                      <w:sz w:val="20"/>
                      <w:szCs w:val="20"/>
                    </w:rPr>
                    <w:t>) complied with</w:t>
                  </w:r>
                </w:p>
              </w:tc>
              <w:tc>
                <w:tcPr>
                  <w:tcW w:w="2700" w:type="dxa"/>
                </w:tcPr>
                <w:p w14:paraId="412598B7" w14:textId="77777777" w:rsidR="000C6C28" w:rsidRPr="001C6D61" w:rsidRDefault="000C6C28" w:rsidP="00173459">
                  <w:pPr>
                    <w:rPr>
                      <w:rFonts w:ascii="Calibri" w:hAnsi="Calibri" w:cs="Calibri"/>
                      <w:sz w:val="20"/>
                      <w:szCs w:val="20"/>
                    </w:rPr>
                  </w:pPr>
                  <w:r w:rsidRPr="00E006CB">
                    <w:rPr>
                      <w:rFonts w:ascii="Calibri" w:hAnsi="Calibri" w:cs="Calibri"/>
                      <w:color w:val="C45911" w:themeColor="accent2" w:themeShade="BF"/>
                      <w:sz w:val="20"/>
                      <w:szCs w:val="20"/>
                    </w:rPr>
                    <w:t>Increased average duration of secondary school completion amongst poorest decile</w:t>
                  </w:r>
                </w:p>
              </w:tc>
              <w:tc>
                <w:tcPr>
                  <w:tcW w:w="1329" w:type="dxa"/>
                  <w:vMerge w:val="restart"/>
                </w:tcPr>
                <w:p w14:paraId="29001EEF" w14:textId="0C9A9CC8" w:rsidR="000C6C28" w:rsidRPr="00E006CB" w:rsidRDefault="000C6C28" w:rsidP="00173459">
                  <w:pPr>
                    <w:rPr>
                      <w:rFonts w:ascii="Calibri" w:hAnsi="Calibri" w:cs="Calibri"/>
                      <w:color w:val="C45911" w:themeColor="accent2" w:themeShade="BF"/>
                      <w:sz w:val="20"/>
                      <w:szCs w:val="20"/>
                    </w:rPr>
                  </w:pPr>
                  <w:r w:rsidRPr="001C6D61">
                    <w:rPr>
                      <w:rFonts w:ascii="Calibri" w:hAnsi="Calibri" w:cs="Calibri"/>
                      <w:sz w:val="20"/>
                      <w:szCs w:val="20"/>
                    </w:rPr>
                    <w:t>To improve opportunities for secondary school progression</w:t>
                  </w:r>
                </w:p>
              </w:tc>
            </w:tr>
            <w:tr w:rsidR="000C6C28" w:rsidRPr="001C6D61" w14:paraId="4DFF61FA" w14:textId="04AF8A13" w:rsidTr="00ED04DC">
              <w:tc>
                <w:tcPr>
                  <w:tcW w:w="1778" w:type="dxa"/>
                  <w:vMerge w:val="restart"/>
                </w:tcPr>
                <w:p w14:paraId="416AF204" w14:textId="77777777" w:rsidR="000C6C28" w:rsidRPr="001C6D61" w:rsidRDefault="000C6C28" w:rsidP="00173459">
                  <w:pPr>
                    <w:rPr>
                      <w:rFonts w:ascii="Calibri" w:hAnsi="Calibri" w:cs="Calibri"/>
                      <w:b/>
                      <w:bCs/>
                      <w:sz w:val="20"/>
                      <w:szCs w:val="20"/>
                    </w:rPr>
                  </w:pPr>
                  <w:r w:rsidRPr="001C6D61">
                    <w:rPr>
                      <w:rFonts w:ascii="Calibri" w:hAnsi="Calibri" w:cs="Calibri"/>
                      <w:sz w:val="20"/>
                      <w:szCs w:val="20"/>
                    </w:rPr>
                    <w:t>TA for CCT (to establish SP systems such as registry, CCT MIS, GRM, etc.)</w:t>
                  </w:r>
                </w:p>
              </w:tc>
              <w:tc>
                <w:tcPr>
                  <w:tcW w:w="2702" w:type="dxa"/>
                </w:tcPr>
                <w:p w14:paraId="3ED35341"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Percentage of CCT grievance redress claims settled within three months of application</w:t>
                  </w:r>
                </w:p>
              </w:tc>
              <w:tc>
                <w:tcPr>
                  <w:tcW w:w="1890" w:type="dxa"/>
                  <w:vMerge/>
                </w:tcPr>
                <w:p w14:paraId="4C2DA93F" w14:textId="77777777" w:rsidR="000C6C28" w:rsidRPr="001C6D61" w:rsidRDefault="000C6C28" w:rsidP="00173459">
                  <w:pPr>
                    <w:rPr>
                      <w:rFonts w:ascii="Calibri" w:hAnsi="Calibri" w:cs="Calibri"/>
                      <w:sz w:val="20"/>
                      <w:szCs w:val="20"/>
                    </w:rPr>
                  </w:pPr>
                </w:p>
              </w:tc>
              <w:tc>
                <w:tcPr>
                  <w:tcW w:w="2700" w:type="dxa"/>
                  <w:vMerge w:val="restart"/>
                </w:tcPr>
                <w:p w14:paraId="0EC2BE6A" w14:textId="77777777" w:rsidR="000C6C28" w:rsidRPr="00630E90" w:rsidRDefault="000C6C28" w:rsidP="00173459">
                  <w:pPr>
                    <w:rPr>
                      <w:rFonts w:ascii="Calibri" w:hAnsi="Calibri" w:cs="Calibri"/>
                      <w:i/>
                      <w:iCs/>
                      <w:color w:val="00B050"/>
                      <w:sz w:val="20"/>
                      <w:szCs w:val="20"/>
                    </w:rPr>
                  </w:pPr>
                  <w:r w:rsidRPr="00630E90">
                    <w:rPr>
                      <w:rFonts w:ascii="Calibri" w:hAnsi="Calibri" w:cs="Calibri"/>
                      <w:i/>
                      <w:iCs/>
                      <w:color w:val="00B050"/>
                      <w:sz w:val="20"/>
                      <w:szCs w:val="20"/>
                    </w:rPr>
                    <w:t>Share of CCT students that completed the grade over all CCT students enrolled in that grade</w:t>
                  </w:r>
                </w:p>
                <w:p w14:paraId="600FAAE5" w14:textId="77777777" w:rsidR="000C6C28" w:rsidRPr="00630E90" w:rsidRDefault="000C6C28" w:rsidP="00173459">
                  <w:pPr>
                    <w:rPr>
                      <w:rFonts w:ascii="Calibri" w:hAnsi="Calibri" w:cs="Calibri"/>
                      <w:i/>
                      <w:iCs/>
                      <w:color w:val="00B050"/>
                      <w:sz w:val="20"/>
                      <w:szCs w:val="20"/>
                    </w:rPr>
                  </w:pPr>
                </w:p>
                <w:p w14:paraId="541BEA7B" w14:textId="77777777" w:rsidR="000C6C28" w:rsidRPr="001C6D61" w:rsidRDefault="000C6C28" w:rsidP="00173459">
                  <w:pPr>
                    <w:rPr>
                      <w:rFonts w:ascii="Calibri" w:hAnsi="Calibri" w:cs="Calibri"/>
                      <w:i/>
                      <w:iCs/>
                      <w:sz w:val="20"/>
                      <w:szCs w:val="20"/>
                    </w:rPr>
                  </w:pPr>
                  <w:r w:rsidRPr="00630E90">
                    <w:rPr>
                      <w:rFonts w:ascii="Calibri" w:hAnsi="Calibri" w:cs="Calibri"/>
                      <w:i/>
                      <w:iCs/>
                      <w:color w:val="00B050"/>
                      <w:sz w:val="20"/>
                      <w:szCs w:val="20"/>
                    </w:rPr>
                    <w:t xml:space="preserve">Share of CCT students that transitioned to the next grade OR to a TVET program </w:t>
                  </w:r>
                </w:p>
              </w:tc>
              <w:tc>
                <w:tcPr>
                  <w:tcW w:w="1329" w:type="dxa"/>
                  <w:vMerge/>
                </w:tcPr>
                <w:p w14:paraId="5D50A6CF" w14:textId="77777777" w:rsidR="000C6C28" w:rsidRPr="00630E90" w:rsidRDefault="000C6C28" w:rsidP="00173459">
                  <w:pPr>
                    <w:rPr>
                      <w:rFonts w:ascii="Calibri" w:hAnsi="Calibri" w:cs="Calibri"/>
                      <w:i/>
                      <w:iCs/>
                      <w:color w:val="00B050"/>
                      <w:sz w:val="20"/>
                      <w:szCs w:val="20"/>
                    </w:rPr>
                  </w:pPr>
                </w:p>
              </w:tc>
            </w:tr>
            <w:tr w:rsidR="000C6C28" w:rsidRPr="001C6D61" w14:paraId="3F8A28C7" w14:textId="7A1C3DF8" w:rsidTr="00ED04DC">
              <w:tc>
                <w:tcPr>
                  <w:tcW w:w="1778" w:type="dxa"/>
                  <w:vMerge/>
                </w:tcPr>
                <w:p w14:paraId="595E7FDF" w14:textId="77777777" w:rsidR="000C6C28" w:rsidRPr="001C6D61" w:rsidRDefault="000C6C28" w:rsidP="00173459">
                  <w:pPr>
                    <w:rPr>
                      <w:rFonts w:ascii="Calibri" w:hAnsi="Calibri" w:cs="Calibri"/>
                      <w:b/>
                      <w:bCs/>
                      <w:sz w:val="20"/>
                      <w:szCs w:val="20"/>
                    </w:rPr>
                  </w:pPr>
                </w:p>
              </w:tc>
              <w:tc>
                <w:tcPr>
                  <w:tcW w:w="2702" w:type="dxa"/>
                </w:tcPr>
                <w:p w14:paraId="195C75DD" w14:textId="77777777" w:rsidR="000C6C28" w:rsidRPr="001C6D61" w:rsidRDefault="000C6C28" w:rsidP="00173459">
                  <w:pPr>
                    <w:rPr>
                      <w:rFonts w:ascii="Calibri" w:hAnsi="Calibri" w:cs="Calibri"/>
                      <w:sz w:val="20"/>
                      <w:szCs w:val="20"/>
                    </w:rPr>
                  </w:pPr>
                  <w:r w:rsidRPr="00E006CB">
                    <w:rPr>
                      <w:rFonts w:ascii="Calibri" w:hAnsi="Calibri" w:cs="Calibri"/>
                      <w:color w:val="C45911" w:themeColor="accent2" w:themeShade="BF"/>
                      <w:sz w:val="20"/>
                      <w:szCs w:val="20"/>
                    </w:rPr>
                    <w:t>Beneficiary households enrolled in the CCT program</w:t>
                  </w:r>
                </w:p>
              </w:tc>
              <w:tc>
                <w:tcPr>
                  <w:tcW w:w="1890" w:type="dxa"/>
                  <w:vMerge/>
                </w:tcPr>
                <w:p w14:paraId="0B226FB0" w14:textId="77777777" w:rsidR="000C6C28" w:rsidRPr="001C6D61" w:rsidRDefault="000C6C28" w:rsidP="00173459">
                  <w:pPr>
                    <w:rPr>
                      <w:rFonts w:ascii="Calibri" w:hAnsi="Calibri" w:cs="Calibri"/>
                      <w:sz w:val="20"/>
                      <w:szCs w:val="20"/>
                    </w:rPr>
                  </w:pPr>
                </w:p>
              </w:tc>
              <w:tc>
                <w:tcPr>
                  <w:tcW w:w="2700" w:type="dxa"/>
                  <w:vMerge/>
                </w:tcPr>
                <w:p w14:paraId="43236298" w14:textId="77777777" w:rsidR="000C6C28" w:rsidRPr="001C6D61" w:rsidRDefault="000C6C28" w:rsidP="00173459">
                  <w:pPr>
                    <w:rPr>
                      <w:rFonts w:ascii="Calibri" w:hAnsi="Calibri" w:cs="Calibri"/>
                      <w:sz w:val="20"/>
                      <w:szCs w:val="20"/>
                    </w:rPr>
                  </w:pPr>
                </w:p>
              </w:tc>
              <w:tc>
                <w:tcPr>
                  <w:tcW w:w="1329" w:type="dxa"/>
                  <w:vMerge/>
                </w:tcPr>
                <w:p w14:paraId="28824D14" w14:textId="77777777" w:rsidR="000C6C28" w:rsidRPr="001C6D61" w:rsidRDefault="000C6C28" w:rsidP="00173459">
                  <w:pPr>
                    <w:rPr>
                      <w:rFonts w:ascii="Calibri" w:hAnsi="Calibri" w:cs="Calibri"/>
                      <w:sz w:val="20"/>
                      <w:szCs w:val="20"/>
                    </w:rPr>
                  </w:pPr>
                </w:p>
              </w:tc>
            </w:tr>
            <w:tr w:rsidR="000C6C28" w:rsidRPr="001C6D61" w14:paraId="256DE0B9" w14:textId="29D3C704" w:rsidTr="00ED04DC">
              <w:tc>
                <w:tcPr>
                  <w:tcW w:w="1778" w:type="dxa"/>
                  <w:vMerge/>
                </w:tcPr>
                <w:p w14:paraId="324B1FAD" w14:textId="77777777" w:rsidR="000C6C28" w:rsidRPr="001C6D61" w:rsidRDefault="000C6C28" w:rsidP="00173459">
                  <w:pPr>
                    <w:rPr>
                      <w:rFonts w:ascii="Calibri" w:hAnsi="Calibri" w:cs="Calibri"/>
                      <w:b/>
                      <w:bCs/>
                      <w:sz w:val="20"/>
                      <w:szCs w:val="20"/>
                    </w:rPr>
                  </w:pPr>
                </w:p>
              </w:tc>
              <w:tc>
                <w:tcPr>
                  <w:tcW w:w="2702" w:type="dxa"/>
                </w:tcPr>
                <w:p w14:paraId="070B1155" w14:textId="51D5958B" w:rsidR="000C6C28" w:rsidRPr="00630E90" w:rsidRDefault="000C6C28" w:rsidP="00173459">
                  <w:pPr>
                    <w:rPr>
                      <w:rFonts w:ascii="Calibri" w:hAnsi="Calibri" w:cs="Calibri"/>
                      <w:i/>
                      <w:iCs/>
                      <w:color w:val="00B050"/>
                      <w:sz w:val="20"/>
                      <w:szCs w:val="20"/>
                    </w:rPr>
                  </w:pPr>
                  <w:r w:rsidRPr="00630E90">
                    <w:rPr>
                      <w:rFonts w:ascii="Calibri" w:hAnsi="Calibri" w:cs="Calibri"/>
                      <w:i/>
                      <w:iCs/>
                      <w:color w:val="00B050"/>
                      <w:sz w:val="20"/>
                      <w:szCs w:val="20"/>
                    </w:rPr>
                    <w:t xml:space="preserve">Beneficiary </w:t>
                  </w:r>
                  <w:r w:rsidR="00BC2B8F" w:rsidRPr="00630E90">
                    <w:rPr>
                      <w:rFonts w:ascii="Calibri" w:hAnsi="Calibri" w:cs="Calibri"/>
                      <w:i/>
                      <w:iCs/>
                      <w:color w:val="00B050"/>
                      <w:sz w:val="20"/>
                      <w:szCs w:val="20"/>
                    </w:rPr>
                    <w:t>households registered</w:t>
                  </w:r>
                  <w:r w:rsidRPr="00630E90">
                    <w:rPr>
                      <w:rFonts w:ascii="Calibri" w:hAnsi="Calibri" w:cs="Calibri"/>
                      <w:i/>
                      <w:iCs/>
                      <w:color w:val="00B050"/>
                      <w:sz w:val="20"/>
                      <w:szCs w:val="20"/>
                    </w:rPr>
                    <w:t xml:space="preserve"> in the CCT program  </w:t>
                  </w:r>
                </w:p>
              </w:tc>
              <w:tc>
                <w:tcPr>
                  <w:tcW w:w="1890" w:type="dxa"/>
                  <w:vMerge/>
                </w:tcPr>
                <w:p w14:paraId="4EA4A96B" w14:textId="77777777" w:rsidR="000C6C28" w:rsidRPr="001C6D61" w:rsidRDefault="000C6C28" w:rsidP="00173459">
                  <w:pPr>
                    <w:rPr>
                      <w:rFonts w:ascii="Calibri" w:hAnsi="Calibri" w:cs="Calibri"/>
                      <w:sz w:val="20"/>
                      <w:szCs w:val="20"/>
                    </w:rPr>
                  </w:pPr>
                </w:p>
              </w:tc>
              <w:tc>
                <w:tcPr>
                  <w:tcW w:w="2700" w:type="dxa"/>
                  <w:vMerge/>
                </w:tcPr>
                <w:p w14:paraId="1E0448E9" w14:textId="77777777" w:rsidR="000C6C28" w:rsidRPr="001C6D61" w:rsidRDefault="000C6C28" w:rsidP="00173459">
                  <w:pPr>
                    <w:rPr>
                      <w:rFonts w:ascii="Calibri" w:hAnsi="Calibri" w:cs="Calibri"/>
                      <w:sz w:val="20"/>
                      <w:szCs w:val="20"/>
                    </w:rPr>
                  </w:pPr>
                </w:p>
              </w:tc>
              <w:tc>
                <w:tcPr>
                  <w:tcW w:w="1329" w:type="dxa"/>
                  <w:vMerge/>
                </w:tcPr>
                <w:p w14:paraId="3C86BA9F" w14:textId="77777777" w:rsidR="000C6C28" w:rsidRPr="001C6D61" w:rsidRDefault="000C6C28" w:rsidP="00173459">
                  <w:pPr>
                    <w:rPr>
                      <w:rFonts w:ascii="Calibri" w:hAnsi="Calibri" w:cs="Calibri"/>
                      <w:sz w:val="20"/>
                      <w:szCs w:val="20"/>
                    </w:rPr>
                  </w:pPr>
                </w:p>
              </w:tc>
            </w:tr>
            <w:tr w:rsidR="000C6C28" w:rsidRPr="001C6D61" w14:paraId="12CE63CA" w14:textId="17B23B42" w:rsidTr="00ED04DC">
              <w:tc>
                <w:tcPr>
                  <w:tcW w:w="1778" w:type="dxa"/>
                  <w:vMerge/>
                </w:tcPr>
                <w:p w14:paraId="0352D707" w14:textId="77777777" w:rsidR="000C6C28" w:rsidRPr="001C6D61" w:rsidRDefault="000C6C28" w:rsidP="00173459">
                  <w:pPr>
                    <w:rPr>
                      <w:rFonts w:ascii="Calibri" w:hAnsi="Calibri" w:cs="Calibri"/>
                      <w:b/>
                      <w:bCs/>
                      <w:sz w:val="20"/>
                      <w:szCs w:val="20"/>
                    </w:rPr>
                  </w:pPr>
                </w:p>
              </w:tc>
              <w:tc>
                <w:tcPr>
                  <w:tcW w:w="2702" w:type="dxa"/>
                </w:tcPr>
                <w:p w14:paraId="1C0FD567" w14:textId="354379F7" w:rsidR="000C6C28" w:rsidRPr="00630E90" w:rsidRDefault="000C6C28" w:rsidP="00173459">
                  <w:pPr>
                    <w:rPr>
                      <w:rFonts w:ascii="Calibri" w:hAnsi="Calibri" w:cs="Calibri"/>
                      <w:i/>
                      <w:iCs/>
                      <w:color w:val="00B050"/>
                      <w:sz w:val="20"/>
                      <w:szCs w:val="20"/>
                    </w:rPr>
                  </w:pPr>
                  <w:r w:rsidRPr="00630E90">
                    <w:rPr>
                      <w:rFonts w:ascii="Calibri" w:hAnsi="Calibri" w:cs="Calibri"/>
                      <w:i/>
                      <w:iCs/>
                      <w:color w:val="00B050"/>
                      <w:sz w:val="20"/>
                      <w:szCs w:val="20"/>
                    </w:rPr>
                    <w:t xml:space="preserve">Share of high </w:t>
                  </w:r>
                  <w:r w:rsidR="00BC2B8F" w:rsidRPr="00630E90">
                    <w:rPr>
                      <w:rFonts w:ascii="Calibri" w:hAnsi="Calibri" w:cs="Calibri"/>
                      <w:i/>
                      <w:iCs/>
                      <w:color w:val="00B050"/>
                      <w:sz w:val="20"/>
                      <w:szCs w:val="20"/>
                    </w:rPr>
                    <w:t>school students</w:t>
                  </w:r>
                  <w:r w:rsidRPr="00630E90">
                    <w:rPr>
                      <w:rFonts w:ascii="Calibri" w:hAnsi="Calibri" w:cs="Calibri"/>
                      <w:i/>
                      <w:iCs/>
                      <w:color w:val="00B050"/>
                      <w:sz w:val="20"/>
                      <w:szCs w:val="20"/>
                    </w:rPr>
                    <w:t xml:space="preserve"> from the CCT program that attend </w:t>
                  </w:r>
                  <w:r w:rsidR="00F35D71" w:rsidRPr="00630E90">
                    <w:rPr>
                      <w:rFonts w:ascii="Calibri" w:hAnsi="Calibri" w:cs="Calibri"/>
                      <w:i/>
                      <w:iCs/>
                      <w:color w:val="00B050"/>
                      <w:sz w:val="20"/>
                      <w:szCs w:val="20"/>
                    </w:rPr>
                    <w:t>school at</w:t>
                  </w:r>
                  <w:r w:rsidRPr="00630E90">
                    <w:rPr>
                      <w:rFonts w:ascii="Calibri" w:hAnsi="Calibri" w:cs="Calibri"/>
                      <w:i/>
                      <w:iCs/>
                      <w:color w:val="00B050"/>
                      <w:sz w:val="20"/>
                      <w:szCs w:val="20"/>
                    </w:rPr>
                    <w:t xml:space="preserve"> least 80% of time</w:t>
                  </w:r>
                </w:p>
              </w:tc>
              <w:tc>
                <w:tcPr>
                  <w:tcW w:w="1890" w:type="dxa"/>
                  <w:vMerge/>
                </w:tcPr>
                <w:p w14:paraId="267A8A31" w14:textId="77777777" w:rsidR="000C6C28" w:rsidRPr="001C6D61" w:rsidRDefault="000C6C28" w:rsidP="00173459">
                  <w:pPr>
                    <w:rPr>
                      <w:rFonts w:ascii="Calibri" w:hAnsi="Calibri" w:cs="Calibri"/>
                      <w:sz w:val="20"/>
                      <w:szCs w:val="20"/>
                    </w:rPr>
                  </w:pPr>
                </w:p>
              </w:tc>
              <w:tc>
                <w:tcPr>
                  <w:tcW w:w="2700" w:type="dxa"/>
                  <w:vMerge/>
                </w:tcPr>
                <w:p w14:paraId="46144601" w14:textId="77777777" w:rsidR="000C6C28" w:rsidRPr="001C6D61" w:rsidRDefault="000C6C28" w:rsidP="00173459">
                  <w:pPr>
                    <w:rPr>
                      <w:rFonts w:ascii="Calibri" w:hAnsi="Calibri" w:cs="Calibri"/>
                      <w:sz w:val="20"/>
                      <w:szCs w:val="20"/>
                    </w:rPr>
                  </w:pPr>
                </w:p>
              </w:tc>
              <w:tc>
                <w:tcPr>
                  <w:tcW w:w="1329" w:type="dxa"/>
                  <w:vMerge/>
                </w:tcPr>
                <w:p w14:paraId="2B98101F" w14:textId="77777777" w:rsidR="000C6C28" w:rsidRPr="001C6D61" w:rsidRDefault="000C6C28" w:rsidP="00173459">
                  <w:pPr>
                    <w:rPr>
                      <w:rFonts w:ascii="Calibri" w:hAnsi="Calibri" w:cs="Calibri"/>
                      <w:sz w:val="20"/>
                      <w:szCs w:val="20"/>
                    </w:rPr>
                  </w:pPr>
                </w:p>
              </w:tc>
            </w:tr>
            <w:tr w:rsidR="000C6C28" w:rsidRPr="001C6D61" w14:paraId="5DD5F8E6" w14:textId="03AF3122" w:rsidTr="00ED04DC">
              <w:trPr>
                <w:trHeight w:val="64"/>
              </w:trPr>
              <w:tc>
                <w:tcPr>
                  <w:tcW w:w="9070" w:type="dxa"/>
                  <w:gridSpan w:val="4"/>
                </w:tcPr>
                <w:p w14:paraId="12D7048B" w14:textId="77777777" w:rsidR="000C6C28" w:rsidRPr="001C6D61" w:rsidRDefault="000C6C28" w:rsidP="00173459">
                  <w:pPr>
                    <w:rPr>
                      <w:rFonts w:ascii="Calibri" w:hAnsi="Calibri" w:cs="Calibri"/>
                      <w:sz w:val="20"/>
                      <w:szCs w:val="20"/>
                    </w:rPr>
                  </w:pPr>
                  <w:r w:rsidRPr="001C6D61">
                    <w:rPr>
                      <w:rFonts w:ascii="Calibri" w:hAnsi="Calibri" w:cs="Calibri"/>
                      <w:b/>
                      <w:bCs/>
                      <w:sz w:val="20"/>
                      <w:szCs w:val="20"/>
                    </w:rPr>
                    <w:t xml:space="preserve">Component 2 </w:t>
                  </w:r>
                </w:p>
              </w:tc>
              <w:tc>
                <w:tcPr>
                  <w:tcW w:w="1329" w:type="dxa"/>
                  <w:vMerge/>
                </w:tcPr>
                <w:p w14:paraId="72FC9DD8" w14:textId="77777777" w:rsidR="000C6C28" w:rsidRPr="001C6D61" w:rsidRDefault="000C6C28" w:rsidP="00173459">
                  <w:pPr>
                    <w:rPr>
                      <w:rFonts w:ascii="Calibri" w:hAnsi="Calibri" w:cs="Calibri"/>
                      <w:b/>
                      <w:bCs/>
                      <w:sz w:val="20"/>
                      <w:szCs w:val="20"/>
                    </w:rPr>
                  </w:pPr>
                </w:p>
              </w:tc>
            </w:tr>
            <w:tr w:rsidR="000C6C28" w:rsidRPr="001C6D61" w14:paraId="507D2D3B" w14:textId="60406605" w:rsidTr="00ED04DC">
              <w:tc>
                <w:tcPr>
                  <w:tcW w:w="1778" w:type="dxa"/>
                  <w:vMerge w:val="restart"/>
                </w:tcPr>
                <w:p w14:paraId="74BA766E"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Quality improvement grants</w:t>
                  </w:r>
                  <w:r>
                    <w:rPr>
                      <w:rFonts w:ascii="Calibri" w:hAnsi="Calibri" w:cs="Calibri"/>
                      <w:sz w:val="20"/>
                      <w:szCs w:val="20"/>
                    </w:rPr>
                    <w:t xml:space="preserve"> (QIG) </w:t>
                  </w:r>
                  <w:r w:rsidRPr="001C6D61">
                    <w:rPr>
                      <w:rFonts w:ascii="Calibri" w:hAnsi="Calibri" w:cs="Calibri"/>
                      <w:sz w:val="20"/>
                      <w:szCs w:val="20"/>
                    </w:rPr>
                    <w:t xml:space="preserve">for </w:t>
                  </w:r>
                  <w:r>
                    <w:rPr>
                      <w:rFonts w:ascii="Calibri" w:hAnsi="Calibri" w:cs="Calibri"/>
                      <w:sz w:val="20"/>
                      <w:szCs w:val="20"/>
                    </w:rPr>
                    <w:t xml:space="preserve">select </w:t>
                  </w:r>
                  <w:r w:rsidRPr="001C6D61">
                    <w:rPr>
                      <w:rFonts w:ascii="Calibri" w:hAnsi="Calibri" w:cs="Calibri"/>
                      <w:sz w:val="20"/>
                      <w:szCs w:val="20"/>
                    </w:rPr>
                    <w:t xml:space="preserve">TVET </w:t>
                  </w:r>
                  <w:r>
                    <w:rPr>
                      <w:rFonts w:ascii="Calibri" w:hAnsi="Calibri" w:cs="Calibri"/>
                      <w:sz w:val="20"/>
                      <w:szCs w:val="20"/>
                    </w:rPr>
                    <w:t>institutions</w:t>
                  </w:r>
                </w:p>
              </w:tc>
              <w:tc>
                <w:tcPr>
                  <w:tcW w:w="2702" w:type="dxa"/>
                </w:tcPr>
                <w:p w14:paraId="305E42DD" w14:textId="77777777" w:rsidR="000C6C28" w:rsidRPr="001C6D61" w:rsidRDefault="000C6C28" w:rsidP="00173459">
                  <w:pPr>
                    <w:rPr>
                      <w:rFonts w:ascii="Calibri" w:hAnsi="Calibri" w:cs="Calibri"/>
                      <w:sz w:val="20"/>
                      <w:szCs w:val="20"/>
                    </w:rPr>
                  </w:pPr>
                  <w:r w:rsidRPr="00E006CB">
                    <w:rPr>
                      <w:rFonts w:ascii="Calibri" w:hAnsi="Calibri" w:cs="Calibri"/>
                      <w:color w:val="C45911" w:themeColor="accent2" w:themeShade="BF"/>
                      <w:sz w:val="20"/>
                      <w:szCs w:val="20"/>
                    </w:rPr>
                    <w:t>Increased number of TVET qualifications supported by a QIG</w:t>
                  </w:r>
                </w:p>
              </w:tc>
              <w:tc>
                <w:tcPr>
                  <w:tcW w:w="1890" w:type="dxa"/>
                  <w:vMerge w:val="restart"/>
                </w:tcPr>
                <w:p w14:paraId="2B37D727" w14:textId="77777777" w:rsidR="000C6C28" w:rsidRPr="001C6D61" w:rsidRDefault="000C6C28" w:rsidP="00173459">
                  <w:pPr>
                    <w:rPr>
                      <w:rFonts w:ascii="Calibri" w:hAnsi="Calibri" w:cs="Calibri"/>
                      <w:sz w:val="20"/>
                      <w:szCs w:val="20"/>
                    </w:rPr>
                  </w:pPr>
                  <w:r w:rsidRPr="00E006CB">
                    <w:rPr>
                      <w:rFonts w:ascii="Calibri" w:hAnsi="Calibri" w:cs="Calibri"/>
                      <w:color w:val="C45911" w:themeColor="accent2" w:themeShade="BF"/>
                      <w:sz w:val="20"/>
                      <w:szCs w:val="20"/>
                    </w:rPr>
                    <w:t>Increased number of beneficiaries employed in domestic labor market 6 months after training</w:t>
                  </w:r>
                </w:p>
              </w:tc>
              <w:tc>
                <w:tcPr>
                  <w:tcW w:w="2700" w:type="dxa"/>
                  <w:vMerge w:val="restart"/>
                </w:tcPr>
                <w:p w14:paraId="1845B5DB" w14:textId="77777777" w:rsidR="000C6C28" w:rsidRDefault="000C6C28" w:rsidP="00173459">
                  <w:pPr>
                    <w:rPr>
                      <w:rFonts w:ascii="Calibri" w:hAnsi="Calibri" w:cs="Calibri"/>
                      <w:sz w:val="20"/>
                      <w:szCs w:val="20"/>
                    </w:rPr>
                  </w:pPr>
                  <w:r w:rsidRPr="001C6D61">
                    <w:rPr>
                      <w:rFonts w:ascii="Calibri" w:hAnsi="Calibri" w:cs="Calibri"/>
                      <w:sz w:val="20"/>
                      <w:szCs w:val="20"/>
                    </w:rPr>
                    <w:t>Improved quality and relevance of TVET</w:t>
                  </w:r>
                </w:p>
                <w:p w14:paraId="455E5F5C" w14:textId="77777777" w:rsidR="000C6C28" w:rsidRPr="001C6D61" w:rsidRDefault="000C6C28" w:rsidP="00173459">
                  <w:pPr>
                    <w:rPr>
                      <w:rFonts w:ascii="Calibri" w:hAnsi="Calibri" w:cs="Calibri"/>
                      <w:sz w:val="20"/>
                      <w:szCs w:val="20"/>
                    </w:rPr>
                  </w:pPr>
                </w:p>
              </w:tc>
              <w:tc>
                <w:tcPr>
                  <w:tcW w:w="1329" w:type="dxa"/>
                  <w:vMerge/>
                </w:tcPr>
                <w:p w14:paraId="2196C614" w14:textId="77777777" w:rsidR="000C6C28" w:rsidRPr="001C6D61" w:rsidRDefault="000C6C28" w:rsidP="00173459">
                  <w:pPr>
                    <w:rPr>
                      <w:rFonts w:ascii="Calibri" w:hAnsi="Calibri" w:cs="Calibri"/>
                      <w:sz w:val="20"/>
                      <w:szCs w:val="20"/>
                    </w:rPr>
                  </w:pPr>
                </w:p>
              </w:tc>
            </w:tr>
            <w:tr w:rsidR="000C6C28" w:rsidRPr="001C6D61" w14:paraId="778EB71C" w14:textId="3039B533" w:rsidTr="00ED04DC">
              <w:tc>
                <w:tcPr>
                  <w:tcW w:w="1778" w:type="dxa"/>
                  <w:vMerge/>
                </w:tcPr>
                <w:p w14:paraId="6D3CFDFB" w14:textId="77777777" w:rsidR="000C6C28" w:rsidRPr="001C6D61" w:rsidRDefault="000C6C28" w:rsidP="00173459">
                  <w:pPr>
                    <w:rPr>
                      <w:rFonts w:ascii="Calibri" w:hAnsi="Calibri" w:cs="Calibri"/>
                      <w:sz w:val="20"/>
                      <w:szCs w:val="20"/>
                    </w:rPr>
                  </w:pPr>
                </w:p>
              </w:tc>
              <w:tc>
                <w:tcPr>
                  <w:tcW w:w="2702" w:type="dxa"/>
                </w:tcPr>
                <w:p w14:paraId="57E8864F" w14:textId="77777777" w:rsidR="000C6C28" w:rsidRPr="001C6D61" w:rsidRDefault="000C6C28" w:rsidP="00173459">
                  <w:pPr>
                    <w:rPr>
                      <w:rFonts w:ascii="Calibri" w:hAnsi="Calibri" w:cs="Calibri"/>
                      <w:i/>
                      <w:iCs/>
                      <w:sz w:val="20"/>
                      <w:szCs w:val="20"/>
                    </w:rPr>
                  </w:pPr>
                  <w:r w:rsidRPr="00630E90">
                    <w:rPr>
                      <w:rFonts w:ascii="Calibri" w:hAnsi="Calibri" w:cs="Calibri"/>
                      <w:i/>
                      <w:iCs/>
                      <w:color w:val="00B050"/>
                      <w:sz w:val="20"/>
                      <w:szCs w:val="20"/>
                    </w:rPr>
                    <w:t>Number of TVET qualifications supported by a QIG (Number)</w:t>
                  </w:r>
                </w:p>
              </w:tc>
              <w:tc>
                <w:tcPr>
                  <w:tcW w:w="1890" w:type="dxa"/>
                  <w:vMerge/>
                </w:tcPr>
                <w:p w14:paraId="0E7575EB" w14:textId="77777777" w:rsidR="000C6C28" w:rsidRPr="001C6D61" w:rsidRDefault="000C6C28" w:rsidP="00173459">
                  <w:pPr>
                    <w:rPr>
                      <w:rFonts w:ascii="Calibri" w:hAnsi="Calibri" w:cs="Calibri"/>
                      <w:sz w:val="20"/>
                      <w:szCs w:val="20"/>
                    </w:rPr>
                  </w:pPr>
                </w:p>
              </w:tc>
              <w:tc>
                <w:tcPr>
                  <w:tcW w:w="2700" w:type="dxa"/>
                  <w:vMerge/>
                </w:tcPr>
                <w:p w14:paraId="4B397D74" w14:textId="77777777" w:rsidR="000C6C28" w:rsidRPr="001C6D61" w:rsidRDefault="000C6C28" w:rsidP="00173459">
                  <w:pPr>
                    <w:rPr>
                      <w:rFonts w:ascii="Calibri" w:hAnsi="Calibri" w:cs="Calibri"/>
                      <w:sz w:val="20"/>
                      <w:szCs w:val="20"/>
                    </w:rPr>
                  </w:pPr>
                </w:p>
              </w:tc>
              <w:tc>
                <w:tcPr>
                  <w:tcW w:w="1329" w:type="dxa"/>
                  <w:vMerge/>
                </w:tcPr>
                <w:p w14:paraId="30E92764" w14:textId="77777777" w:rsidR="000C6C28" w:rsidRPr="001C6D61" w:rsidRDefault="000C6C28" w:rsidP="00173459">
                  <w:pPr>
                    <w:rPr>
                      <w:rFonts w:ascii="Calibri" w:hAnsi="Calibri" w:cs="Calibri"/>
                      <w:sz w:val="20"/>
                      <w:szCs w:val="20"/>
                    </w:rPr>
                  </w:pPr>
                </w:p>
              </w:tc>
            </w:tr>
            <w:tr w:rsidR="000C6C28" w:rsidRPr="001C6D61" w14:paraId="1BD844D0" w14:textId="7B98F434" w:rsidTr="00ED04DC">
              <w:tc>
                <w:tcPr>
                  <w:tcW w:w="1778" w:type="dxa"/>
                  <w:vMerge w:val="restart"/>
                </w:tcPr>
                <w:p w14:paraId="3913A38F"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Financial support for TVET students (tuition and living allowance)</w:t>
                  </w:r>
                  <w:r>
                    <w:rPr>
                      <w:rFonts w:ascii="Calibri" w:hAnsi="Calibri" w:cs="Calibri"/>
                      <w:sz w:val="20"/>
                      <w:szCs w:val="20"/>
                    </w:rPr>
                    <w:t xml:space="preserve"> through </w:t>
                  </w:r>
                  <w:r w:rsidRPr="00E006CB">
                    <w:rPr>
                      <w:rFonts w:ascii="Calibri" w:hAnsi="Calibri" w:cs="Calibri"/>
                      <w:sz w:val="20"/>
                      <w:szCs w:val="20"/>
                    </w:rPr>
                    <w:t>TVET Student Support Funds</w:t>
                  </w:r>
                  <w:r>
                    <w:rPr>
                      <w:rFonts w:ascii="Calibri" w:hAnsi="Calibri" w:cs="Calibri"/>
                      <w:sz w:val="20"/>
                      <w:szCs w:val="20"/>
                    </w:rPr>
                    <w:t xml:space="preserve"> (TSSF)</w:t>
                  </w:r>
                </w:p>
              </w:tc>
              <w:tc>
                <w:tcPr>
                  <w:tcW w:w="2702" w:type="dxa"/>
                </w:tcPr>
                <w:p w14:paraId="41767E7D" w14:textId="77777777" w:rsidR="000C6C28" w:rsidRPr="001C6D61" w:rsidRDefault="000C6C28" w:rsidP="00173459">
                  <w:pPr>
                    <w:rPr>
                      <w:rFonts w:ascii="Calibri" w:hAnsi="Calibri" w:cs="Calibri"/>
                      <w:sz w:val="20"/>
                      <w:szCs w:val="20"/>
                    </w:rPr>
                  </w:pPr>
                  <w:r w:rsidRPr="00E006CB">
                    <w:rPr>
                      <w:rFonts w:ascii="Calibri" w:hAnsi="Calibri" w:cs="Calibri"/>
                      <w:color w:val="C45911" w:themeColor="accent2" w:themeShade="BF"/>
                      <w:sz w:val="20"/>
                      <w:szCs w:val="20"/>
                    </w:rPr>
                    <w:t xml:space="preserve">Beneficiaries enrolled in a certificate level qualification  </w:t>
                  </w:r>
                </w:p>
              </w:tc>
              <w:tc>
                <w:tcPr>
                  <w:tcW w:w="1890" w:type="dxa"/>
                  <w:vMerge w:val="restart"/>
                </w:tcPr>
                <w:p w14:paraId="79DF5D92"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Increased utilization and completion of TVET courses</w:t>
                  </w:r>
                </w:p>
              </w:tc>
              <w:tc>
                <w:tcPr>
                  <w:tcW w:w="2700" w:type="dxa"/>
                  <w:vMerge w:val="restart"/>
                </w:tcPr>
                <w:p w14:paraId="091593EB" w14:textId="77777777" w:rsidR="000C6C28" w:rsidRPr="001C6D61" w:rsidRDefault="000C6C28" w:rsidP="00173459">
                  <w:pPr>
                    <w:rPr>
                      <w:rFonts w:ascii="Calibri" w:hAnsi="Calibri" w:cs="Calibri"/>
                      <w:i/>
                      <w:iCs/>
                      <w:sz w:val="20"/>
                      <w:szCs w:val="20"/>
                    </w:rPr>
                  </w:pPr>
                  <w:r w:rsidRPr="00630E90">
                    <w:rPr>
                      <w:rFonts w:ascii="Calibri" w:hAnsi="Calibri" w:cs="Calibri"/>
                      <w:i/>
                      <w:iCs/>
                      <w:color w:val="00B050"/>
                      <w:sz w:val="20"/>
                      <w:szCs w:val="20"/>
                    </w:rPr>
                    <w:t>Average completion rate of project-supported TVET programs</w:t>
                  </w:r>
                </w:p>
              </w:tc>
              <w:tc>
                <w:tcPr>
                  <w:tcW w:w="1329" w:type="dxa"/>
                  <w:vMerge/>
                </w:tcPr>
                <w:p w14:paraId="35DD56AB" w14:textId="77777777" w:rsidR="000C6C28" w:rsidRPr="00630E90" w:rsidRDefault="000C6C28" w:rsidP="00173459">
                  <w:pPr>
                    <w:rPr>
                      <w:rFonts w:ascii="Calibri" w:hAnsi="Calibri" w:cs="Calibri"/>
                      <w:i/>
                      <w:iCs/>
                      <w:color w:val="00B050"/>
                      <w:sz w:val="20"/>
                      <w:szCs w:val="20"/>
                    </w:rPr>
                  </w:pPr>
                </w:p>
              </w:tc>
            </w:tr>
            <w:tr w:rsidR="000C6C28" w:rsidRPr="001C6D61" w14:paraId="05B79D2F" w14:textId="0752A7A1" w:rsidTr="00ED04DC">
              <w:tc>
                <w:tcPr>
                  <w:tcW w:w="1778" w:type="dxa"/>
                  <w:vMerge/>
                </w:tcPr>
                <w:p w14:paraId="52D49A01" w14:textId="77777777" w:rsidR="000C6C28" w:rsidRPr="001C6D61" w:rsidRDefault="000C6C28" w:rsidP="00173459">
                  <w:pPr>
                    <w:rPr>
                      <w:rFonts w:ascii="Calibri" w:hAnsi="Calibri" w:cs="Calibri"/>
                      <w:sz w:val="20"/>
                      <w:szCs w:val="20"/>
                    </w:rPr>
                  </w:pPr>
                </w:p>
              </w:tc>
              <w:tc>
                <w:tcPr>
                  <w:tcW w:w="2702" w:type="dxa"/>
                </w:tcPr>
                <w:p w14:paraId="41250C47" w14:textId="2438A3D8" w:rsidR="000C6C28" w:rsidRPr="001C6D61" w:rsidRDefault="000C6C28" w:rsidP="00173459">
                  <w:pPr>
                    <w:rPr>
                      <w:rFonts w:ascii="Calibri" w:hAnsi="Calibri" w:cs="Calibri"/>
                      <w:i/>
                      <w:iCs/>
                      <w:sz w:val="20"/>
                      <w:szCs w:val="20"/>
                    </w:rPr>
                  </w:pPr>
                  <w:r w:rsidRPr="00630E90">
                    <w:rPr>
                      <w:rFonts w:ascii="Calibri" w:hAnsi="Calibri" w:cs="Calibri"/>
                      <w:i/>
                      <w:iCs/>
                      <w:color w:val="00B050"/>
                      <w:sz w:val="20"/>
                      <w:szCs w:val="20"/>
                    </w:rPr>
                    <w:t>TSSF beneficiaries enrolled in a certificate or diploma</w:t>
                  </w:r>
                  <w:r w:rsidR="00BC2B8F">
                    <w:rPr>
                      <w:rFonts w:ascii="Calibri" w:hAnsi="Calibri" w:cs="Calibri"/>
                      <w:i/>
                      <w:iCs/>
                      <w:color w:val="00B050"/>
                      <w:sz w:val="20"/>
                      <w:szCs w:val="20"/>
                    </w:rPr>
                    <w:t>-</w:t>
                  </w:r>
                  <w:r w:rsidRPr="00630E90">
                    <w:rPr>
                      <w:rFonts w:ascii="Calibri" w:hAnsi="Calibri" w:cs="Calibri"/>
                      <w:i/>
                      <w:iCs/>
                      <w:color w:val="00B050"/>
                      <w:sz w:val="20"/>
                      <w:szCs w:val="20"/>
                    </w:rPr>
                    <w:t xml:space="preserve"> level qualification - overall (Number)</w:t>
                  </w:r>
                </w:p>
              </w:tc>
              <w:tc>
                <w:tcPr>
                  <w:tcW w:w="1890" w:type="dxa"/>
                  <w:vMerge/>
                </w:tcPr>
                <w:p w14:paraId="4554D98F" w14:textId="77777777" w:rsidR="000C6C28" w:rsidRPr="001C6D61" w:rsidRDefault="000C6C28" w:rsidP="00173459">
                  <w:pPr>
                    <w:rPr>
                      <w:rFonts w:ascii="Calibri" w:hAnsi="Calibri" w:cs="Calibri"/>
                      <w:sz w:val="20"/>
                      <w:szCs w:val="20"/>
                    </w:rPr>
                  </w:pPr>
                </w:p>
              </w:tc>
              <w:tc>
                <w:tcPr>
                  <w:tcW w:w="2700" w:type="dxa"/>
                  <w:vMerge/>
                </w:tcPr>
                <w:p w14:paraId="632B0DA7" w14:textId="77777777" w:rsidR="000C6C28" w:rsidRPr="001C6D61" w:rsidRDefault="000C6C28" w:rsidP="00173459">
                  <w:pPr>
                    <w:rPr>
                      <w:rFonts w:ascii="Calibri" w:hAnsi="Calibri" w:cs="Calibri"/>
                      <w:sz w:val="20"/>
                      <w:szCs w:val="20"/>
                    </w:rPr>
                  </w:pPr>
                </w:p>
              </w:tc>
              <w:tc>
                <w:tcPr>
                  <w:tcW w:w="1329" w:type="dxa"/>
                  <w:vMerge/>
                </w:tcPr>
                <w:p w14:paraId="08F5863C" w14:textId="77777777" w:rsidR="000C6C28" w:rsidRPr="001C6D61" w:rsidRDefault="000C6C28" w:rsidP="00173459">
                  <w:pPr>
                    <w:rPr>
                      <w:rFonts w:ascii="Calibri" w:hAnsi="Calibri" w:cs="Calibri"/>
                      <w:sz w:val="20"/>
                      <w:szCs w:val="20"/>
                    </w:rPr>
                  </w:pPr>
                </w:p>
              </w:tc>
            </w:tr>
            <w:tr w:rsidR="000C6C28" w:rsidRPr="001C6D61" w14:paraId="0D8C2C8E" w14:textId="4E2B6EDB" w:rsidTr="00ED04DC">
              <w:tc>
                <w:tcPr>
                  <w:tcW w:w="1778" w:type="dxa"/>
                  <w:vMerge w:val="restart"/>
                </w:tcPr>
                <w:p w14:paraId="7015BB8F"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 xml:space="preserve">Financial support for </w:t>
                  </w:r>
                  <w:r>
                    <w:rPr>
                      <w:rFonts w:ascii="Calibri" w:hAnsi="Calibri" w:cs="Calibri"/>
                      <w:sz w:val="20"/>
                      <w:szCs w:val="20"/>
                    </w:rPr>
                    <w:t xml:space="preserve">IELTS (English language) training </w:t>
                  </w:r>
                  <w:r>
                    <w:rPr>
                      <w:rFonts w:ascii="Calibri" w:hAnsi="Calibri" w:cs="Calibri"/>
                      <w:sz w:val="20"/>
                      <w:szCs w:val="20"/>
                    </w:rPr>
                    <w:lastRenderedPageBreak/>
                    <w:t>course and exam fee</w:t>
                  </w:r>
                </w:p>
              </w:tc>
              <w:tc>
                <w:tcPr>
                  <w:tcW w:w="2702" w:type="dxa"/>
                </w:tcPr>
                <w:p w14:paraId="0CC95297" w14:textId="77777777" w:rsidR="000C6C28" w:rsidRPr="001C6D61" w:rsidRDefault="000C6C28" w:rsidP="00173459">
                  <w:pPr>
                    <w:rPr>
                      <w:rFonts w:ascii="Calibri" w:hAnsi="Calibri" w:cs="Calibri"/>
                      <w:sz w:val="20"/>
                      <w:szCs w:val="20"/>
                    </w:rPr>
                  </w:pPr>
                  <w:r w:rsidRPr="00E006CB">
                    <w:rPr>
                      <w:rFonts w:ascii="Calibri" w:hAnsi="Calibri" w:cs="Calibri"/>
                      <w:color w:val="C45911" w:themeColor="accent2" w:themeShade="BF"/>
                      <w:sz w:val="20"/>
                      <w:szCs w:val="20"/>
                    </w:rPr>
                    <w:lastRenderedPageBreak/>
                    <w:t>Beneficiaries satisfied with project financed TVET student support funds</w:t>
                  </w:r>
                </w:p>
              </w:tc>
              <w:tc>
                <w:tcPr>
                  <w:tcW w:w="1890" w:type="dxa"/>
                  <w:vMerge/>
                </w:tcPr>
                <w:p w14:paraId="2272253A" w14:textId="77777777" w:rsidR="000C6C28" w:rsidRPr="001C6D61" w:rsidRDefault="000C6C28" w:rsidP="00173459">
                  <w:pPr>
                    <w:rPr>
                      <w:rFonts w:ascii="Calibri" w:hAnsi="Calibri" w:cs="Calibri"/>
                      <w:sz w:val="20"/>
                      <w:szCs w:val="20"/>
                    </w:rPr>
                  </w:pPr>
                </w:p>
              </w:tc>
              <w:tc>
                <w:tcPr>
                  <w:tcW w:w="2700" w:type="dxa"/>
                  <w:vMerge/>
                </w:tcPr>
                <w:p w14:paraId="100AE8A8" w14:textId="77777777" w:rsidR="000C6C28" w:rsidRPr="001C6D61" w:rsidRDefault="000C6C28" w:rsidP="00173459">
                  <w:pPr>
                    <w:rPr>
                      <w:rFonts w:ascii="Calibri" w:hAnsi="Calibri" w:cs="Calibri"/>
                      <w:sz w:val="20"/>
                      <w:szCs w:val="20"/>
                    </w:rPr>
                  </w:pPr>
                </w:p>
              </w:tc>
              <w:tc>
                <w:tcPr>
                  <w:tcW w:w="1329" w:type="dxa"/>
                  <w:vMerge/>
                </w:tcPr>
                <w:p w14:paraId="7348B733" w14:textId="77777777" w:rsidR="000C6C28" w:rsidRPr="001C6D61" w:rsidRDefault="000C6C28" w:rsidP="00173459">
                  <w:pPr>
                    <w:rPr>
                      <w:rFonts w:ascii="Calibri" w:hAnsi="Calibri" w:cs="Calibri"/>
                      <w:sz w:val="20"/>
                      <w:szCs w:val="20"/>
                    </w:rPr>
                  </w:pPr>
                </w:p>
              </w:tc>
            </w:tr>
            <w:tr w:rsidR="000C6C28" w:rsidRPr="001C6D61" w14:paraId="25D0CA0C" w14:textId="47A91218" w:rsidTr="00ED04DC">
              <w:tc>
                <w:tcPr>
                  <w:tcW w:w="1778" w:type="dxa"/>
                  <w:vMerge/>
                </w:tcPr>
                <w:p w14:paraId="55960DEA" w14:textId="77777777" w:rsidR="000C6C28" w:rsidRPr="001C6D61" w:rsidRDefault="000C6C28" w:rsidP="00173459">
                  <w:pPr>
                    <w:rPr>
                      <w:rFonts w:ascii="Calibri" w:hAnsi="Calibri" w:cs="Calibri"/>
                      <w:sz w:val="20"/>
                      <w:szCs w:val="20"/>
                    </w:rPr>
                  </w:pPr>
                </w:p>
              </w:tc>
              <w:tc>
                <w:tcPr>
                  <w:tcW w:w="2702" w:type="dxa"/>
                </w:tcPr>
                <w:p w14:paraId="78A0AB09" w14:textId="0B6640C0" w:rsidR="000C6C28" w:rsidRPr="001C6D61" w:rsidRDefault="000C6C28" w:rsidP="00173459">
                  <w:pPr>
                    <w:rPr>
                      <w:rFonts w:ascii="Calibri" w:hAnsi="Calibri" w:cs="Calibri"/>
                      <w:i/>
                      <w:iCs/>
                      <w:sz w:val="20"/>
                      <w:szCs w:val="20"/>
                    </w:rPr>
                  </w:pPr>
                  <w:r w:rsidRPr="00630E90">
                    <w:rPr>
                      <w:rFonts w:ascii="Calibri" w:hAnsi="Calibri" w:cs="Calibri"/>
                      <w:i/>
                      <w:iCs/>
                      <w:color w:val="00B050"/>
                      <w:sz w:val="20"/>
                      <w:szCs w:val="20"/>
                    </w:rPr>
                    <w:t>Share of beneficiaries satisfied with the project</w:t>
                  </w:r>
                  <w:r w:rsidR="00BC2B8F">
                    <w:rPr>
                      <w:rFonts w:ascii="Calibri" w:hAnsi="Calibri" w:cs="Calibri"/>
                      <w:i/>
                      <w:iCs/>
                      <w:color w:val="00B050"/>
                      <w:sz w:val="20"/>
                      <w:szCs w:val="20"/>
                    </w:rPr>
                    <w:t>-</w:t>
                  </w:r>
                  <w:r w:rsidRPr="00630E90">
                    <w:rPr>
                      <w:rFonts w:ascii="Calibri" w:hAnsi="Calibri" w:cs="Calibri"/>
                      <w:i/>
                      <w:iCs/>
                      <w:color w:val="00B050"/>
                      <w:sz w:val="20"/>
                      <w:szCs w:val="20"/>
                    </w:rPr>
                    <w:t xml:space="preserve"> financed TVET Student Support Funds (Percentage)</w:t>
                  </w:r>
                </w:p>
              </w:tc>
              <w:tc>
                <w:tcPr>
                  <w:tcW w:w="1890" w:type="dxa"/>
                  <w:vMerge/>
                </w:tcPr>
                <w:p w14:paraId="46CE8117" w14:textId="77777777" w:rsidR="000C6C28" w:rsidRPr="001C6D61" w:rsidRDefault="000C6C28" w:rsidP="00173459">
                  <w:pPr>
                    <w:rPr>
                      <w:rFonts w:ascii="Calibri" w:hAnsi="Calibri" w:cs="Calibri"/>
                      <w:sz w:val="20"/>
                      <w:szCs w:val="20"/>
                    </w:rPr>
                  </w:pPr>
                </w:p>
              </w:tc>
              <w:tc>
                <w:tcPr>
                  <w:tcW w:w="2700" w:type="dxa"/>
                  <w:vMerge/>
                </w:tcPr>
                <w:p w14:paraId="7B3B1CE7" w14:textId="77777777" w:rsidR="000C6C28" w:rsidRPr="001C6D61" w:rsidRDefault="000C6C28" w:rsidP="00173459">
                  <w:pPr>
                    <w:rPr>
                      <w:rFonts w:ascii="Calibri" w:hAnsi="Calibri" w:cs="Calibri"/>
                      <w:sz w:val="20"/>
                      <w:szCs w:val="20"/>
                    </w:rPr>
                  </w:pPr>
                </w:p>
              </w:tc>
              <w:tc>
                <w:tcPr>
                  <w:tcW w:w="1329" w:type="dxa"/>
                  <w:vMerge/>
                </w:tcPr>
                <w:p w14:paraId="3C27F238" w14:textId="77777777" w:rsidR="000C6C28" w:rsidRPr="001C6D61" w:rsidRDefault="000C6C28" w:rsidP="00173459">
                  <w:pPr>
                    <w:rPr>
                      <w:rFonts w:ascii="Calibri" w:hAnsi="Calibri" w:cs="Calibri"/>
                      <w:sz w:val="20"/>
                      <w:szCs w:val="20"/>
                    </w:rPr>
                  </w:pPr>
                </w:p>
              </w:tc>
            </w:tr>
            <w:tr w:rsidR="000C6C28" w:rsidRPr="001C6D61" w14:paraId="4D42BAEE" w14:textId="63841D77" w:rsidTr="00ED04DC">
              <w:tc>
                <w:tcPr>
                  <w:tcW w:w="1778" w:type="dxa"/>
                </w:tcPr>
                <w:p w14:paraId="55E3F936" w14:textId="77777777" w:rsidR="000C6C28" w:rsidRDefault="000C6C28" w:rsidP="00173459">
                  <w:pPr>
                    <w:rPr>
                      <w:rFonts w:ascii="Calibri" w:hAnsi="Calibri" w:cs="Calibri"/>
                      <w:sz w:val="20"/>
                      <w:szCs w:val="20"/>
                    </w:rPr>
                  </w:pPr>
                  <w:r w:rsidRPr="001C6D61">
                    <w:rPr>
                      <w:rFonts w:ascii="Calibri" w:hAnsi="Calibri" w:cs="Calibri"/>
                      <w:sz w:val="20"/>
                      <w:szCs w:val="20"/>
                    </w:rPr>
                    <w:t>Strengthen TVET governance through E-MIS</w:t>
                  </w:r>
                  <w:r>
                    <w:rPr>
                      <w:rFonts w:ascii="Calibri" w:hAnsi="Calibri" w:cs="Calibri"/>
                      <w:sz w:val="20"/>
                      <w:szCs w:val="20"/>
                    </w:rPr>
                    <w:t>.</w:t>
                  </w:r>
                </w:p>
                <w:p w14:paraId="25DC7811" w14:textId="77777777" w:rsidR="000C6C28" w:rsidRPr="001C6D61" w:rsidRDefault="000C6C28" w:rsidP="00173459">
                  <w:pPr>
                    <w:rPr>
                      <w:rFonts w:ascii="Calibri" w:hAnsi="Calibri" w:cs="Calibri"/>
                      <w:sz w:val="20"/>
                      <w:szCs w:val="20"/>
                    </w:rPr>
                  </w:pPr>
                  <w:r w:rsidRPr="00630E90">
                    <w:rPr>
                      <w:rFonts w:ascii="Calibri" w:hAnsi="Calibri" w:cs="Calibri"/>
                      <w:i/>
                      <w:iCs/>
                      <w:color w:val="00B050"/>
                      <w:sz w:val="20"/>
                      <w:szCs w:val="20"/>
                    </w:rPr>
                    <w:t>Improve TNQA framework, train TVET teachers</w:t>
                  </w:r>
                </w:p>
              </w:tc>
              <w:tc>
                <w:tcPr>
                  <w:tcW w:w="2702" w:type="dxa"/>
                </w:tcPr>
                <w:p w14:paraId="15F6E9C9" w14:textId="77777777" w:rsidR="000C6C28" w:rsidRPr="001C6D61" w:rsidRDefault="000C6C28" w:rsidP="00173459">
                  <w:pPr>
                    <w:rPr>
                      <w:rFonts w:ascii="Calibri" w:hAnsi="Calibri" w:cs="Calibri"/>
                      <w:i/>
                      <w:iCs/>
                      <w:sz w:val="20"/>
                      <w:szCs w:val="20"/>
                    </w:rPr>
                  </w:pPr>
                </w:p>
              </w:tc>
              <w:tc>
                <w:tcPr>
                  <w:tcW w:w="1890" w:type="dxa"/>
                </w:tcPr>
                <w:p w14:paraId="3C73940B" w14:textId="77777777" w:rsidR="000C6C28" w:rsidRPr="001C6D61" w:rsidRDefault="000C6C28" w:rsidP="00173459">
                  <w:pPr>
                    <w:rPr>
                      <w:rFonts w:ascii="Calibri" w:hAnsi="Calibri" w:cs="Calibri"/>
                      <w:sz w:val="20"/>
                      <w:szCs w:val="20"/>
                    </w:rPr>
                  </w:pPr>
                </w:p>
              </w:tc>
              <w:tc>
                <w:tcPr>
                  <w:tcW w:w="2700" w:type="dxa"/>
                  <w:vMerge/>
                </w:tcPr>
                <w:p w14:paraId="39034389" w14:textId="77777777" w:rsidR="000C6C28" w:rsidRPr="001C6D61" w:rsidRDefault="000C6C28" w:rsidP="00173459">
                  <w:pPr>
                    <w:rPr>
                      <w:rFonts w:ascii="Calibri" w:hAnsi="Calibri" w:cs="Calibri"/>
                      <w:sz w:val="20"/>
                      <w:szCs w:val="20"/>
                    </w:rPr>
                  </w:pPr>
                </w:p>
              </w:tc>
              <w:tc>
                <w:tcPr>
                  <w:tcW w:w="1329" w:type="dxa"/>
                  <w:vMerge/>
                </w:tcPr>
                <w:p w14:paraId="5E6B573D" w14:textId="77777777" w:rsidR="000C6C28" w:rsidRPr="001C6D61" w:rsidRDefault="000C6C28" w:rsidP="00173459">
                  <w:pPr>
                    <w:rPr>
                      <w:rFonts w:ascii="Calibri" w:hAnsi="Calibri" w:cs="Calibri"/>
                      <w:sz w:val="20"/>
                      <w:szCs w:val="20"/>
                    </w:rPr>
                  </w:pPr>
                </w:p>
              </w:tc>
            </w:tr>
            <w:tr w:rsidR="000C6C28" w:rsidRPr="001C6D61" w14:paraId="646D7DF8" w14:textId="56FEA669" w:rsidTr="00ED04DC">
              <w:tc>
                <w:tcPr>
                  <w:tcW w:w="9070" w:type="dxa"/>
                  <w:gridSpan w:val="4"/>
                </w:tcPr>
                <w:p w14:paraId="140A2656" w14:textId="77777777" w:rsidR="000C6C28" w:rsidRPr="001C6D61" w:rsidRDefault="000C6C28" w:rsidP="00173459">
                  <w:pPr>
                    <w:rPr>
                      <w:rFonts w:ascii="Calibri" w:hAnsi="Calibri" w:cs="Calibri"/>
                      <w:b/>
                      <w:bCs/>
                      <w:sz w:val="20"/>
                      <w:szCs w:val="20"/>
                    </w:rPr>
                  </w:pPr>
                  <w:r w:rsidRPr="001C6D61">
                    <w:rPr>
                      <w:rFonts w:ascii="Calibri" w:hAnsi="Calibri" w:cs="Calibri"/>
                      <w:b/>
                      <w:bCs/>
                      <w:sz w:val="20"/>
                      <w:szCs w:val="20"/>
                    </w:rPr>
                    <w:t>Component 3</w:t>
                  </w:r>
                </w:p>
              </w:tc>
              <w:tc>
                <w:tcPr>
                  <w:tcW w:w="1329" w:type="dxa"/>
                </w:tcPr>
                <w:p w14:paraId="0242EF87" w14:textId="77777777" w:rsidR="000C6C28" w:rsidRPr="001C6D61" w:rsidRDefault="000C6C28" w:rsidP="00173459">
                  <w:pPr>
                    <w:rPr>
                      <w:rFonts w:ascii="Calibri" w:hAnsi="Calibri" w:cs="Calibri"/>
                      <w:b/>
                      <w:bCs/>
                      <w:sz w:val="20"/>
                      <w:szCs w:val="20"/>
                    </w:rPr>
                  </w:pPr>
                </w:p>
              </w:tc>
            </w:tr>
            <w:tr w:rsidR="000C6C28" w:rsidRPr="001C6D61" w14:paraId="7CA0DB95" w14:textId="5CEBB84D" w:rsidTr="00ED04DC">
              <w:trPr>
                <w:trHeight w:val="1475"/>
              </w:trPr>
              <w:tc>
                <w:tcPr>
                  <w:tcW w:w="1778" w:type="dxa"/>
                </w:tcPr>
                <w:p w14:paraId="57866CEF" w14:textId="77777777" w:rsidR="000C6C28" w:rsidRDefault="000C6C28" w:rsidP="00173459">
                  <w:pPr>
                    <w:rPr>
                      <w:rFonts w:ascii="Calibri" w:hAnsi="Calibri" w:cs="Calibri"/>
                      <w:sz w:val="20"/>
                      <w:szCs w:val="20"/>
                    </w:rPr>
                  </w:pPr>
                  <w:r w:rsidRPr="001C6D61">
                    <w:rPr>
                      <w:rFonts w:ascii="Calibri" w:hAnsi="Calibri" w:cs="Calibri"/>
                      <w:sz w:val="20"/>
                      <w:szCs w:val="20"/>
                    </w:rPr>
                    <w:t>Predeparture training for migrant</w:t>
                  </w:r>
                  <w:r>
                    <w:rPr>
                      <w:rFonts w:ascii="Calibri" w:hAnsi="Calibri" w:cs="Calibri"/>
                      <w:sz w:val="20"/>
                      <w:szCs w:val="20"/>
                    </w:rPr>
                    <w:t xml:space="preserve"> workers. </w:t>
                  </w:r>
                </w:p>
                <w:p w14:paraId="5B0DDE7F" w14:textId="77777777" w:rsidR="000C6C28" w:rsidRPr="001C6D61" w:rsidRDefault="000C6C28" w:rsidP="00173459">
                  <w:pPr>
                    <w:rPr>
                      <w:rFonts w:ascii="Calibri" w:hAnsi="Calibri" w:cs="Calibri"/>
                      <w:sz w:val="20"/>
                      <w:szCs w:val="20"/>
                    </w:rPr>
                  </w:pPr>
                  <w:r w:rsidRPr="006B6858">
                    <w:rPr>
                      <w:rFonts w:ascii="Calibri" w:hAnsi="Calibri" w:cs="Calibri"/>
                      <w:i/>
                      <w:iCs/>
                      <w:color w:val="00B050"/>
                      <w:sz w:val="20"/>
                      <w:szCs w:val="20"/>
                    </w:rPr>
                    <w:t>Facilitate medical clearances for workers from the outer islands</w:t>
                  </w:r>
                  <w:r>
                    <w:rPr>
                      <w:rFonts w:ascii="Calibri" w:hAnsi="Calibri" w:cs="Calibri"/>
                      <w:i/>
                      <w:iCs/>
                      <w:color w:val="00B050"/>
                      <w:sz w:val="20"/>
                      <w:szCs w:val="20"/>
                    </w:rPr>
                    <w:t>.</w:t>
                  </w:r>
                </w:p>
              </w:tc>
              <w:tc>
                <w:tcPr>
                  <w:tcW w:w="2702" w:type="dxa"/>
                </w:tcPr>
                <w:p w14:paraId="3E1D8787" w14:textId="77777777" w:rsidR="000C6C28" w:rsidRPr="001C6D61" w:rsidRDefault="000C6C28" w:rsidP="00173459">
                  <w:pPr>
                    <w:rPr>
                      <w:rFonts w:ascii="Calibri" w:hAnsi="Calibri" w:cs="Calibri"/>
                      <w:color w:val="FF0000"/>
                      <w:sz w:val="20"/>
                      <w:szCs w:val="20"/>
                    </w:rPr>
                  </w:pPr>
                  <w:r w:rsidRPr="00286544">
                    <w:rPr>
                      <w:rFonts w:ascii="Calibri" w:hAnsi="Calibri" w:cs="Calibri"/>
                      <w:sz w:val="20"/>
                      <w:szCs w:val="20"/>
                    </w:rPr>
                    <w:t>Beneficiaries completing pre-departure training program for migration</w:t>
                  </w:r>
                </w:p>
              </w:tc>
              <w:tc>
                <w:tcPr>
                  <w:tcW w:w="1890" w:type="dxa"/>
                </w:tcPr>
                <w:p w14:paraId="0DE51446"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Beneficiaries adequately trained for employment opportunities abroad</w:t>
                  </w:r>
                </w:p>
              </w:tc>
              <w:tc>
                <w:tcPr>
                  <w:tcW w:w="2700" w:type="dxa"/>
                  <w:vMerge w:val="restart"/>
                </w:tcPr>
                <w:p w14:paraId="284766D2" w14:textId="77777777" w:rsidR="000C6C28" w:rsidRPr="00E006CB" w:rsidRDefault="000C6C28" w:rsidP="00173459">
                  <w:pPr>
                    <w:rPr>
                      <w:rFonts w:ascii="Calibri" w:hAnsi="Calibri" w:cs="Calibri"/>
                      <w:sz w:val="20"/>
                      <w:szCs w:val="20"/>
                    </w:rPr>
                  </w:pPr>
                  <w:r w:rsidRPr="00C96530">
                    <w:rPr>
                      <w:rFonts w:ascii="Calibri" w:hAnsi="Calibri" w:cs="Calibri"/>
                      <w:sz w:val="20"/>
                      <w:szCs w:val="20"/>
                    </w:rPr>
                    <w:t>Increased number of beneficiaries in work ready pool</w:t>
                  </w:r>
                  <w:r>
                    <w:rPr>
                      <w:rFonts w:ascii="Calibri" w:hAnsi="Calibri" w:cs="Calibri"/>
                      <w:sz w:val="20"/>
                      <w:szCs w:val="20"/>
                    </w:rPr>
                    <w:t xml:space="preserve"> accessing employment opportunities abroad</w:t>
                  </w:r>
                </w:p>
                <w:p w14:paraId="56405244" w14:textId="77777777" w:rsidR="000C6C28" w:rsidRPr="00E006CB" w:rsidRDefault="000C6C28" w:rsidP="00173459">
                  <w:pPr>
                    <w:rPr>
                      <w:rFonts w:ascii="Calibri" w:hAnsi="Calibri" w:cs="Calibri"/>
                      <w:sz w:val="20"/>
                      <w:szCs w:val="20"/>
                    </w:rPr>
                  </w:pPr>
                </w:p>
              </w:tc>
              <w:tc>
                <w:tcPr>
                  <w:tcW w:w="1329" w:type="dxa"/>
                  <w:vMerge w:val="restart"/>
                </w:tcPr>
                <w:p w14:paraId="5A0A4CE5" w14:textId="3510BDDC" w:rsidR="000C6C28" w:rsidRPr="00C96530" w:rsidRDefault="000C6C28" w:rsidP="00173459">
                  <w:pPr>
                    <w:rPr>
                      <w:rFonts w:ascii="Calibri" w:hAnsi="Calibri" w:cs="Calibri"/>
                      <w:sz w:val="20"/>
                      <w:szCs w:val="20"/>
                    </w:rPr>
                  </w:pPr>
                  <w:r>
                    <w:rPr>
                      <w:rFonts w:ascii="Calibri" w:hAnsi="Calibri" w:cs="Calibri"/>
                      <w:sz w:val="20"/>
                      <w:szCs w:val="20"/>
                    </w:rPr>
                    <w:t xml:space="preserve">To </w:t>
                  </w:r>
                  <w:r w:rsidRPr="001C6D61">
                    <w:rPr>
                      <w:rFonts w:ascii="Calibri" w:hAnsi="Calibri" w:cs="Calibri"/>
                      <w:sz w:val="20"/>
                      <w:szCs w:val="20"/>
                    </w:rPr>
                    <w:t>facilitate the transition to jobs in the domestic and overseas labor market for Tongans.</w:t>
                  </w:r>
                </w:p>
              </w:tc>
            </w:tr>
            <w:tr w:rsidR="000C6C28" w:rsidRPr="001C6D61" w14:paraId="315D5EE5" w14:textId="5834E5C0" w:rsidTr="00ED04DC">
              <w:trPr>
                <w:trHeight w:val="1953"/>
              </w:trPr>
              <w:tc>
                <w:tcPr>
                  <w:tcW w:w="1778" w:type="dxa"/>
                </w:tcPr>
                <w:p w14:paraId="4214DE03"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Strengthen governance of ED through i) information provision and outreach to migrants, ii) streamline selection processes for employment opportunities</w:t>
                  </w:r>
                </w:p>
              </w:tc>
              <w:tc>
                <w:tcPr>
                  <w:tcW w:w="2702" w:type="dxa"/>
                </w:tcPr>
                <w:p w14:paraId="3595EEBC" w14:textId="77777777" w:rsidR="000C6C28" w:rsidRPr="001C6D61" w:rsidRDefault="000C6C28" w:rsidP="00173459">
                  <w:pPr>
                    <w:rPr>
                      <w:rFonts w:ascii="Calibri" w:hAnsi="Calibri" w:cs="Calibri"/>
                      <w:sz w:val="20"/>
                      <w:szCs w:val="20"/>
                    </w:rPr>
                  </w:pPr>
                  <w:r w:rsidRPr="00286544">
                    <w:rPr>
                      <w:rFonts w:ascii="Calibri" w:hAnsi="Calibri" w:cs="Calibri"/>
                      <w:sz w:val="20"/>
                      <w:szCs w:val="20"/>
                    </w:rPr>
                    <w:t>Volume of Tongans in work ready pool increases</w:t>
                  </w:r>
                </w:p>
              </w:tc>
              <w:tc>
                <w:tcPr>
                  <w:tcW w:w="1890" w:type="dxa"/>
                </w:tcPr>
                <w:p w14:paraId="53F46D60" w14:textId="77777777" w:rsidR="000C6C28" w:rsidRPr="001C6D61" w:rsidRDefault="000C6C28" w:rsidP="00173459">
                  <w:pPr>
                    <w:rPr>
                      <w:rFonts w:ascii="Calibri" w:hAnsi="Calibri" w:cs="Calibri"/>
                      <w:sz w:val="20"/>
                      <w:szCs w:val="20"/>
                    </w:rPr>
                  </w:pPr>
                  <w:r w:rsidRPr="001C6D61">
                    <w:rPr>
                      <w:rFonts w:ascii="Calibri" w:hAnsi="Calibri" w:cs="Calibri"/>
                      <w:sz w:val="20"/>
                      <w:szCs w:val="20"/>
                    </w:rPr>
                    <w:t>Improved governance provides more information and opportunities to those in poorest decile</w:t>
                  </w:r>
                </w:p>
              </w:tc>
              <w:tc>
                <w:tcPr>
                  <w:tcW w:w="2700" w:type="dxa"/>
                  <w:vMerge/>
                </w:tcPr>
                <w:p w14:paraId="6314D5DD" w14:textId="77777777" w:rsidR="000C6C28" w:rsidRPr="001C6D61" w:rsidRDefault="000C6C28" w:rsidP="00173459">
                  <w:pPr>
                    <w:rPr>
                      <w:rFonts w:ascii="Calibri" w:hAnsi="Calibri" w:cs="Calibri"/>
                      <w:sz w:val="20"/>
                      <w:szCs w:val="20"/>
                    </w:rPr>
                  </w:pPr>
                </w:p>
              </w:tc>
              <w:tc>
                <w:tcPr>
                  <w:tcW w:w="1329" w:type="dxa"/>
                  <w:vMerge/>
                </w:tcPr>
                <w:p w14:paraId="005EDA8F" w14:textId="77777777" w:rsidR="000C6C28" w:rsidRPr="001C6D61" w:rsidRDefault="000C6C28" w:rsidP="00173459">
                  <w:pPr>
                    <w:rPr>
                      <w:rFonts w:ascii="Calibri" w:hAnsi="Calibri" w:cs="Calibri"/>
                      <w:sz w:val="20"/>
                      <w:szCs w:val="20"/>
                    </w:rPr>
                  </w:pPr>
                </w:p>
              </w:tc>
            </w:tr>
          </w:tbl>
          <w:p w14:paraId="7342E562" w14:textId="0B46A9F9" w:rsidR="00173459" w:rsidRPr="00173459" w:rsidRDefault="00173459" w:rsidP="00173459">
            <w:pPr>
              <w:pStyle w:val="ListParagraph"/>
              <w:ind w:left="360"/>
              <w:rPr>
                <w:rFonts w:eastAsia="Calibri" w:cstheme="minorHAnsi"/>
                <w:b/>
                <w:bCs/>
              </w:rPr>
            </w:pPr>
          </w:p>
        </w:tc>
      </w:tr>
      <w:tr w:rsidR="00DD6229" w14:paraId="1052EF94" w14:textId="77777777" w:rsidTr="0035024F">
        <w:trPr>
          <w:trHeight w:val="872"/>
        </w:trPr>
        <w:tc>
          <w:tcPr>
            <w:tcW w:w="11070" w:type="dxa"/>
          </w:tcPr>
          <w:p w14:paraId="402990C1" w14:textId="77777777" w:rsidR="00173459" w:rsidRPr="001C6D61" w:rsidRDefault="00173459" w:rsidP="00E159FF">
            <w:pPr>
              <w:jc w:val="both"/>
              <w:rPr>
                <w:rFonts w:ascii="Calibri" w:hAnsi="Calibri" w:cs="Calibri"/>
                <w:b/>
                <w:bCs/>
                <w:i/>
                <w:iCs/>
                <w:sz w:val="20"/>
                <w:szCs w:val="20"/>
              </w:rPr>
            </w:pPr>
            <w:r w:rsidRPr="001C6D61">
              <w:rPr>
                <w:rFonts w:ascii="Calibri" w:hAnsi="Calibri" w:cs="Calibri"/>
                <w:b/>
                <w:bCs/>
                <w:i/>
                <w:iCs/>
                <w:sz w:val="20"/>
                <w:szCs w:val="20"/>
              </w:rPr>
              <w:lastRenderedPageBreak/>
              <w:t>Critical assumptions:</w:t>
            </w:r>
          </w:p>
          <w:p w14:paraId="15A31D26" w14:textId="77777777" w:rsidR="00173459" w:rsidRPr="001500E0" w:rsidRDefault="00173459" w:rsidP="00E159FF">
            <w:pPr>
              <w:jc w:val="both"/>
              <w:rPr>
                <w:rFonts w:ascii="Calibri" w:hAnsi="Calibri" w:cs="Calibri"/>
                <w:sz w:val="18"/>
                <w:szCs w:val="18"/>
              </w:rPr>
            </w:pPr>
            <w:r w:rsidRPr="001500E0">
              <w:rPr>
                <w:rFonts w:ascii="Calibri" w:hAnsi="Calibri" w:cs="Calibri"/>
                <w:sz w:val="18"/>
                <w:szCs w:val="18"/>
              </w:rPr>
              <w:t xml:space="preserve">CA 1 – Financial support provided is enough to encourage poor households to keep their children in secondary school and forego employment opportunities </w:t>
            </w:r>
          </w:p>
          <w:p w14:paraId="2DA1F6E6" w14:textId="77777777" w:rsidR="00173459" w:rsidRPr="001500E0" w:rsidRDefault="00173459" w:rsidP="00E159FF">
            <w:pPr>
              <w:jc w:val="both"/>
              <w:rPr>
                <w:rFonts w:ascii="Calibri" w:hAnsi="Calibri" w:cs="Calibri"/>
                <w:sz w:val="18"/>
                <w:szCs w:val="18"/>
              </w:rPr>
            </w:pPr>
            <w:r w:rsidRPr="001500E0">
              <w:rPr>
                <w:rFonts w:ascii="Calibri" w:hAnsi="Calibri" w:cs="Calibri"/>
                <w:sz w:val="18"/>
                <w:szCs w:val="18"/>
              </w:rPr>
              <w:t xml:space="preserve">CA 2 – Improved TVET system and support to TVET students improve employment outcomes in domestic labor market </w:t>
            </w:r>
          </w:p>
          <w:p w14:paraId="3989A2F5" w14:textId="77777777" w:rsidR="00173459" w:rsidRPr="001500E0" w:rsidRDefault="00173459" w:rsidP="00E159FF">
            <w:pPr>
              <w:jc w:val="both"/>
              <w:rPr>
                <w:rFonts w:ascii="Calibri" w:hAnsi="Calibri" w:cs="Calibri"/>
                <w:sz w:val="18"/>
                <w:szCs w:val="18"/>
              </w:rPr>
            </w:pPr>
            <w:r w:rsidRPr="001500E0">
              <w:rPr>
                <w:rFonts w:ascii="Calibri" w:hAnsi="Calibri" w:cs="Calibri"/>
                <w:sz w:val="18"/>
                <w:szCs w:val="18"/>
              </w:rPr>
              <w:t>CA 3 – improved governance (through outreach and appropriate selection mechanisms) improves the poorest workers + women in the work ready pool</w:t>
            </w:r>
          </w:p>
          <w:p w14:paraId="703D5CD4" w14:textId="77777777" w:rsidR="00173459" w:rsidRDefault="00173459" w:rsidP="00E159FF">
            <w:pPr>
              <w:jc w:val="both"/>
              <w:rPr>
                <w:rFonts w:eastAsia="Times New Roman" w:cstheme="minorHAnsi"/>
                <w:sz w:val="18"/>
                <w:szCs w:val="18"/>
              </w:rPr>
            </w:pPr>
            <w:r w:rsidRPr="001500E0">
              <w:rPr>
                <w:rFonts w:eastAsia="Times New Roman" w:cstheme="minorHAnsi"/>
                <w:b/>
                <w:bCs/>
                <w:i/>
                <w:iCs/>
                <w:sz w:val="18"/>
                <w:szCs w:val="18"/>
              </w:rPr>
              <w:t>Notes:</w:t>
            </w:r>
            <w:r w:rsidRPr="001500E0">
              <w:rPr>
                <w:rFonts w:eastAsia="Times New Roman" w:cstheme="minorHAnsi"/>
                <w:sz w:val="18"/>
                <w:szCs w:val="18"/>
              </w:rPr>
              <w:t xml:space="preserve"> (1) </w:t>
            </w:r>
            <w:r w:rsidRPr="001500E0">
              <w:rPr>
                <w:rFonts w:ascii="Calibri" w:hAnsi="Calibri" w:cs="Calibri"/>
                <w:color w:val="C45911" w:themeColor="accent2" w:themeShade="BF"/>
                <w:sz w:val="18"/>
                <w:szCs w:val="18"/>
              </w:rPr>
              <w:t xml:space="preserve">Deleted during restructuring in 2022 (orange text); </w:t>
            </w:r>
            <w:r w:rsidRPr="001500E0">
              <w:rPr>
                <w:rFonts w:ascii="Calibri" w:hAnsi="Calibri" w:cs="Calibri"/>
                <w:i/>
                <w:iCs/>
                <w:color w:val="00B050"/>
                <w:sz w:val="18"/>
                <w:szCs w:val="18"/>
              </w:rPr>
              <w:t>Revised/ added during restructuring in 2022 (green and italicized text)</w:t>
            </w:r>
            <w:r w:rsidRPr="00D309F7">
              <w:rPr>
                <w:rFonts w:ascii="Calibri" w:hAnsi="Calibri" w:cs="Calibri"/>
                <w:sz w:val="18"/>
                <w:szCs w:val="18"/>
              </w:rPr>
              <w:t>.</w:t>
            </w:r>
            <w:r w:rsidRPr="001500E0">
              <w:rPr>
                <w:rFonts w:ascii="Calibri" w:hAnsi="Calibri" w:cs="Calibri"/>
                <w:color w:val="FF0000"/>
                <w:sz w:val="18"/>
                <w:szCs w:val="18"/>
              </w:rPr>
              <w:t xml:space="preserve"> </w:t>
            </w:r>
            <w:r w:rsidRPr="001500E0">
              <w:rPr>
                <w:rFonts w:eastAsia="Times New Roman" w:cstheme="minorHAnsi"/>
                <w:sz w:val="18"/>
                <w:szCs w:val="18"/>
              </w:rPr>
              <w:t>(2) Developed by ICR authors based on project documents. (</w:t>
            </w:r>
            <w:r>
              <w:rPr>
                <w:rFonts w:eastAsia="Times New Roman" w:cstheme="minorHAnsi"/>
                <w:sz w:val="18"/>
                <w:szCs w:val="18"/>
              </w:rPr>
              <w:t>3</w:t>
            </w:r>
            <w:r w:rsidRPr="001500E0">
              <w:rPr>
                <w:rFonts w:eastAsia="Times New Roman" w:cstheme="minorHAnsi"/>
                <w:sz w:val="18"/>
                <w:szCs w:val="18"/>
              </w:rPr>
              <w:t>) Project management component is not included in the ToC.</w:t>
            </w:r>
            <w:r>
              <w:rPr>
                <w:rFonts w:eastAsia="Times New Roman" w:cstheme="minorHAnsi"/>
                <w:sz w:val="18"/>
                <w:szCs w:val="18"/>
              </w:rPr>
              <w:t xml:space="preserve"> (4) </w:t>
            </w:r>
            <w:r w:rsidRPr="006D27D3">
              <w:rPr>
                <w:rFonts w:eastAsia="Times New Roman" w:cstheme="minorHAnsi"/>
                <w:sz w:val="18"/>
                <w:szCs w:val="18"/>
              </w:rPr>
              <w:t>One of the “aims” stated in the original design</w:t>
            </w:r>
            <w:r>
              <w:rPr>
                <w:rFonts w:eastAsia="Times New Roman" w:cstheme="minorHAnsi"/>
                <w:sz w:val="18"/>
                <w:szCs w:val="18"/>
              </w:rPr>
              <w:t xml:space="preserve"> (PAD)</w:t>
            </w:r>
            <w:r w:rsidRPr="006D27D3">
              <w:rPr>
                <w:rFonts w:eastAsia="Times New Roman" w:cstheme="minorHAnsi"/>
                <w:sz w:val="18"/>
                <w:szCs w:val="18"/>
              </w:rPr>
              <w:t xml:space="preserve"> for comp</w:t>
            </w:r>
            <w:r>
              <w:rPr>
                <w:rFonts w:eastAsia="Times New Roman" w:cstheme="minorHAnsi"/>
                <w:sz w:val="18"/>
                <w:szCs w:val="18"/>
              </w:rPr>
              <w:t>onent</w:t>
            </w:r>
            <w:r w:rsidRPr="006D27D3">
              <w:rPr>
                <w:rFonts w:eastAsia="Times New Roman" w:cstheme="minorHAnsi"/>
                <w:sz w:val="18"/>
                <w:szCs w:val="18"/>
              </w:rPr>
              <w:t xml:space="preserve"> 2 is “…these courses, by the end of the program, will be recognized by the Australian Skills Quality Authority (ASQA) and/or the New Zealand Qualification Authority (NZQA).” </w:t>
            </w:r>
            <w:r>
              <w:rPr>
                <w:rFonts w:eastAsia="Times New Roman" w:cstheme="minorHAnsi"/>
                <w:sz w:val="18"/>
                <w:szCs w:val="18"/>
              </w:rPr>
              <w:t xml:space="preserve">– note that this was </w:t>
            </w:r>
            <w:r w:rsidRPr="006D27D3">
              <w:rPr>
                <w:rFonts w:eastAsia="Times New Roman" w:cstheme="minorHAnsi"/>
                <w:sz w:val="18"/>
                <w:szCs w:val="18"/>
              </w:rPr>
              <w:t>deemed not possible</w:t>
            </w:r>
            <w:r>
              <w:rPr>
                <w:rFonts w:eastAsia="Times New Roman" w:cstheme="minorHAnsi"/>
                <w:sz w:val="18"/>
                <w:szCs w:val="18"/>
              </w:rPr>
              <w:t xml:space="preserve"> during implementation</w:t>
            </w:r>
            <w:r w:rsidRPr="006D27D3">
              <w:rPr>
                <w:rFonts w:eastAsia="Times New Roman" w:cstheme="minorHAnsi"/>
                <w:sz w:val="18"/>
                <w:szCs w:val="18"/>
              </w:rPr>
              <w:t>.</w:t>
            </w:r>
          </w:p>
          <w:p w14:paraId="7137EB58" w14:textId="77777777" w:rsidR="00173459" w:rsidRDefault="00173459" w:rsidP="00E159FF">
            <w:pPr>
              <w:jc w:val="both"/>
              <w:rPr>
                <w:rFonts w:eastAsia="Calibri" w:cstheme="minorHAnsi"/>
              </w:rPr>
            </w:pPr>
          </w:p>
          <w:p w14:paraId="0D759F97" w14:textId="77777777" w:rsidR="00A93EB1" w:rsidRPr="00173459" w:rsidRDefault="00D310E2" w:rsidP="00A93EB1">
            <w:pPr>
              <w:rPr>
                <w:rFonts w:eastAsia="Calibri" w:cstheme="minorHAnsi"/>
                <w:b/>
                <w:bCs/>
              </w:rPr>
            </w:pPr>
            <w:r w:rsidRPr="00173459">
              <w:rPr>
                <w:rFonts w:eastAsia="Calibri" w:cstheme="minorHAnsi"/>
                <w:b/>
                <w:bCs/>
              </w:rPr>
              <w:t>Project Development Objectives (PDOs)</w:t>
            </w:r>
          </w:p>
          <w:p w14:paraId="3E7465EE" w14:textId="7F20CB9B" w:rsidR="00173459" w:rsidRPr="00173459" w:rsidRDefault="00173459" w:rsidP="00615339">
            <w:pPr>
              <w:pStyle w:val="ListParagraph"/>
              <w:numPr>
                <w:ilvl w:val="0"/>
                <w:numId w:val="10"/>
              </w:numPr>
              <w:ind w:left="0" w:firstLine="0"/>
              <w:jc w:val="both"/>
              <w:rPr>
                <w:rFonts w:eastAsia="Calibri" w:cstheme="minorHAnsi"/>
              </w:rPr>
            </w:pPr>
            <w:r w:rsidRPr="00173459">
              <w:rPr>
                <w:rFonts w:eastAsia="Calibri" w:cstheme="minorHAnsi"/>
              </w:rPr>
              <w:t>The PDO was to improve opportunities for secondary school progression and facilitate the transition to jobs in the domestic and overseas labor markets for Tongans.</w:t>
            </w:r>
          </w:p>
          <w:p w14:paraId="4C3E626E" w14:textId="7645DCE3" w:rsidR="00173459" w:rsidRPr="00A93EB1" w:rsidRDefault="00173459" w:rsidP="00A93EB1">
            <w:pPr>
              <w:rPr>
                <w:rFonts w:eastAsia="Calibri" w:cstheme="minorHAnsi"/>
              </w:rPr>
            </w:pPr>
          </w:p>
        </w:tc>
      </w:tr>
      <w:tr w:rsidR="00DD6229" w14:paraId="021CF02A" w14:textId="77777777" w:rsidTr="0035024F">
        <w:trPr>
          <w:trHeight w:val="872"/>
        </w:trPr>
        <w:tc>
          <w:tcPr>
            <w:tcW w:w="11070" w:type="dxa"/>
          </w:tcPr>
          <w:p w14:paraId="547B1D37" w14:textId="77777777" w:rsidR="00A93EB1" w:rsidRPr="00173459" w:rsidRDefault="00D310E2" w:rsidP="00E159FF">
            <w:pPr>
              <w:jc w:val="both"/>
              <w:rPr>
                <w:rFonts w:eastAsia="Calibri" w:cstheme="minorHAnsi"/>
                <w:b/>
                <w:bCs/>
              </w:rPr>
            </w:pPr>
            <w:r w:rsidRPr="00173459">
              <w:rPr>
                <w:rFonts w:eastAsia="Calibri" w:cstheme="minorHAnsi"/>
                <w:b/>
                <w:bCs/>
              </w:rPr>
              <w:t>Key Expected Outcomes and Outcome Indicators</w:t>
            </w:r>
          </w:p>
          <w:p w14:paraId="715FCA94" w14:textId="77777777" w:rsidR="00173459" w:rsidRPr="00173459" w:rsidRDefault="00173459" w:rsidP="00A15F63">
            <w:pPr>
              <w:pStyle w:val="ListParagraph"/>
              <w:numPr>
                <w:ilvl w:val="0"/>
                <w:numId w:val="10"/>
              </w:numPr>
              <w:jc w:val="both"/>
              <w:rPr>
                <w:rFonts w:eastAsia="Calibri" w:cstheme="minorHAnsi"/>
              </w:rPr>
            </w:pPr>
            <w:r w:rsidRPr="00173459">
              <w:rPr>
                <w:rFonts w:eastAsia="Calibri" w:cstheme="minorHAnsi"/>
              </w:rPr>
              <w:t xml:space="preserve">The six PDO Indicators (PDOI) linked to overall objective of SET – divided into two sub-objectives – were as follows: </w:t>
            </w:r>
          </w:p>
          <w:p w14:paraId="02EB7BE4" w14:textId="77777777" w:rsidR="00173459" w:rsidRPr="00173459" w:rsidRDefault="00173459" w:rsidP="00A15F63">
            <w:pPr>
              <w:pStyle w:val="ListParagraph"/>
              <w:numPr>
                <w:ilvl w:val="1"/>
                <w:numId w:val="10"/>
              </w:numPr>
              <w:jc w:val="both"/>
              <w:rPr>
                <w:rFonts w:eastAsia="Calibri" w:cstheme="minorHAnsi"/>
                <w:b/>
                <w:bCs/>
              </w:rPr>
            </w:pPr>
            <w:r w:rsidRPr="00173459">
              <w:rPr>
                <w:rFonts w:eastAsia="Calibri" w:cstheme="minorHAnsi"/>
                <w:b/>
                <w:bCs/>
              </w:rPr>
              <w:t xml:space="preserve">Improve opportunities for secondary school progression. </w:t>
            </w:r>
          </w:p>
          <w:p w14:paraId="1EFC9181" w14:textId="77777777" w:rsidR="00173459" w:rsidRPr="00173459" w:rsidRDefault="00173459" w:rsidP="00E159FF">
            <w:pPr>
              <w:pStyle w:val="ListParagraph"/>
              <w:ind w:left="1080"/>
              <w:jc w:val="both"/>
              <w:rPr>
                <w:rFonts w:eastAsia="Calibri" w:cstheme="minorHAnsi"/>
              </w:rPr>
            </w:pPr>
            <w:r w:rsidRPr="00173459">
              <w:rPr>
                <w:rFonts w:eastAsia="Calibri" w:cstheme="minorHAnsi"/>
                <w:u w:val="single"/>
              </w:rPr>
              <w:t xml:space="preserve">PDOI 1 and 2: </w:t>
            </w:r>
            <w:r w:rsidRPr="00173459">
              <w:rPr>
                <w:rFonts w:eastAsia="Calibri" w:cstheme="minorHAnsi"/>
              </w:rPr>
              <w:t xml:space="preserve"> Average duration of secondary school completed amongst the poorest decile (percentage) </w:t>
            </w:r>
          </w:p>
          <w:p w14:paraId="5A66B3C4" w14:textId="77777777" w:rsidR="00173459" w:rsidRPr="00173459" w:rsidRDefault="00173459" w:rsidP="00A15F63">
            <w:pPr>
              <w:pStyle w:val="ListParagraph"/>
              <w:numPr>
                <w:ilvl w:val="1"/>
                <w:numId w:val="10"/>
              </w:numPr>
              <w:jc w:val="both"/>
              <w:rPr>
                <w:rFonts w:eastAsia="Calibri" w:cstheme="minorHAnsi"/>
                <w:b/>
                <w:bCs/>
              </w:rPr>
            </w:pPr>
            <w:r w:rsidRPr="00173459">
              <w:rPr>
                <w:rFonts w:eastAsia="Calibri" w:cstheme="minorHAnsi"/>
                <w:b/>
                <w:bCs/>
              </w:rPr>
              <w:t>Facilitate the transition to jobs in the domestic and overseas labor markets for Tongans.</w:t>
            </w:r>
          </w:p>
          <w:p w14:paraId="310B55FF" w14:textId="77777777" w:rsidR="00173459" w:rsidRPr="00173459" w:rsidRDefault="00173459" w:rsidP="00E159FF">
            <w:pPr>
              <w:ind w:left="1080"/>
              <w:jc w:val="both"/>
              <w:rPr>
                <w:rFonts w:eastAsia="Calibri" w:cstheme="minorHAnsi"/>
              </w:rPr>
            </w:pPr>
            <w:r w:rsidRPr="00173459">
              <w:rPr>
                <w:rFonts w:eastAsia="Calibri" w:cstheme="minorHAnsi"/>
                <w:u w:val="single"/>
              </w:rPr>
              <w:lastRenderedPageBreak/>
              <w:t>PDOI 3 and 4:</w:t>
            </w:r>
            <w:r w:rsidRPr="00173459">
              <w:rPr>
                <w:rFonts w:eastAsia="Calibri" w:cstheme="minorHAnsi"/>
              </w:rPr>
              <w:t xml:space="preserve"> Share of beneficiaries who are employed in the domestic labor market six months after completion of training – overall and female (percentage)</w:t>
            </w:r>
          </w:p>
          <w:p w14:paraId="58BDBD88" w14:textId="05257DAD" w:rsidR="00173459" w:rsidRPr="00173459" w:rsidRDefault="00173459" w:rsidP="00E44C14">
            <w:pPr>
              <w:ind w:left="1080"/>
              <w:jc w:val="both"/>
              <w:rPr>
                <w:rFonts w:eastAsia="Calibri" w:cstheme="minorHAnsi"/>
              </w:rPr>
            </w:pPr>
            <w:r w:rsidRPr="00173459">
              <w:rPr>
                <w:rFonts w:eastAsia="Calibri" w:cstheme="minorHAnsi"/>
                <w:u w:val="single"/>
              </w:rPr>
              <w:t>PDOI 5 and 6:</w:t>
            </w:r>
            <w:r w:rsidRPr="00173459">
              <w:rPr>
                <w:rFonts w:eastAsia="Calibri" w:cstheme="minorHAnsi"/>
              </w:rPr>
              <w:t xml:space="preserve"> Beneficiaries in the work ready pool accessing employment opportunities abroad - overall and female (number)</w:t>
            </w:r>
          </w:p>
        </w:tc>
      </w:tr>
      <w:tr w:rsidR="00DD6229" w14:paraId="56C309F5" w14:textId="77777777" w:rsidTr="0035024F">
        <w:trPr>
          <w:trHeight w:val="872"/>
        </w:trPr>
        <w:tc>
          <w:tcPr>
            <w:tcW w:w="11070" w:type="dxa"/>
          </w:tcPr>
          <w:p w14:paraId="63329165" w14:textId="6720D74A" w:rsidR="00173459" w:rsidRDefault="00173459" w:rsidP="00E159FF">
            <w:pPr>
              <w:jc w:val="both"/>
              <w:rPr>
                <w:rFonts w:eastAsia="Calibri" w:cstheme="minorHAnsi"/>
              </w:rPr>
            </w:pPr>
            <w:r w:rsidRPr="00173459">
              <w:rPr>
                <w:rFonts w:eastAsia="Calibri" w:cstheme="minorHAnsi"/>
              </w:rPr>
              <w:lastRenderedPageBreak/>
              <w:t>These PDOIs were supplemented by five Intermediate Result Indicators (IRI) Indicators as shown in the Project’s Results Framework (RF) (Annex 1).</w:t>
            </w:r>
          </w:p>
          <w:p w14:paraId="0C7F565D" w14:textId="77777777" w:rsidR="00173459" w:rsidRDefault="00173459" w:rsidP="00E159FF">
            <w:pPr>
              <w:jc w:val="both"/>
              <w:rPr>
                <w:rFonts w:eastAsia="Calibri" w:cstheme="minorHAnsi"/>
              </w:rPr>
            </w:pPr>
          </w:p>
          <w:p w14:paraId="66B33EE3" w14:textId="77777777" w:rsidR="00A93EB1" w:rsidRPr="00173459" w:rsidRDefault="00D310E2" w:rsidP="00E159FF">
            <w:pPr>
              <w:jc w:val="both"/>
              <w:rPr>
                <w:rFonts w:eastAsia="Calibri" w:cstheme="minorHAnsi"/>
                <w:b/>
                <w:bCs/>
              </w:rPr>
            </w:pPr>
            <w:r w:rsidRPr="00173459">
              <w:rPr>
                <w:rFonts w:eastAsia="Calibri" w:cstheme="minorHAnsi"/>
                <w:b/>
                <w:bCs/>
              </w:rPr>
              <w:t>Components</w:t>
            </w:r>
          </w:p>
          <w:p w14:paraId="493D19B7" w14:textId="70831108" w:rsidR="00173459" w:rsidRDefault="00173459" w:rsidP="00E159FF">
            <w:pPr>
              <w:jc w:val="both"/>
              <w:rPr>
                <w:rFonts w:eastAsia="Calibri" w:cstheme="minorHAnsi"/>
              </w:rPr>
            </w:pPr>
            <w:r w:rsidRPr="00173459">
              <w:rPr>
                <w:rFonts w:eastAsia="Calibri" w:cstheme="minorHAnsi"/>
                <w:b/>
                <w:bCs/>
              </w:rPr>
              <w:t>Component 1: Conditional cash transfer program for secondary school enrolment and attendance (US$6.5 million)</w:t>
            </w:r>
          </w:p>
          <w:p w14:paraId="2A185B98" w14:textId="77777777" w:rsidR="00173459" w:rsidRDefault="00173459" w:rsidP="00615339">
            <w:pPr>
              <w:pStyle w:val="ListParagraph"/>
              <w:numPr>
                <w:ilvl w:val="0"/>
                <w:numId w:val="10"/>
              </w:numPr>
              <w:ind w:left="0" w:firstLine="0"/>
              <w:jc w:val="both"/>
              <w:rPr>
                <w:rFonts w:eastAsia="Calibri" w:cstheme="minorHAnsi"/>
              </w:rPr>
            </w:pPr>
            <w:r w:rsidRPr="00173459">
              <w:rPr>
                <w:rFonts w:eastAsia="Calibri" w:cstheme="minorHAnsi"/>
              </w:rPr>
              <w:t>This component was designed to incentivize secondary school completion through the provision of cash transfers. It financed: (a) the cash transfers itself, and (b) technical assistance (TA) required to establish the CCT system. The TA was provided to develop a registry of program beneficiaries and an MIS for tracking enrolment, compliance verification, and payments, in addition to administration and communication of the program.</w:t>
            </w:r>
          </w:p>
          <w:p w14:paraId="0D9B80D8" w14:textId="77777777" w:rsidR="00173459" w:rsidRDefault="00173459" w:rsidP="00E159FF">
            <w:pPr>
              <w:pStyle w:val="ListParagraph"/>
              <w:ind w:left="360"/>
              <w:jc w:val="both"/>
              <w:rPr>
                <w:rFonts w:eastAsia="Calibri" w:cstheme="minorHAnsi"/>
              </w:rPr>
            </w:pPr>
          </w:p>
          <w:p w14:paraId="27858466" w14:textId="2DC72AEB" w:rsidR="00173459" w:rsidRDefault="00173459" w:rsidP="00615339">
            <w:pPr>
              <w:pStyle w:val="ListParagraph"/>
              <w:numPr>
                <w:ilvl w:val="0"/>
                <w:numId w:val="10"/>
              </w:numPr>
              <w:ind w:left="0" w:firstLine="0"/>
              <w:jc w:val="both"/>
              <w:rPr>
                <w:rFonts w:eastAsia="Calibri" w:cstheme="minorHAnsi"/>
              </w:rPr>
            </w:pPr>
            <w:r w:rsidRPr="00173459">
              <w:rPr>
                <w:rFonts w:eastAsia="Calibri" w:cstheme="minorHAnsi"/>
              </w:rPr>
              <w:t>The cash transfer of TOP 360 (US$170) per school term (four terms in a year), or TOP 1,440 (US$680) per year, was planned to be provided to eligible households if their children fulfilled the condition of enrolment and at least 80 percent quarterly attendance</w:t>
            </w:r>
            <w:r w:rsidR="00D626A9">
              <w:rPr>
                <w:rFonts w:eastAsia="Calibri" w:cstheme="minorHAnsi"/>
              </w:rPr>
              <w:t>. D</w:t>
            </w:r>
            <w:r w:rsidR="00D626A9" w:rsidRPr="00173459">
              <w:rPr>
                <w:rFonts w:eastAsia="Calibri" w:cstheme="minorHAnsi"/>
              </w:rPr>
              <w:t xml:space="preserve">uring </w:t>
            </w:r>
            <w:r w:rsidRPr="00173459">
              <w:rPr>
                <w:rFonts w:eastAsia="Calibri" w:cstheme="minorHAnsi"/>
              </w:rPr>
              <w:t xml:space="preserve">implementation, </w:t>
            </w:r>
            <w:r w:rsidR="00D626A9">
              <w:rPr>
                <w:rFonts w:eastAsia="Calibri" w:cstheme="minorHAnsi"/>
              </w:rPr>
              <w:t xml:space="preserve">the government decided to deliver a </w:t>
            </w:r>
            <w:r w:rsidRPr="00173459">
              <w:rPr>
                <w:rFonts w:eastAsia="Calibri" w:cstheme="minorHAnsi"/>
              </w:rPr>
              <w:t xml:space="preserve">lower </w:t>
            </w:r>
            <w:r w:rsidR="00D626A9">
              <w:rPr>
                <w:rFonts w:eastAsia="Calibri" w:cstheme="minorHAnsi"/>
              </w:rPr>
              <w:t xml:space="preserve">amount, at </w:t>
            </w:r>
            <w:r w:rsidRPr="00173459">
              <w:rPr>
                <w:rFonts w:eastAsia="Calibri" w:cstheme="minorHAnsi"/>
              </w:rPr>
              <w:t>TOP 200 per s</w:t>
            </w:r>
            <w:r w:rsidR="00D626A9">
              <w:rPr>
                <w:rFonts w:eastAsia="Calibri" w:cstheme="minorHAnsi"/>
              </w:rPr>
              <w:t>c</w:t>
            </w:r>
            <w:r w:rsidRPr="00173459">
              <w:rPr>
                <w:rFonts w:eastAsia="Calibri" w:cstheme="minorHAnsi"/>
              </w:rPr>
              <w:t xml:space="preserve">hool term per student). The transfer was sufficient to cover school fees and basic inputs such as uniforms and textbooks </w:t>
            </w:r>
            <w:r w:rsidR="00D626A9">
              <w:rPr>
                <w:rFonts w:eastAsia="Calibri" w:cstheme="minorHAnsi"/>
              </w:rPr>
              <w:t xml:space="preserve">and </w:t>
            </w:r>
            <w:r w:rsidRPr="00173459">
              <w:rPr>
                <w:rFonts w:eastAsia="Calibri" w:cstheme="minorHAnsi"/>
              </w:rPr>
              <w:t>was made to the mother or female guardian of the child in the form of a direct deposit or mobile money. A bonus payment of TOP 180 (US$85) was planned to be provided to incentivize grade completion, however, the bonus payment was not operationalized.</w:t>
            </w:r>
            <w:r w:rsidR="00E515CA">
              <w:rPr>
                <w:rStyle w:val="FootnoteReference"/>
                <w:rFonts w:eastAsia="Calibri" w:cstheme="minorHAnsi"/>
              </w:rPr>
              <w:t xml:space="preserve"> </w:t>
            </w:r>
            <w:r w:rsidR="00E515CA">
              <w:rPr>
                <w:rStyle w:val="FootnoteReference"/>
                <w:rFonts w:eastAsia="Calibri" w:cstheme="minorHAnsi"/>
              </w:rPr>
              <w:footnoteReference w:id="6"/>
            </w:r>
            <w:r w:rsidRPr="00173459">
              <w:rPr>
                <w:rFonts w:eastAsia="Calibri" w:cstheme="minorHAnsi"/>
              </w:rPr>
              <w:t xml:space="preserve"> To assess the eligibility of households for this poverty-targeted CCT program, a Proxy Means Test (PMT) score was calculated using a household survey that was carried out by SPDD. The goal was for the program to benefit the poorest 10 percent of the households in Tonga by the end of SET.</w:t>
            </w:r>
          </w:p>
          <w:p w14:paraId="4835036A" w14:textId="77777777" w:rsidR="00173459" w:rsidRDefault="00173459" w:rsidP="00E159FF">
            <w:pPr>
              <w:pStyle w:val="ListParagraph"/>
              <w:jc w:val="both"/>
              <w:rPr>
                <w:rFonts w:eastAsia="Calibri" w:cstheme="minorHAnsi"/>
              </w:rPr>
            </w:pPr>
          </w:p>
          <w:p w14:paraId="43857DB1" w14:textId="111B6BF8" w:rsidR="00173459" w:rsidRPr="00173459" w:rsidRDefault="00173459" w:rsidP="00E159FF">
            <w:pPr>
              <w:jc w:val="both"/>
              <w:rPr>
                <w:rFonts w:eastAsia="Calibri" w:cstheme="minorHAnsi"/>
                <w:b/>
                <w:bCs/>
              </w:rPr>
            </w:pPr>
            <w:r w:rsidRPr="00173459">
              <w:rPr>
                <w:rFonts w:eastAsia="Calibri" w:cstheme="minorHAnsi"/>
                <w:b/>
                <w:bCs/>
              </w:rPr>
              <w:t>Component 2: Strengthening TVET provision (US$3.7 million)</w:t>
            </w:r>
          </w:p>
          <w:p w14:paraId="59DD2354" w14:textId="77777777" w:rsidR="00173459" w:rsidRPr="00173459" w:rsidRDefault="00173459" w:rsidP="00615339">
            <w:pPr>
              <w:pStyle w:val="ListParagraph"/>
              <w:numPr>
                <w:ilvl w:val="0"/>
                <w:numId w:val="10"/>
              </w:numPr>
              <w:ind w:left="0" w:firstLine="0"/>
              <w:jc w:val="both"/>
              <w:rPr>
                <w:rFonts w:eastAsia="Calibri" w:cstheme="minorHAnsi"/>
              </w:rPr>
            </w:pPr>
            <w:r w:rsidRPr="00173459">
              <w:rPr>
                <w:rFonts w:eastAsia="Calibri" w:cstheme="minorHAnsi"/>
              </w:rPr>
              <w:t xml:space="preserve">This component was designed to improve the quality of select formal TVET certificate courses through competitive grants to TVET institutions, as well as financially support disadvantaged students to complete a course. This was done through the following activities: </w:t>
            </w:r>
          </w:p>
          <w:p w14:paraId="13A142A2" w14:textId="7E8CB864" w:rsidR="00173459" w:rsidRPr="00173459" w:rsidRDefault="00173459" w:rsidP="00A15F63">
            <w:pPr>
              <w:pStyle w:val="ListParagraph"/>
              <w:numPr>
                <w:ilvl w:val="1"/>
                <w:numId w:val="10"/>
              </w:numPr>
              <w:jc w:val="both"/>
              <w:rPr>
                <w:rFonts w:eastAsia="Calibri" w:cstheme="minorHAnsi"/>
              </w:rPr>
            </w:pPr>
            <w:r w:rsidRPr="00173459">
              <w:rPr>
                <w:rFonts w:eastAsia="Calibri" w:cstheme="minorHAnsi"/>
              </w:rPr>
              <w:t xml:space="preserve">Quality Improvement Grants (QIG) provided financial support to selected TVET institutions to implement activities such as partnerships with overseas institutions, curriculum development, equipment purchases, consultants and training. </w:t>
            </w:r>
          </w:p>
          <w:p w14:paraId="2C8607A9" w14:textId="1059076F" w:rsidR="00173459" w:rsidRPr="00173459" w:rsidRDefault="00173459" w:rsidP="00A15F63">
            <w:pPr>
              <w:pStyle w:val="ListParagraph"/>
              <w:numPr>
                <w:ilvl w:val="1"/>
                <w:numId w:val="10"/>
              </w:numPr>
              <w:jc w:val="both"/>
              <w:rPr>
                <w:rFonts w:eastAsia="Calibri" w:cstheme="minorHAnsi"/>
              </w:rPr>
            </w:pPr>
            <w:r w:rsidRPr="00173459">
              <w:rPr>
                <w:rFonts w:eastAsia="Calibri" w:cstheme="minorHAnsi"/>
              </w:rPr>
              <w:t>Financial support was provided to eligible beneficiaries who enrolled in a course supported by a QIG. An amount of up to TOP 1,800 (US$900) per annum per beneficiary</w:t>
            </w:r>
            <w:r w:rsidR="00234A04">
              <w:rPr>
                <w:rStyle w:val="FootnoteReference"/>
                <w:rFonts w:eastAsia="Calibri" w:cstheme="minorHAnsi"/>
              </w:rPr>
              <w:footnoteReference w:id="7"/>
            </w:r>
            <w:r w:rsidRPr="00173459">
              <w:rPr>
                <w:rFonts w:eastAsia="Calibri" w:cstheme="minorHAnsi"/>
              </w:rPr>
              <w:t xml:space="preserve">  to cover the tuition fees was directly paid to the respective TVET institutions. In addition, beneficiaries from the Outer islands who relocated to Tongatapu for a TVET course received a direct transfer of TOP 6,000 (US$3,000) per annum to cover living expenses. Beneficiaries undertaking the International English Language Testing System (IELTS) examination – required for temporary migration abroad – also benefited from the language training and exam fees paid directly to training providers. These TVET Student Support Funds (TSSF) were targeted at the poor households identified in </w:t>
            </w:r>
            <w:r w:rsidR="008370B8">
              <w:rPr>
                <w:rFonts w:eastAsia="Calibri" w:cstheme="minorHAnsi"/>
              </w:rPr>
              <w:t>c</w:t>
            </w:r>
            <w:r w:rsidRPr="00173459">
              <w:rPr>
                <w:rFonts w:eastAsia="Calibri" w:cstheme="minorHAnsi"/>
              </w:rPr>
              <w:t xml:space="preserve">omponent 1, with incentives provided for enrolling more female students. </w:t>
            </w:r>
          </w:p>
          <w:p w14:paraId="4CB613D7" w14:textId="77777777" w:rsidR="00173459" w:rsidRDefault="00173459" w:rsidP="00A15F63">
            <w:pPr>
              <w:pStyle w:val="ListParagraph"/>
              <w:numPr>
                <w:ilvl w:val="1"/>
                <w:numId w:val="10"/>
              </w:numPr>
              <w:jc w:val="both"/>
              <w:rPr>
                <w:rFonts w:eastAsia="Calibri" w:cstheme="minorHAnsi"/>
              </w:rPr>
            </w:pPr>
            <w:r w:rsidRPr="00173459">
              <w:rPr>
                <w:rFonts w:eastAsia="Calibri" w:cstheme="minorHAnsi"/>
              </w:rPr>
              <w:t>Lastly, a focus on improving overall TVET governance included developing an E-MIS.</w:t>
            </w:r>
          </w:p>
          <w:p w14:paraId="6F869055" w14:textId="77777777" w:rsidR="00173459" w:rsidRDefault="00173459" w:rsidP="00E159FF">
            <w:pPr>
              <w:jc w:val="both"/>
              <w:rPr>
                <w:rFonts w:eastAsia="Calibri" w:cstheme="minorHAnsi"/>
              </w:rPr>
            </w:pPr>
          </w:p>
          <w:p w14:paraId="3174D1A7" w14:textId="77777777" w:rsidR="00173459" w:rsidRDefault="00173459" w:rsidP="00E159FF">
            <w:pPr>
              <w:jc w:val="both"/>
              <w:rPr>
                <w:rFonts w:eastAsia="Calibri" w:cstheme="minorHAnsi"/>
                <w:b/>
                <w:bCs/>
              </w:rPr>
            </w:pPr>
            <w:r w:rsidRPr="00173459">
              <w:rPr>
                <w:rFonts w:eastAsia="Calibri" w:cstheme="minorHAnsi"/>
                <w:b/>
                <w:bCs/>
              </w:rPr>
              <w:lastRenderedPageBreak/>
              <w:t>Component 3: Enhancing opportunities for labor migration (US$1.8 million)</w:t>
            </w:r>
          </w:p>
          <w:p w14:paraId="241DC6C1" w14:textId="77777777" w:rsidR="00173459" w:rsidRDefault="00173459" w:rsidP="00615339">
            <w:pPr>
              <w:pStyle w:val="ListParagraph"/>
              <w:numPr>
                <w:ilvl w:val="0"/>
                <w:numId w:val="10"/>
              </w:numPr>
              <w:ind w:left="0" w:firstLine="0"/>
              <w:jc w:val="both"/>
              <w:rPr>
                <w:rFonts w:eastAsia="Calibri" w:cstheme="minorHAnsi"/>
              </w:rPr>
            </w:pPr>
            <w:r w:rsidRPr="00173459">
              <w:rPr>
                <w:rFonts w:eastAsia="Calibri" w:cstheme="minorHAnsi"/>
              </w:rPr>
              <w:t>This component financed improvement in quality of pre-departure training provided to migrant workers by the Overseas Employment Division (OED) within the Ministry of Internal Affairs (MIA). Specifically, the component included: (a) Hiring of two additional Employment Training and Support Officers within MIA to conduct a 2-day workshop to cover pre-departure topics such as employer expectations abroad, pay rates, basic financial literacy, remittance services, cultural adjustments, etc.; (b) Provision of information on work opportunities through seasonal schemes and longer-term/higher skilled migration pathways; (c) Assistance to streamline selection procedures that target low‐skilled work opportunities to disadvantaged households and women and semiskilled/skilled work opportunities to graduates of local TVET programs.</w:t>
            </w:r>
          </w:p>
          <w:p w14:paraId="2920035B" w14:textId="77777777" w:rsidR="00234A04" w:rsidRDefault="00234A04" w:rsidP="00E159FF">
            <w:pPr>
              <w:jc w:val="both"/>
              <w:rPr>
                <w:rFonts w:eastAsia="Calibri" w:cstheme="minorHAnsi"/>
              </w:rPr>
            </w:pPr>
          </w:p>
          <w:p w14:paraId="72D1557B" w14:textId="77777777" w:rsidR="00234A04" w:rsidRPr="00234A04" w:rsidRDefault="00234A04" w:rsidP="00E159FF">
            <w:pPr>
              <w:jc w:val="both"/>
              <w:rPr>
                <w:rFonts w:eastAsia="Calibri" w:cstheme="minorHAnsi"/>
                <w:b/>
                <w:bCs/>
              </w:rPr>
            </w:pPr>
            <w:r w:rsidRPr="00234A04">
              <w:rPr>
                <w:rFonts w:eastAsia="Calibri" w:cstheme="minorHAnsi"/>
                <w:b/>
                <w:bCs/>
              </w:rPr>
              <w:t>Component 4: Project management, monitoring and evaluation, and centralized support (US$8.9 million)</w:t>
            </w:r>
          </w:p>
          <w:p w14:paraId="644C9F5E" w14:textId="77777777" w:rsidR="00234A04" w:rsidRDefault="00234A04" w:rsidP="00615339">
            <w:pPr>
              <w:pStyle w:val="ListParagraph"/>
              <w:numPr>
                <w:ilvl w:val="0"/>
                <w:numId w:val="10"/>
              </w:numPr>
              <w:ind w:left="0" w:firstLine="0"/>
              <w:jc w:val="both"/>
              <w:rPr>
                <w:rFonts w:eastAsia="Calibri" w:cstheme="minorHAnsi"/>
              </w:rPr>
            </w:pPr>
            <w:r w:rsidRPr="00234A04">
              <w:rPr>
                <w:rFonts w:eastAsia="Calibri" w:cstheme="minorHAnsi"/>
              </w:rPr>
              <w:t>This component established the Project Management Unit (PMU), housed within the MIA to support implementation as well as Monitoring and Evaluation (M&amp;E) of Project activities.</w:t>
            </w:r>
          </w:p>
          <w:p w14:paraId="355CA0FB" w14:textId="77777777" w:rsidR="00234A04" w:rsidRDefault="00234A04" w:rsidP="00E159FF">
            <w:pPr>
              <w:pStyle w:val="ListParagraph"/>
              <w:ind w:left="360"/>
              <w:jc w:val="both"/>
              <w:rPr>
                <w:rFonts w:eastAsia="Calibri" w:cstheme="minorHAnsi"/>
              </w:rPr>
            </w:pPr>
          </w:p>
          <w:p w14:paraId="2B3621FF" w14:textId="02212C13" w:rsidR="00234A04" w:rsidRPr="00234A04" w:rsidRDefault="00234A04" w:rsidP="00615339">
            <w:pPr>
              <w:pStyle w:val="ListParagraph"/>
              <w:numPr>
                <w:ilvl w:val="0"/>
                <w:numId w:val="10"/>
              </w:numPr>
              <w:ind w:left="0" w:firstLine="0"/>
              <w:jc w:val="both"/>
              <w:rPr>
                <w:rFonts w:eastAsia="Calibri" w:cstheme="minorHAnsi"/>
              </w:rPr>
            </w:pPr>
            <w:r w:rsidRPr="00234A04">
              <w:rPr>
                <w:rFonts w:eastAsia="Calibri" w:cstheme="minorHAnsi"/>
              </w:rPr>
              <w:t>Additionally, this component also financed the establishment of a Central Services Unit (CSU). The role of the CSU was to support all World Bank-financed projects in Tonga; not only SET. SET, being the first project delivered in the portfolio under IDA18, hosted the CSU to allow remaining pipeline projects to benefit from CSU’s support.  As noted in the PAD, “the key objectives of the CSU are to reduce duplication of international consultants in common function area and to ensure capacity building for national staff and consultants.” Aligned with its objectives, the CSU would appoint highly skilled consultants with a mandate to provide services related to project preparation and implementation to all PMUs in the portfolio, whereas projects would hire only national consultants. Such an arrangement would reduce the duplication of hiring international consultants for the PMUs. The CSU consultants would provide both implementation and advisory services in the common fiduciary functions such as procurement, financial management (FM), safeguards, M&amp;E, and contract management. The CSU would play a significant role in capacity building of national staffs and consultants in the different ministries/agencies involved in World Bank projects in Tonga.</w:t>
            </w:r>
          </w:p>
        </w:tc>
      </w:tr>
    </w:tbl>
    <w:p w14:paraId="1361D014" w14:textId="77777777" w:rsidR="00CA25DD" w:rsidRDefault="00CA25DD" w:rsidP="00447EA0"/>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618011E3" w14:textId="77777777" w:rsidTr="00993CEF">
        <w:trPr>
          <w:trHeight w:val="403"/>
        </w:trPr>
        <w:tc>
          <w:tcPr>
            <w:tcW w:w="10980" w:type="dxa"/>
            <w:shd w:val="clear" w:color="auto" w:fill="auto"/>
            <w:vAlign w:val="center"/>
          </w:tcPr>
          <w:p w14:paraId="2A783B1A" w14:textId="77777777" w:rsidR="00FC529D" w:rsidRPr="00234A04" w:rsidRDefault="00D310E2" w:rsidP="00A15F63">
            <w:pPr>
              <w:pStyle w:val="ListParagraph"/>
              <w:numPr>
                <w:ilvl w:val="0"/>
                <w:numId w:val="3"/>
              </w:numPr>
              <w:spacing w:line="259" w:lineRule="auto"/>
              <w:jc w:val="both"/>
              <w:rPr>
                <w:rFonts w:ascii="Calibri" w:eastAsia="Calibri" w:hAnsi="Calibri" w:cs="Times New Roman"/>
                <w:b/>
                <w:bCs/>
              </w:rPr>
            </w:pPr>
            <w:r w:rsidRPr="00234A04">
              <w:rPr>
                <w:rFonts w:ascii="Calibri" w:eastAsia="Calibri" w:hAnsi="Calibri" w:cs="Times New Roman"/>
                <w:b/>
                <w:bCs/>
              </w:rPr>
              <w:t>SIGNIFICANT CHANGES DURING IMPLEMENTATION (IF APPLICABLE)</w:t>
            </w:r>
          </w:p>
        </w:tc>
      </w:tr>
    </w:tbl>
    <w:p w14:paraId="093B0936" w14:textId="77777777" w:rsidR="00FC529D" w:rsidRDefault="00FC529D" w:rsidP="00E159FF">
      <w:pPr>
        <w:jc w:val="both"/>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90"/>
      </w:tblGrid>
      <w:tr w:rsidR="00DD6229" w14:paraId="12076E2E" w14:textId="77777777" w:rsidTr="0035024F">
        <w:trPr>
          <w:trHeight w:val="872"/>
        </w:trPr>
        <w:tc>
          <w:tcPr>
            <w:tcW w:w="10890" w:type="dxa"/>
          </w:tcPr>
          <w:p w14:paraId="025D0BC4" w14:textId="13D0EDFA" w:rsidR="00234A04" w:rsidRDefault="00234A04" w:rsidP="00615339">
            <w:pPr>
              <w:pStyle w:val="ListParagraph"/>
              <w:numPr>
                <w:ilvl w:val="0"/>
                <w:numId w:val="10"/>
              </w:numPr>
              <w:ind w:left="0" w:firstLine="0"/>
              <w:jc w:val="both"/>
            </w:pPr>
            <w:bookmarkStart w:id="8" w:name="_Hlk77753694"/>
            <w:r w:rsidRPr="00234A04">
              <w:t>The Project was adjusted two times: (a) the first project restructuring in December 2022; and (b) a second project restructuring in April 2024.</w:t>
            </w:r>
          </w:p>
          <w:p w14:paraId="3F909362" w14:textId="77777777" w:rsidR="00234A04" w:rsidRDefault="00234A04" w:rsidP="00E159FF">
            <w:pPr>
              <w:jc w:val="both"/>
            </w:pPr>
          </w:p>
          <w:p w14:paraId="38DD04A1" w14:textId="66E6CE98" w:rsidR="00AC5F23" w:rsidRPr="00234A04" w:rsidRDefault="00D310E2" w:rsidP="00E159FF">
            <w:pPr>
              <w:jc w:val="both"/>
              <w:rPr>
                <w:b/>
                <w:bCs/>
              </w:rPr>
            </w:pPr>
            <w:r w:rsidRPr="00234A04">
              <w:rPr>
                <w:b/>
                <w:bCs/>
              </w:rPr>
              <w:t>Revised PDOs and Outcome Targets</w:t>
            </w:r>
            <w:bookmarkEnd w:id="8"/>
          </w:p>
        </w:tc>
      </w:tr>
      <w:tr w:rsidR="00DD6229" w14:paraId="123D5D0C" w14:textId="77777777" w:rsidTr="0035024F">
        <w:trPr>
          <w:trHeight w:val="872"/>
        </w:trPr>
        <w:tc>
          <w:tcPr>
            <w:tcW w:w="10890" w:type="dxa"/>
          </w:tcPr>
          <w:p w14:paraId="59517552" w14:textId="5143DC11" w:rsidR="00234A04" w:rsidRDefault="00234A04" w:rsidP="00615339">
            <w:pPr>
              <w:pStyle w:val="ListParagraph"/>
              <w:numPr>
                <w:ilvl w:val="0"/>
                <w:numId w:val="10"/>
              </w:numPr>
              <w:ind w:left="0" w:firstLine="0"/>
              <w:jc w:val="both"/>
            </w:pPr>
            <w:r w:rsidRPr="00234A04">
              <w:t>The PDO was not revised during the entire life of the project. However, the PDOIs were revised, and component activities were modified, without reducing the ambition of the project.</w:t>
            </w:r>
          </w:p>
          <w:p w14:paraId="0ECD1514" w14:textId="77777777" w:rsidR="00234A04" w:rsidRDefault="00234A04" w:rsidP="00E159FF">
            <w:pPr>
              <w:jc w:val="both"/>
            </w:pPr>
          </w:p>
          <w:p w14:paraId="45E484F6" w14:textId="77777777" w:rsidR="00AC5F23" w:rsidRPr="00234A04" w:rsidRDefault="00D310E2" w:rsidP="00E159FF">
            <w:pPr>
              <w:jc w:val="both"/>
              <w:rPr>
                <w:b/>
                <w:bCs/>
              </w:rPr>
            </w:pPr>
            <w:r w:rsidRPr="00234A04">
              <w:rPr>
                <w:b/>
                <w:bCs/>
              </w:rPr>
              <w:t>Revised PDO Indicators</w:t>
            </w:r>
          </w:p>
          <w:p w14:paraId="421A9E72" w14:textId="635A7E64" w:rsidR="00234A04" w:rsidRDefault="00234A04" w:rsidP="00615339">
            <w:pPr>
              <w:pStyle w:val="ListParagraph"/>
              <w:numPr>
                <w:ilvl w:val="0"/>
                <w:numId w:val="10"/>
              </w:numPr>
              <w:ind w:left="0" w:firstLine="0"/>
              <w:jc w:val="both"/>
            </w:pPr>
            <w:r w:rsidRPr="00234A04">
              <w:t xml:space="preserve">At the time of the first restructuring in 2022: (a) 4 PDOIs were dropped, (b) 6 new PDOIs were </w:t>
            </w:r>
            <w:r w:rsidR="00245FDB" w:rsidRPr="00234A04">
              <w:t>added.</w:t>
            </w:r>
            <w:r w:rsidRPr="00234A04">
              <w:t xml:space="preserve"> At the intermediate level, 3 IRIs were modified and 1 IRI was added (Table </w:t>
            </w:r>
            <w:r>
              <w:t>2</w:t>
            </w:r>
            <w:r w:rsidRPr="00234A04">
              <w:t>).</w:t>
            </w:r>
            <w:r w:rsidR="00C774A0">
              <w:t xml:space="preserve"> </w:t>
            </w:r>
          </w:p>
        </w:tc>
      </w:tr>
      <w:tr w:rsidR="00DD6229" w14:paraId="1D077E8A" w14:textId="77777777" w:rsidTr="0035024F">
        <w:trPr>
          <w:trHeight w:val="872"/>
        </w:trPr>
        <w:tc>
          <w:tcPr>
            <w:tcW w:w="10890" w:type="dxa"/>
          </w:tcPr>
          <w:p w14:paraId="1215EDAD" w14:textId="77777777" w:rsidR="00234A04" w:rsidRDefault="00234A04" w:rsidP="00993CEF"/>
          <w:p w14:paraId="77C6706B" w14:textId="665626A8" w:rsidR="00234A04" w:rsidRPr="00234A04" w:rsidRDefault="00234A04" w:rsidP="00993CEF">
            <w:pPr>
              <w:rPr>
                <w:b/>
                <w:bCs/>
              </w:rPr>
            </w:pPr>
            <w:r w:rsidRPr="00234A04">
              <w:rPr>
                <w:b/>
                <w:bCs/>
              </w:rPr>
              <w:t>Table 2: Adjustments to PDO Indicators and targets over implementation</w:t>
            </w:r>
          </w:p>
          <w:tbl>
            <w:tblPr>
              <w:tblW w:w="10054" w:type="dxa"/>
              <w:tblLayout w:type="fixed"/>
              <w:tblLook w:val="04A0" w:firstRow="1" w:lastRow="0" w:firstColumn="1" w:lastColumn="0" w:noHBand="0" w:noVBand="1"/>
            </w:tblPr>
            <w:tblGrid>
              <w:gridCol w:w="3909"/>
              <w:gridCol w:w="1049"/>
              <w:gridCol w:w="1083"/>
              <w:gridCol w:w="1228"/>
              <w:gridCol w:w="1228"/>
              <w:gridCol w:w="1557"/>
            </w:tblGrid>
            <w:tr w:rsidR="00234A04" w:rsidRPr="007B04D9" w14:paraId="58A3151E" w14:textId="77777777" w:rsidTr="00615339">
              <w:trPr>
                <w:trHeight w:val="294"/>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D634C" w14:textId="77777777" w:rsidR="00234A04" w:rsidRPr="007B04D9" w:rsidRDefault="00234A04" w:rsidP="00234A04">
                  <w:pPr>
                    <w:spacing w:line="240" w:lineRule="auto"/>
                    <w:jc w:val="center"/>
                    <w:rPr>
                      <w:rFonts w:eastAsia="Times New Roman" w:cstheme="minorHAnsi"/>
                      <w:b/>
                      <w:bCs/>
                      <w:sz w:val="18"/>
                      <w:szCs w:val="18"/>
                    </w:rPr>
                  </w:pPr>
                  <w:r w:rsidRPr="007B04D9">
                    <w:rPr>
                      <w:rFonts w:eastAsia="Times New Roman" w:cstheme="minorHAnsi"/>
                      <w:b/>
                      <w:bCs/>
                      <w:sz w:val="18"/>
                      <w:szCs w:val="18"/>
                    </w:rPr>
                    <w:t>Indicator</w:t>
                  </w:r>
                  <w:r w:rsidRPr="007B04D9">
                    <w:rPr>
                      <w:rFonts w:eastAsia="Times New Roman" w:cstheme="minorHAnsi"/>
                      <w:sz w:val="18"/>
                      <w:szCs w:val="18"/>
                    </w:rPr>
                    <w:t> </w:t>
                  </w:r>
                </w:p>
              </w:tc>
              <w:tc>
                <w:tcPr>
                  <w:tcW w:w="1049" w:type="dxa"/>
                  <w:tcBorders>
                    <w:top w:val="single" w:sz="4" w:space="0" w:color="auto"/>
                    <w:left w:val="nil"/>
                    <w:bottom w:val="single" w:sz="4" w:space="0" w:color="auto"/>
                    <w:right w:val="single" w:sz="4" w:space="0" w:color="auto"/>
                  </w:tcBorders>
                  <w:shd w:val="clear" w:color="auto" w:fill="auto"/>
                  <w:vAlign w:val="center"/>
                  <w:hideMark/>
                </w:tcPr>
                <w:p w14:paraId="3E1724B7" w14:textId="77777777" w:rsidR="00234A04" w:rsidRPr="007B04D9" w:rsidRDefault="00234A04" w:rsidP="00234A04">
                  <w:pPr>
                    <w:spacing w:line="240" w:lineRule="auto"/>
                    <w:jc w:val="center"/>
                    <w:rPr>
                      <w:rFonts w:eastAsia="Times New Roman" w:cstheme="minorHAnsi"/>
                      <w:b/>
                      <w:bCs/>
                      <w:sz w:val="18"/>
                      <w:szCs w:val="18"/>
                    </w:rPr>
                  </w:pPr>
                  <w:r w:rsidRPr="007B04D9">
                    <w:rPr>
                      <w:rFonts w:eastAsia="Times New Roman" w:cstheme="minorHAnsi"/>
                      <w:b/>
                      <w:bCs/>
                      <w:sz w:val="18"/>
                      <w:szCs w:val="18"/>
                    </w:rPr>
                    <w:t>Baseline</w:t>
                  </w:r>
                  <w:r w:rsidRPr="007B04D9">
                    <w:rPr>
                      <w:rFonts w:eastAsia="Times New Roman" w:cstheme="minorHAnsi"/>
                      <w:sz w:val="18"/>
                      <w:szCs w:val="18"/>
                    </w:rPr>
                    <w:t> </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18E84C9C" w14:textId="77777777" w:rsidR="00234A04" w:rsidRPr="007B04D9" w:rsidRDefault="00234A04" w:rsidP="00234A04">
                  <w:pPr>
                    <w:spacing w:line="240" w:lineRule="auto"/>
                    <w:jc w:val="center"/>
                    <w:rPr>
                      <w:rFonts w:eastAsia="Times New Roman" w:cstheme="minorHAnsi"/>
                      <w:b/>
                      <w:bCs/>
                      <w:sz w:val="18"/>
                      <w:szCs w:val="18"/>
                    </w:rPr>
                  </w:pPr>
                  <w:r w:rsidRPr="007B04D9">
                    <w:rPr>
                      <w:rFonts w:eastAsia="Times New Roman" w:cstheme="minorHAnsi"/>
                      <w:b/>
                      <w:bCs/>
                      <w:sz w:val="18"/>
                      <w:szCs w:val="18"/>
                    </w:rPr>
                    <w:t>Appraisal Target</w:t>
                  </w:r>
                  <w:r w:rsidRPr="007B04D9">
                    <w:rPr>
                      <w:rFonts w:eastAsia="Times New Roman" w:cstheme="minorHAnsi"/>
                      <w:sz w:val="18"/>
                      <w:szCs w:val="18"/>
                    </w:rPr>
                    <w:t> </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14:paraId="22CFC521" w14:textId="77777777" w:rsidR="00234A04" w:rsidRPr="007B04D9" w:rsidRDefault="00234A04" w:rsidP="00234A04">
                  <w:pPr>
                    <w:spacing w:line="240" w:lineRule="auto"/>
                    <w:jc w:val="center"/>
                    <w:rPr>
                      <w:rFonts w:eastAsia="Times New Roman" w:cstheme="minorHAnsi"/>
                      <w:b/>
                      <w:bCs/>
                      <w:sz w:val="18"/>
                      <w:szCs w:val="18"/>
                    </w:rPr>
                  </w:pPr>
                  <w:r w:rsidRPr="007B04D9">
                    <w:rPr>
                      <w:rFonts w:eastAsia="Times New Roman" w:cstheme="minorHAnsi"/>
                      <w:b/>
                      <w:bCs/>
                      <w:sz w:val="18"/>
                      <w:szCs w:val="18"/>
                    </w:rPr>
                    <w:t>1</w:t>
                  </w:r>
                  <w:r w:rsidRPr="007B04D9">
                    <w:rPr>
                      <w:rFonts w:eastAsia="Times New Roman" w:cstheme="minorHAnsi"/>
                      <w:b/>
                      <w:bCs/>
                      <w:sz w:val="18"/>
                      <w:szCs w:val="18"/>
                      <w:vertAlign w:val="superscript"/>
                    </w:rPr>
                    <w:t>st</w:t>
                  </w:r>
                  <w:r w:rsidRPr="007B04D9">
                    <w:rPr>
                      <w:rFonts w:eastAsia="Times New Roman" w:cstheme="minorHAnsi"/>
                      <w:b/>
                      <w:bCs/>
                      <w:sz w:val="18"/>
                      <w:szCs w:val="18"/>
                    </w:rPr>
                    <w:t xml:space="preserve"> Restructuring Target</w:t>
                  </w:r>
                  <w:r w:rsidRPr="007B04D9">
                    <w:rPr>
                      <w:rFonts w:eastAsia="Times New Roman" w:cstheme="minorHAnsi"/>
                      <w:sz w:val="18"/>
                      <w:szCs w:val="18"/>
                    </w:rPr>
                    <w:t> </w:t>
                  </w:r>
                </w:p>
              </w:tc>
              <w:tc>
                <w:tcPr>
                  <w:tcW w:w="1228" w:type="dxa"/>
                  <w:tcBorders>
                    <w:top w:val="single" w:sz="4" w:space="0" w:color="auto"/>
                    <w:left w:val="nil"/>
                    <w:bottom w:val="single" w:sz="4" w:space="0" w:color="auto"/>
                    <w:right w:val="single" w:sz="4" w:space="0" w:color="auto"/>
                  </w:tcBorders>
                  <w:shd w:val="clear" w:color="auto" w:fill="auto"/>
                  <w:vAlign w:val="center"/>
                  <w:hideMark/>
                </w:tcPr>
                <w:p w14:paraId="17CA4F45" w14:textId="77777777" w:rsidR="00234A04" w:rsidRPr="007B04D9" w:rsidRDefault="00234A04" w:rsidP="00234A04">
                  <w:pPr>
                    <w:spacing w:line="240" w:lineRule="auto"/>
                    <w:jc w:val="center"/>
                    <w:rPr>
                      <w:rFonts w:eastAsia="Times New Roman" w:cstheme="minorHAnsi"/>
                      <w:b/>
                      <w:bCs/>
                      <w:sz w:val="18"/>
                      <w:szCs w:val="18"/>
                    </w:rPr>
                  </w:pPr>
                  <w:r w:rsidRPr="007B04D9">
                    <w:rPr>
                      <w:rFonts w:eastAsia="Times New Roman" w:cstheme="minorHAnsi"/>
                      <w:b/>
                      <w:bCs/>
                      <w:sz w:val="18"/>
                      <w:szCs w:val="18"/>
                    </w:rPr>
                    <w:t>2</w:t>
                  </w:r>
                  <w:r w:rsidRPr="007B04D9">
                    <w:rPr>
                      <w:rFonts w:eastAsia="Times New Roman" w:cstheme="minorHAnsi"/>
                      <w:b/>
                      <w:bCs/>
                      <w:sz w:val="18"/>
                      <w:szCs w:val="18"/>
                      <w:vertAlign w:val="superscript"/>
                    </w:rPr>
                    <w:t>nd</w:t>
                  </w:r>
                  <w:r w:rsidRPr="007B04D9">
                    <w:rPr>
                      <w:rFonts w:eastAsia="Times New Roman" w:cstheme="minorHAnsi"/>
                      <w:b/>
                      <w:bCs/>
                      <w:sz w:val="18"/>
                      <w:szCs w:val="18"/>
                    </w:rPr>
                    <w:t xml:space="preserve"> Restructuring Target</w:t>
                  </w:r>
                  <w:r w:rsidRPr="007B04D9">
                    <w:rPr>
                      <w:rFonts w:eastAsia="Times New Roman" w:cstheme="minorHAnsi"/>
                      <w:sz w:val="18"/>
                      <w:szCs w:val="18"/>
                    </w:rPr>
                    <w:t> </w:t>
                  </w:r>
                </w:p>
              </w:tc>
              <w:tc>
                <w:tcPr>
                  <w:tcW w:w="1557" w:type="dxa"/>
                  <w:tcBorders>
                    <w:top w:val="single" w:sz="4" w:space="0" w:color="auto"/>
                    <w:left w:val="nil"/>
                    <w:bottom w:val="single" w:sz="4" w:space="0" w:color="auto"/>
                    <w:right w:val="single" w:sz="4" w:space="0" w:color="auto"/>
                  </w:tcBorders>
                  <w:shd w:val="clear" w:color="auto" w:fill="auto"/>
                  <w:vAlign w:val="center"/>
                  <w:hideMark/>
                </w:tcPr>
                <w:p w14:paraId="474FBA18" w14:textId="77777777" w:rsidR="00234A04" w:rsidRPr="007B04D9" w:rsidRDefault="00234A04" w:rsidP="00234A04">
                  <w:pPr>
                    <w:spacing w:line="240" w:lineRule="auto"/>
                    <w:jc w:val="center"/>
                    <w:rPr>
                      <w:rFonts w:eastAsia="Times New Roman" w:cstheme="minorHAnsi"/>
                      <w:b/>
                      <w:bCs/>
                      <w:sz w:val="18"/>
                      <w:szCs w:val="18"/>
                    </w:rPr>
                  </w:pPr>
                  <w:r>
                    <w:rPr>
                      <w:rFonts w:eastAsia="Times New Roman" w:cstheme="minorHAnsi"/>
                      <w:b/>
                      <w:bCs/>
                      <w:sz w:val="18"/>
                      <w:szCs w:val="18"/>
                    </w:rPr>
                    <w:t>Justification</w:t>
                  </w:r>
                  <w:r w:rsidRPr="007B04D9">
                    <w:rPr>
                      <w:rFonts w:eastAsia="Times New Roman" w:cstheme="minorHAnsi"/>
                      <w:sz w:val="18"/>
                      <w:szCs w:val="18"/>
                    </w:rPr>
                    <w:t> </w:t>
                  </w:r>
                </w:p>
              </w:tc>
            </w:tr>
            <w:tr w:rsidR="00234A04" w:rsidRPr="007B04D9" w14:paraId="2CAB1DFD" w14:textId="77777777" w:rsidTr="00615339">
              <w:trPr>
                <w:trHeight w:val="294"/>
              </w:trPr>
              <w:tc>
                <w:tcPr>
                  <w:tcW w:w="1005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36DF70B" w14:textId="77777777" w:rsidR="00234A04" w:rsidRPr="007B04D9" w:rsidRDefault="00234A04" w:rsidP="00234A04">
                  <w:pPr>
                    <w:spacing w:line="240" w:lineRule="auto"/>
                    <w:jc w:val="center"/>
                    <w:rPr>
                      <w:rFonts w:eastAsia="Times New Roman" w:cstheme="minorHAnsi"/>
                      <w:b/>
                      <w:bCs/>
                      <w:sz w:val="18"/>
                      <w:szCs w:val="18"/>
                    </w:rPr>
                  </w:pPr>
                  <w:r w:rsidRPr="007B04D9">
                    <w:rPr>
                      <w:rFonts w:eastAsia="Times New Roman" w:cstheme="minorHAnsi"/>
                      <w:b/>
                      <w:bCs/>
                      <w:sz w:val="18"/>
                      <w:szCs w:val="18"/>
                    </w:rPr>
                    <w:t>PDO INDICATORS</w:t>
                  </w:r>
                  <w:r w:rsidRPr="007B04D9">
                    <w:rPr>
                      <w:rFonts w:eastAsia="Times New Roman" w:cstheme="minorHAnsi"/>
                      <w:sz w:val="18"/>
                      <w:szCs w:val="18"/>
                    </w:rPr>
                    <w:t> </w:t>
                  </w:r>
                </w:p>
              </w:tc>
            </w:tr>
            <w:tr w:rsidR="00234A04" w:rsidRPr="007B04D9" w14:paraId="0E7A7CFF" w14:textId="77777777" w:rsidTr="00615339">
              <w:trPr>
                <w:trHeight w:val="294"/>
              </w:trPr>
              <w:tc>
                <w:tcPr>
                  <w:tcW w:w="10054"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A4734" w14:textId="77777777" w:rsidR="00234A04" w:rsidRPr="007B04D9" w:rsidRDefault="00234A04" w:rsidP="00234A04">
                  <w:pPr>
                    <w:spacing w:line="240" w:lineRule="auto"/>
                    <w:rPr>
                      <w:rFonts w:eastAsia="Times New Roman" w:cstheme="minorHAnsi"/>
                      <w:b/>
                      <w:bCs/>
                      <w:i/>
                      <w:iCs/>
                      <w:color w:val="000000"/>
                      <w:sz w:val="18"/>
                      <w:szCs w:val="18"/>
                    </w:rPr>
                  </w:pPr>
                  <w:r w:rsidRPr="007B04D9">
                    <w:rPr>
                      <w:rFonts w:eastAsia="Times New Roman" w:cstheme="minorHAnsi"/>
                      <w:b/>
                      <w:bCs/>
                      <w:i/>
                      <w:iCs/>
                      <w:color w:val="000000"/>
                      <w:sz w:val="18"/>
                      <w:szCs w:val="18"/>
                    </w:rPr>
                    <w:t>PDO 1: Improve opportunities for secondary school progression</w:t>
                  </w:r>
                </w:p>
              </w:tc>
            </w:tr>
            <w:tr w:rsidR="00234A04" w:rsidRPr="007B04D9" w14:paraId="08CC9C23"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9F3B8"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lastRenderedPageBreak/>
                    <w:t>Average duration of secondary school completed amongst the poorest decile – overall (number of months)</w:t>
                  </w:r>
                </w:p>
              </w:tc>
              <w:tc>
                <w:tcPr>
                  <w:tcW w:w="1049" w:type="dxa"/>
                  <w:tcBorders>
                    <w:top w:val="nil"/>
                    <w:left w:val="nil"/>
                    <w:bottom w:val="single" w:sz="4" w:space="0" w:color="auto"/>
                    <w:right w:val="single" w:sz="4" w:space="0" w:color="auto"/>
                  </w:tcBorders>
                  <w:shd w:val="clear" w:color="auto" w:fill="auto"/>
                  <w:vAlign w:val="center"/>
                  <w:hideMark/>
                </w:tcPr>
                <w:p w14:paraId="5AA78C58"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Not established</w:t>
                  </w:r>
                </w:p>
              </w:tc>
              <w:tc>
                <w:tcPr>
                  <w:tcW w:w="1083" w:type="dxa"/>
                  <w:tcBorders>
                    <w:top w:val="nil"/>
                    <w:left w:val="nil"/>
                    <w:bottom w:val="single" w:sz="4" w:space="0" w:color="auto"/>
                    <w:right w:val="single" w:sz="4" w:space="0" w:color="auto"/>
                  </w:tcBorders>
                  <w:shd w:val="clear" w:color="auto" w:fill="auto"/>
                  <w:vAlign w:val="center"/>
                  <w:hideMark/>
                </w:tcPr>
                <w:p w14:paraId="68BFF624"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Baseline + 12 months</w:t>
                  </w:r>
                </w:p>
              </w:tc>
              <w:tc>
                <w:tcPr>
                  <w:tcW w:w="1228" w:type="dxa"/>
                  <w:tcBorders>
                    <w:top w:val="nil"/>
                    <w:left w:val="nil"/>
                    <w:bottom w:val="single" w:sz="4" w:space="0" w:color="auto"/>
                    <w:right w:val="single" w:sz="4" w:space="0" w:color="auto"/>
                  </w:tcBorders>
                  <w:shd w:val="clear" w:color="auto" w:fill="auto"/>
                  <w:vAlign w:val="center"/>
                  <w:hideMark/>
                </w:tcPr>
                <w:p w14:paraId="2752ABAE" w14:textId="77777777" w:rsidR="00234A04" w:rsidRPr="007B04D9" w:rsidRDefault="00234A04" w:rsidP="00234A04">
                  <w:pPr>
                    <w:spacing w:line="240" w:lineRule="auto"/>
                    <w:jc w:val="center"/>
                    <w:rPr>
                      <w:rFonts w:eastAsia="Times New Roman" w:cstheme="minorHAnsi"/>
                      <w:sz w:val="18"/>
                      <w:szCs w:val="18"/>
                    </w:rPr>
                  </w:pPr>
                  <w:r>
                    <w:rPr>
                      <w:rFonts w:eastAsia="Times New Roman" w:cstheme="minorHAnsi"/>
                      <w:sz w:val="18"/>
                      <w:szCs w:val="18"/>
                    </w:rPr>
                    <w:t>Indicator dropped</w:t>
                  </w:r>
                </w:p>
              </w:tc>
              <w:tc>
                <w:tcPr>
                  <w:tcW w:w="1228" w:type="dxa"/>
                  <w:tcBorders>
                    <w:top w:val="nil"/>
                    <w:left w:val="nil"/>
                    <w:bottom w:val="single" w:sz="4" w:space="0" w:color="auto"/>
                    <w:right w:val="single" w:sz="4" w:space="0" w:color="auto"/>
                  </w:tcBorders>
                  <w:shd w:val="clear" w:color="000000" w:fill="D0CECE"/>
                  <w:vAlign w:val="center"/>
                  <w:hideMark/>
                </w:tcPr>
                <w:p w14:paraId="2990FB91"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557" w:type="dxa"/>
                  <w:vMerge w:val="restart"/>
                  <w:tcBorders>
                    <w:top w:val="nil"/>
                    <w:left w:val="nil"/>
                    <w:right w:val="single" w:sz="4" w:space="0" w:color="auto"/>
                  </w:tcBorders>
                  <w:shd w:val="clear" w:color="auto" w:fill="auto"/>
                  <w:vAlign w:val="center"/>
                  <w:hideMark/>
                </w:tcPr>
                <w:p w14:paraId="3A0FBCD9" w14:textId="49A715EF"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roofErr w:type="gramStart"/>
                  <w:r>
                    <w:rPr>
                      <w:rFonts w:eastAsia="Times New Roman" w:cstheme="minorHAnsi"/>
                      <w:color w:val="000000"/>
                      <w:sz w:val="18"/>
                      <w:szCs w:val="18"/>
                    </w:rPr>
                    <w:t>Indicator</w:t>
                  </w:r>
                  <w:proofErr w:type="gramEnd"/>
                  <w:r>
                    <w:rPr>
                      <w:rFonts w:eastAsia="Times New Roman" w:cstheme="minorHAnsi"/>
                      <w:color w:val="000000"/>
                      <w:sz w:val="18"/>
                      <w:szCs w:val="18"/>
                    </w:rPr>
                    <w:t xml:space="preserve"> did not capture </w:t>
                  </w:r>
                  <w:r w:rsidR="00245FDB">
                    <w:rPr>
                      <w:rFonts w:eastAsia="Times New Roman" w:cstheme="minorHAnsi"/>
                      <w:color w:val="000000"/>
                      <w:sz w:val="18"/>
                      <w:szCs w:val="18"/>
                    </w:rPr>
                    <w:t xml:space="preserve">the </w:t>
                  </w:r>
                  <w:r>
                    <w:rPr>
                      <w:rFonts w:eastAsia="Times New Roman" w:cstheme="minorHAnsi"/>
                      <w:color w:val="000000"/>
                      <w:sz w:val="18"/>
                      <w:szCs w:val="18"/>
                    </w:rPr>
                    <w:t>impact of the CCT program, nor was it properly defined to be measurable.</w:t>
                  </w:r>
                </w:p>
              </w:tc>
            </w:tr>
            <w:tr w:rsidR="00234A04" w:rsidRPr="007B04D9" w14:paraId="42229695"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EB33F"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Average duration of secondary school completed amongst the poorest decile – female (number of months)</w:t>
                  </w:r>
                </w:p>
              </w:tc>
              <w:tc>
                <w:tcPr>
                  <w:tcW w:w="1049" w:type="dxa"/>
                  <w:tcBorders>
                    <w:top w:val="nil"/>
                    <w:left w:val="nil"/>
                    <w:bottom w:val="single" w:sz="4" w:space="0" w:color="auto"/>
                    <w:right w:val="single" w:sz="4" w:space="0" w:color="auto"/>
                  </w:tcBorders>
                  <w:shd w:val="clear" w:color="auto" w:fill="auto"/>
                  <w:vAlign w:val="center"/>
                  <w:hideMark/>
                </w:tcPr>
                <w:p w14:paraId="797F4B21"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Not established</w:t>
                  </w:r>
                </w:p>
              </w:tc>
              <w:tc>
                <w:tcPr>
                  <w:tcW w:w="1083" w:type="dxa"/>
                  <w:tcBorders>
                    <w:top w:val="nil"/>
                    <w:left w:val="nil"/>
                    <w:bottom w:val="single" w:sz="4" w:space="0" w:color="auto"/>
                    <w:right w:val="single" w:sz="4" w:space="0" w:color="auto"/>
                  </w:tcBorders>
                  <w:shd w:val="clear" w:color="auto" w:fill="auto"/>
                  <w:vAlign w:val="center"/>
                  <w:hideMark/>
                </w:tcPr>
                <w:p w14:paraId="237229A0"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Baseline + 12 months</w:t>
                  </w:r>
                </w:p>
              </w:tc>
              <w:tc>
                <w:tcPr>
                  <w:tcW w:w="1228" w:type="dxa"/>
                  <w:tcBorders>
                    <w:top w:val="nil"/>
                    <w:left w:val="nil"/>
                    <w:bottom w:val="single" w:sz="4" w:space="0" w:color="auto"/>
                    <w:right w:val="single" w:sz="4" w:space="0" w:color="auto"/>
                  </w:tcBorders>
                  <w:shd w:val="clear" w:color="auto" w:fill="auto"/>
                  <w:vAlign w:val="center"/>
                  <w:hideMark/>
                </w:tcPr>
                <w:p w14:paraId="6DB3A3AF" w14:textId="77777777" w:rsidR="00234A04" w:rsidRPr="007B04D9" w:rsidRDefault="00234A04" w:rsidP="00234A04">
                  <w:pPr>
                    <w:spacing w:line="240" w:lineRule="auto"/>
                    <w:jc w:val="center"/>
                    <w:rPr>
                      <w:rFonts w:eastAsia="Times New Roman" w:cstheme="minorHAnsi"/>
                      <w:sz w:val="18"/>
                      <w:szCs w:val="18"/>
                    </w:rPr>
                  </w:pPr>
                  <w:r>
                    <w:rPr>
                      <w:rFonts w:eastAsia="Times New Roman" w:cstheme="minorHAnsi"/>
                      <w:sz w:val="18"/>
                      <w:szCs w:val="18"/>
                    </w:rPr>
                    <w:t>Indicator dropped</w:t>
                  </w:r>
                </w:p>
              </w:tc>
              <w:tc>
                <w:tcPr>
                  <w:tcW w:w="1228" w:type="dxa"/>
                  <w:tcBorders>
                    <w:top w:val="nil"/>
                    <w:left w:val="nil"/>
                    <w:bottom w:val="single" w:sz="4" w:space="0" w:color="auto"/>
                    <w:right w:val="single" w:sz="4" w:space="0" w:color="auto"/>
                  </w:tcBorders>
                  <w:shd w:val="clear" w:color="000000" w:fill="D0CECE"/>
                  <w:vAlign w:val="center"/>
                  <w:hideMark/>
                </w:tcPr>
                <w:p w14:paraId="1F9B5222"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557" w:type="dxa"/>
                  <w:vMerge/>
                  <w:tcBorders>
                    <w:left w:val="nil"/>
                    <w:bottom w:val="single" w:sz="4" w:space="0" w:color="auto"/>
                    <w:right w:val="single" w:sz="4" w:space="0" w:color="auto"/>
                  </w:tcBorders>
                  <w:shd w:val="clear" w:color="auto" w:fill="auto"/>
                  <w:vAlign w:val="center"/>
                  <w:hideMark/>
                </w:tcPr>
                <w:p w14:paraId="24AAA903" w14:textId="77777777" w:rsidR="00234A04" w:rsidRPr="007B04D9" w:rsidRDefault="00234A04" w:rsidP="00234A04">
                  <w:pPr>
                    <w:spacing w:line="240" w:lineRule="auto"/>
                    <w:jc w:val="center"/>
                    <w:rPr>
                      <w:rFonts w:eastAsia="Times New Roman" w:cstheme="minorHAnsi"/>
                      <w:color w:val="000000"/>
                      <w:sz w:val="18"/>
                      <w:szCs w:val="18"/>
                    </w:rPr>
                  </w:pPr>
                </w:p>
              </w:tc>
            </w:tr>
            <w:tr w:rsidR="00234A04" w:rsidRPr="007B04D9" w14:paraId="0B57AB00"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79856"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Share of CCT students that completed the grade over all CCT students enrolled in that grade – overall (percentage)</w:t>
                  </w:r>
                </w:p>
              </w:tc>
              <w:tc>
                <w:tcPr>
                  <w:tcW w:w="1049" w:type="dxa"/>
                  <w:tcBorders>
                    <w:top w:val="nil"/>
                    <w:left w:val="nil"/>
                    <w:bottom w:val="single" w:sz="4" w:space="0" w:color="auto"/>
                    <w:right w:val="single" w:sz="4" w:space="0" w:color="auto"/>
                  </w:tcBorders>
                  <w:shd w:val="clear" w:color="auto" w:fill="auto"/>
                  <w:vAlign w:val="center"/>
                  <w:hideMark/>
                </w:tcPr>
                <w:p w14:paraId="0C9BFCA7"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44.10</w:t>
                  </w:r>
                </w:p>
              </w:tc>
              <w:tc>
                <w:tcPr>
                  <w:tcW w:w="1083" w:type="dxa"/>
                  <w:tcBorders>
                    <w:top w:val="nil"/>
                    <w:left w:val="nil"/>
                    <w:bottom w:val="single" w:sz="4" w:space="0" w:color="auto"/>
                    <w:right w:val="single" w:sz="4" w:space="0" w:color="auto"/>
                  </w:tcBorders>
                  <w:shd w:val="clear" w:color="000000" w:fill="D0CECE"/>
                  <w:vAlign w:val="center"/>
                  <w:hideMark/>
                </w:tcPr>
                <w:p w14:paraId="57384B3D"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228" w:type="dxa"/>
                  <w:tcBorders>
                    <w:top w:val="nil"/>
                    <w:left w:val="nil"/>
                    <w:bottom w:val="single" w:sz="4" w:space="0" w:color="auto"/>
                    <w:right w:val="single" w:sz="4" w:space="0" w:color="auto"/>
                  </w:tcBorders>
                  <w:shd w:val="clear" w:color="auto" w:fill="auto"/>
                  <w:vAlign w:val="center"/>
                  <w:hideMark/>
                </w:tcPr>
                <w:p w14:paraId="25AB4252"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 xml:space="preserve">New indicator added </w:t>
                  </w:r>
                </w:p>
              </w:tc>
              <w:tc>
                <w:tcPr>
                  <w:tcW w:w="1228" w:type="dxa"/>
                  <w:tcBorders>
                    <w:top w:val="nil"/>
                    <w:left w:val="nil"/>
                    <w:bottom w:val="single" w:sz="4" w:space="0" w:color="auto"/>
                    <w:right w:val="single" w:sz="4" w:space="0" w:color="auto"/>
                  </w:tcBorders>
                  <w:shd w:val="clear" w:color="auto" w:fill="auto"/>
                  <w:vAlign w:val="center"/>
                  <w:hideMark/>
                </w:tcPr>
                <w:p w14:paraId="361C117E"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80.00</w:t>
                  </w:r>
                </w:p>
              </w:tc>
              <w:tc>
                <w:tcPr>
                  <w:tcW w:w="1557" w:type="dxa"/>
                  <w:vMerge w:val="restart"/>
                  <w:tcBorders>
                    <w:top w:val="nil"/>
                    <w:left w:val="nil"/>
                    <w:right w:val="single" w:sz="4" w:space="0" w:color="auto"/>
                  </w:tcBorders>
                  <w:shd w:val="clear" w:color="auto" w:fill="auto"/>
                  <w:vAlign w:val="center"/>
                  <w:hideMark/>
                </w:tcPr>
                <w:p w14:paraId="6DD7D01C" w14:textId="77777777" w:rsidR="00234A04" w:rsidRPr="007B04D9" w:rsidRDefault="00234A04" w:rsidP="00234A04">
                  <w:pPr>
                    <w:spacing w:line="240" w:lineRule="auto"/>
                    <w:jc w:val="center"/>
                    <w:rPr>
                      <w:rFonts w:eastAsia="Times New Roman" w:cstheme="minorHAnsi"/>
                      <w:sz w:val="18"/>
                      <w:szCs w:val="18"/>
                    </w:rPr>
                  </w:pPr>
                  <w:r>
                    <w:rPr>
                      <w:rFonts w:eastAsia="Times New Roman" w:cstheme="minorHAnsi"/>
                      <w:sz w:val="18"/>
                      <w:szCs w:val="18"/>
                    </w:rPr>
                    <w:t>Included to replace the dropped indicators to now capture progression, as stated in the PDO.</w:t>
                  </w:r>
                </w:p>
              </w:tc>
            </w:tr>
            <w:tr w:rsidR="00234A04" w:rsidRPr="007B04D9" w14:paraId="6D18BF6D"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7D6F9"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Share of CCT students that completed the grade over all CCT students enrolled in that grade – female (percentage)</w:t>
                  </w:r>
                </w:p>
              </w:tc>
              <w:tc>
                <w:tcPr>
                  <w:tcW w:w="1049" w:type="dxa"/>
                  <w:tcBorders>
                    <w:top w:val="nil"/>
                    <w:left w:val="nil"/>
                    <w:bottom w:val="single" w:sz="4" w:space="0" w:color="auto"/>
                    <w:right w:val="single" w:sz="4" w:space="0" w:color="auto"/>
                  </w:tcBorders>
                  <w:shd w:val="clear" w:color="auto" w:fill="auto"/>
                  <w:vAlign w:val="center"/>
                  <w:hideMark/>
                </w:tcPr>
                <w:p w14:paraId="080EDC3D"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48.90</w:t>
                  </w:r>
                </w:p>
              </w:tc>
              <w:tc>
                <w:tcPr>
                  <w:tcW w:w="1083" w:type="dxa"/>
                  <w:tcBorders>
                    <w:top w:val="nil"/>
                    <w:left w:val="nil"/>
                    <w:bottom w:val="single" w:sz="4" w:space="0" w:color="auto"/>
                    <w:right w:val="single" w:sz="4" w:space="0" w:color="auto"/>
                  </w:tcBorders>
                  <w:shd w:val="clear" w:color="000000" w:fill="D0CECE"/>
                  <w:vAlign w:val="center"/>
                  <w:hideMark/>
                </w:tcPr>
                <w:p w14:paraId="3D23B21A"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228" w:type="dxa"/>
                  <w:tcBorders>
                    <w:top w:val="nil"/>
                    <w:left w:val="nil"/>
                    <w:bottom w:val="single" w:sz="4" w:space="0" w:color="auto"/>
                    <w:right w:val="single" w:sz="4" w:space="0" w:color="auto"/>
                  </w:tcBorders>
                  <w:shd w:val="clear" w:color="auto" w:fill="auto"/>
                  <w:vAlign w:val="center"/>
                  <w:hideMark/>
                </w:tcPr>
                <w:p w14:paraId="1D747427"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 xml:space="preserve">New indicator added </w:t>
                  </w:r>
                </w:p>
              </w:tc>
              <w:tc>
                <w:tcPr>
                  <w:tcW w:w="1228" w:type="dxa"/>
                  <w:tcBorders>
                    <w:top w:val="nil"/>
                    <w:left w:val="nil"/>
                    <w:bottom w:val="single" w:sz="4" w:space="0" w:color="auto"/>
                    <w:right w:val="single" w:sz="4" w:space="0" w:color="auto"/>
                  </w:tcBorders>
                  <w:shd w:val="clear" w:color="auto" w:fill="auto"/>
                  <w:vAlign w:val="center"/>
                  <w:hideMark/>
                </w:tcPr>
                <w:p w14:paraId="1798B471"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80.00</w:t>
                  </w:r>
                </w:p>
              </w:tc>
              <w:tc>
                <w:tcPr>
                  <w:tcW w:w="1557" w:type="dxa"/>
                  <w:vMerge/>
                  <w:tcBorders>
                    <w:left w:val="nil"/>
                    <w:right w:val="single" w:sz="4" w:space="0" w:color="auto"/>
                  </w:tcBorders>
                  <w:shd w:val="clear" w:color="auto" w:fill="auto"/>
                  <w:vAlign w:val="center"/>
                  <w:hideMark/>
                </w:tcPr>
                <w:p w14:paraId="584F1656" w14:textId="77777777" w:rsidR="00234A04" w:rsidRPr="007B04D9" w:rsidRDefault="00234A04" w:rsidP="00234A04">
                  <w:pPr>
                    <w:spacing w:line="240" w:lineRule="auto"/>
                    <w:jc w:val="center"/>
                    <w:rPr>
                      <w:rFonts w:eastAsia="Times New Roman" w:cstheme="minorHAnsi"/>
                      <w:sz w:val="18"/>
                      <w:szCs w:val="18"/>
                    </w:rPr>
                  </w:pPr>
                </w:p>
              </w:tc>
            </w:tr>
            <w:tr w:rsidR="00234A04" w:rsidRPr="007B04D9" w14:paraId="57C02EBE"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49ECC"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Share of CCT students that transitioned to the next grade OR to a TVET program – overall (percentage)</w:t>
                  </w:r>
                </w:p>
              </w:tc>
              <w:tc>
                <w:tcPr>
                  <w:tcW w:w="1049" w:type="dxa"/>
                  <w:tcBorders>
                    <w:top w:val="nil"/>
                    <w:left w:val="nil"/>
                    <w:bottom w:val="single" w:sz="4" w:space="0" w:color="auto"/>
                    <w:right w:val="single" w:sz="4" w:space="0" w:color="auto"/>
                  </w:tcBorders>
                  <w:shd w:val="clear" w:color="000000" w:fill="FFFFFF"/>
                  <w:vAlign w:val="center"/>
                  <w:hideMark/>
                </w:tcPr>
                <w:p w14:paraId="39FCEF05"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0.00</w:t>
                  </w:r>
                </w:p>
              </w:tc>
              <w:tc>
                <w:tcPr>
                  <w:tcW w:w="1083" w:type="dxa"/>
                  <w:tcBorders>
                    <w:top w:val="nil"/>
                    <w:left w:val="nil"/>
                    <w:bottom w:val="single" w:sz="4" w:space="0" w:color="auto"/>
                    <w:right w:val="single" w:sz="4" w:space="0" w:color="auto"/>
                  </w:tcBorders>
                  <w:shd w:val="clear" w:color="000000" w:fill="D0CECE"/>
                  <w:vAlign w:val="center"/>
                  <w:hideMark/>
                </w:tcPr>
                <w:p w14:paraId="376A76C6"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228" w:type="dxa"/>
                  <w:tcBorders>
                    <w:top w:val="nil"/>
                    <w:left w:val="nil"/>
                    <w:bottom w:val="single" w:sz="4" w:space="0" w:color="auto"/>
                    <w:right w:val="single" w:sz="4" w:space="0" w:color="auto"/>
                  </w:tcBorders>
                  <w:shd w:val="clear" w:color="auto" w:fill="auto"/>
                  <w:vAlign w:val="center"/>
                  <w:hideMark/>
                </w:tcPr>
                <w:p w14:paraId="0A5B493F"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 xml:space="preserve">New indicator added </w:t>
                  </w:r>
                </w:p>
              </w:tc>
              <w:tc>
                <w:tcPr>
                  <w:tcW w:w="1228" w:type="dxa"/>
                  <w:tcBorders>
                    <w:top w:val="nil"/>
                    <w:left w:val="nil"/>
                    <w:bottom w:val="single" w:sz="4" w:space="0" w:color="auto"/>
                    <w:right w:val="single" w:sz="4" w:space="0" w:color="auto"/>
                  </w:tcBorders>
                  <w:shd w:val="clear" w:color="auto" w:fill="auto"/>
                  <w:vAlign w:val="center"/>
                  <w:hideMark/>
                </w:tcPr>
                <w:p w14:paraId="6B15BC04"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70.00</w:t>
                  </w:r>
                </w:p>
              </w:tc>
              <w:tc>
                <w:tcPr>
                  <w:tcW w:w="1557" w:type="dxa"/>
                  <w:vMerge/>
                  <w:tcBorders>
                    <w:left w:val="nil"/>
                    <w:right w:val="single" w:sz="4" w:space="0" w:color="auto"/>
                  </w:tcBorders>
                  <w:shd w:val="clear" w:color="auto" w:fill="auto"/>
                  <w:vAlign w:val="center"/>
                  <w:hideMark/>
                </w:tcPr>
                <w:p w14:paraId="3BDAE641" w14:textId="77777777" w:rsidR="00234A04" w:rsidRPr="007B04D9" w:rsidRDefault="00234A04" w:rsidP="00234A04">
                  <w:pPr>
                    <w:spacing w:line="240" w:lineRule="auto"/>
                    <w:jc w:val="center"/>
                    <w:rPr>
                      <w:rFonts w:eastAsia="Times New Roman" w:cstheme="minorHAnsi"/>
                      <w:sz w:val="18"/>
                      <w:szCs w:val="18"/>
                    </w:rPr>
                  </w:pPr>
                </w:p>
              </w:tc>
            </w:tr>
            <w:tr w:rsidR="00234A04" w:rsidRPr="007B04D9" w14:paraId="765DFCA2"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E14C8"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Share of CCT students that transitioned to the next grade OR to a TVET program – female (percentage)</w:t>
                  </w:r>
                </w:p>
              </w:tc>
              <w:tc>
                <w:tcPr>
                  <w:tcW w:w="1049" w:type="dxa"/>
                  <w:tcBorders>
                    <w:top w:val="nil"/>
                    <w:left w:val="nil"/>
                    <w:bottom w:val="single" w:sz="4" w:space="0" w:color="auto"/>
                    <w:right w:val="single" w:sz="4" w:space="0" w:color="auto"/>
                  </w:tcBorders>
                  <w:shd w:val="clear" w:color="000000" w:fill="FFFFFF"/>
                  <w:vAlign w:val="center"/>
                  <w:hideMark/>
                </w:tcPr>
                <w:p w14:paraId="36FFE365"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0.00</w:t>
                  </w:r>
                </w:p>
              </w:tc>
              <w:tc>
                <w:tcPr>
                  <w:tcW w:w="1083" w:type="dxa"/>
                  <w:tcBorders>
                    <w:top w:val="nil"/>
                    <w:left w:val="nil"/>
                    <w:bottom w:val="single" w:sz="4" w:space="0" w:color="auto"/>
                    <w:right w:val="single" w:sz="4" w:space="0" w:color="auto"/>
                  </w:tcBorders>
                  <w:shd w:val="clear" w:color="000000" w:fill="D0CECE"/>
                  <w:vAlign w:val="center"/>
                  <w:hideMark/>
                </w:tcPr>
                <w:p w14:paraId="11C37004"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228" w:type="dxa"/>
                  <w:tcBorders>
                    <w:top w:val="nil"/>
                    <w:left w:val="nil"/>
                    <w:bottom w:val="single" w:sz="4" w:space="0" w:color="auto"/>
                    <w:right w:val="single" w:sz="4" w:space="0" w:color="auto"/>
                  </w:tcBorders>
                  <w:shd w:val="clear" w:color="auto" w:fill="auto"/>
                  <w:vAlign w:val="center"/>
                  <w:hideMark/>
                </w:tcPr>
                <w:p w14:paraId="11ACF72A"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 xml:space="preserve">New indicator added </w:t>
                  </w:r>
                </w:p>
              </w:tc>
              <w:tc>
                <w:tcPr>
                  <w:tcW w:w="1228" w:type="dxa"/>
                  <w:tcBorders>
                    <w:top w:val="nil"/>
                    <w:left w:val="nil"/>
                    <w:bottom w:val="single" w:sz="4" w:space="0" w:color="auto"/>
                    <w:right w:val="single" w:sz="4" w:space="0" w:color="auto"/>
                  </w:tcBorders>
                  <w:shd w:val="clear" w:color="auto" w:fill="auto"/>
                  <w:vAlign w:val="center"/>
                  <w:hideMark/>
                </w:tcPr>
                <w:p w14:paraId="3392B218"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70.00</w:t>
                  </w:r>
                </w:p>
              </w:tc>
              <w:tc>
                <w:tcPr>
                  <w:tcW w:w="1557" w:type="dxa"/>
                  <w:vMerge/>
                  <w:tcBorders>
                    <w:left w:val="nil"/>
                    <w:right w:val="single" w:sz="4" w:space="0" w:color="auto"/>
                  </w:tcBorders>
                  <w:shd w:val="clear" w:color="auto" w:fill="auto"/>
                  <w:vAlign w:val="center"/>
                  <w:hideMark/>
                </w:tcPr>
                <w:p w14:paraId="1DC7002A" w14:textId="77777777" w:rsidR="00234A04" w:rsidRPr="007B04D9" w:rsidRDefault="00234A04" w:rsidP="00234A04">
                  <w:pPr>
                    <w:spacing w:line="240" w:lineRule="auto"/>
                    <w:jc w:val="center"/>
                    <w:rPr>
                      <w:rFonts w:eastAsia="Times New Roman" w:cstheme="minorHAnsi"/>
                      <w:sz w:val="18"/>
                      <w:szCs w:val="18"/>
                    </w:rPr>
                  </w:pPr>
                </w:p>
              </w:tc>
            </w:tr>
            <w:tr w:rsidR="00234A04" w:rsidRPr="007B04D9" w14:paraId="549E1CAF"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B1C798"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Average completion rate of project-supported TVET programs – overall (percentage)</w:t>
                  </w:r>
                </w:p>
              </w:tc>
              <w:tc>
                <w:tcPr>
                  <w:tcW w:w="1049" w:type="dxa"/>
                  <w:tcBorders>
                    <w:top w:val="nil"/>
                    <w:left w:val="nil"/>
                    <w:bottom w:val="single" w:sz="4" w:space="0" w:color="auto"/>
                    <w:right w:val="single" w:sz="4" w:space="0" w:color="auto"/>
                  </w:tcBorders>
                  <w:shd w:val="clear" w:color="000000" w:fill="FFFFFF"/>
                  <w:vAlign w:val="center"/>
                  <w:hideMark/>
                </w:tcPr>
                <w:p w14:paraId="5542C5B2"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67.00</w:t>
                  </w:r>
                </w:p>
              </w:tc>
              <w:tc>
                <w:tcPr>
                  <w:tcW w:w="1083" w:type="dxa"/>
                  <w:tcBorders>
                    <w:top w:val="nil"/>
                    <w:left w:val="nil"/>
                    <w:bottom w:val="single" w:sz="4" w:space="0" w:color="auto"/>
                    <w:right w:val="single" w:sz="4" w:space="0" w:color="auto"/>
                  </w:tcBorders>
                  <w:shd w:val="clear" w:color="000000" w:fill="D0CECE"/>
                  <w:vAlign w:val="center"/>
                  <w:hideMark/>
                </w:tcPr>
                <w:p w14:paraId="7DA70F55"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228" w:type="dxa"/>
                  <w:tcBorders>
                    <w:top w:val="nil"/>
                    <w:left w:val="nil"/>
                    <w:bottom w:val="single" w:sz="4" w:space="0" w:color="auto"/>
                    <w:right w:val="single" w:sz="4" w:space="0" w:color="auto"/>
                  </w:tcBorders>
                  <w:shd w:val="clear" w:color="auto" w:fill="auto"/>
                  <w:vAlign w:val="center"/>
                  <w:hideMark/>
                </w:tcPr>
                <w:p w14:paraId="0D042FA3"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 xml:space="preserve">New indicator added </w:t>
                  </w:r>
                </w:p>
              </w:tc>
              <w:tc>
                <w:tcPr>
                  <w:tcW w:w="1228" w:type="dxa"/>
                  <w:tcBorders>
                    <w:top w:val="nil"/>
                    <w:left w:val="nil"/>
                    <w:bottom w:val="single" w:sz="4" w:space="0" w:color="auto"/>
                    <w:right w:val="single" w:sz="4" w:space="0" w:color="auto"/>
                  </w:tcBorders>
                  <w:shd w:val="clear" w:color="auto" w:fill="auto"/>
                  <w:vAlign w:val="center"/>
                  <w:hideMark/>
                </w:tcPr>
                <w:p w14:paraId="74A42826"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77.00</w:t>
                  </w:r>
                </w:p>
              </w:tc>
              <w:tc>
                <w:tcPr>
                  <w:tcW w:w="1557" w:type="dxa"/>
                  <w:vMerge/>
                  <w:tcBorders>
                    <w:left w:val="nil"/>
                    <w:right w:val="single" w:sz="4" w:space="0" w:color="auto"/>
                  </w:tcBorders>
                  <w:shd w:val="clear" w:color="auto" w:fill="auto"/>
                  <w:vAlign w:val="center"/>
                  <w:hideMark/>
                </w:tcPr>
                <w:p w14:paraId="58A532E3" w14:textId="77777777" w:rsidR="00234A04" w:rsidRPr="007B04D9" w:rsidRDefault="00234A04" w:rsidP="00234A04">
                  <w:pPr>
                    <w:spacing w:line="240" w:lineRule="auto"/>
                    <w:jc w:val="center"/>
                    <w:rPr>
                      <w:rFonts w:eastAsia="Times New Roman" w:cstheme="minorHAnsi"/>
                      <w:sz w:val="18"/>
                      <w:szCs w:val="18"/>
                    </w:rPr>
                  </w:pPr>
                </w:p>
              </w:tc>
            </w:tr>
            <w:tr w:rsidR="00234A04" w:rsidRPr="007B04D9" w14:paraId="636512C7" w14:textId="77777777" w:rsidTr="00615339">
              <w:trPr>
                <w:trHeight w:val="568"/>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F46D5"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Average completion rate of project-supported TVET programs – female (percentage)</w:t>
                  </w:r>
                </w:p>
              </w:tc>
              <w:tc>
                <w:tcPr>
                  <w:tcW w:w="1049" w:type="dxa"/>
                  <w:tcBorders>
                    <w:top w:val="nil"/>
                    <w:left w:val="nil"/>
                    <w:bottom w:val="single" w:sz="4" w:space="0" w:color="auto"/>
                    <w:right w:val="single" w:sz="4" w:space="0" w:color="auto"/>
                  </w:tcBorders>
                  <w:shd w:val="clear" w:color="000000" w:fill="FFFFFF"/>
                  <w:vAlign w:val="center"/>
                  <w:hideMark/>
                </w:tcPr>
                <w:p w14:paraId="550D2A60"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66.00</w:t>
                  </w:r>
                </w:p>
              </w:tc>
              <w:tc>
                <w:tcPr>
                  <w:tcW w:w="1083" w:type="dxa"/>
                  <w:tcBorders>
                    <w:top w:val="nil"/>
                    <w:left w:val="nil"/>
                    <w:bottom w:val="single" w:sz="4" w:space="0" w:color="auto"/>
                    <w:right w:val="single" w:sz="4" w:space="0" w:color="auto"/>
                  </w:tcBorders>
                  <w:shd w:val="clear" w:color="000000" w:fill="D0CECE"/>
                  <w:vAlign w:val="center"/>
                  <w:hideMark/>
                </w:tcPr>
                <w:p w14:paraId="751F8C46"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228" w:type="dxa"/>
                  <w:tcBorders>
                    <w:top w:val="nil"/>
                    <w:left w:val="nil"/>
                    <w:bottom w:val="single" w:sz="4" w:space="0" w:color="auto"/>
                    <w:right w:val="single" w:sz="4" w:space="0" w:color="auto"/>
                  </w:tcBorders>
                  <w:shd w:val="clear" w:color="auto" w:fill="auto"/>
                  <w:vAlign w:val="center"/>
                  <w:hideMark/>
                </w:tcPr>
                <w:p w14:paraId="56554CBE"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 xml:space="preserve">New indicator added </w:t>
                  </w:r>
                </w:p>
              </w:tc>
              <w:tc>
                <w:tcPr>
                  <w:tcW w:w="1228" w:type="dxa"/>
                  <w:tcBorders>
                    <w:top w:val="nil"/>
                    <w:left w:val="nil"/>
                    <w:bottom w:val="single" w:sz="4" w:space="0" w:color="auto"/>
                    <w:right w:val="single" w:sz="4" w:space="0" w:color="auto"/>
                  </w:tcBorders>
                  <w:shd w:val="clear" w:color="auto" w:fill="auto"/>
                  <w:vAlign w:val="center"/>
                  <w:hideMark/>
                </w:tcPr>
                <w:p w14:paraId="216E03D8"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76.00</w:t>
                  </w:r>
                </w:p>
              </w:tc>
              <w:tc>
                <w:tcPr>
                  <w:tcW w:w="1557" w:type="dxa"/>
                  <w:vMerge/>
                  <w:tcBorders>
                    <w:left w:val="nil"/>
                    <w:bottom w:val="single" w:sz="4" w:space="0" w:color="auto"/>
                    <w:right w:val="single" w:sz="4" w:space="0" w:color="auto"/>
                  </w:tcBorders>
                  <w:shd w:val="clear" w:color="auto" w:fill="auto"/>
                  <w:vAlign w:val="center"/>
                  <w:hideMark/>
                </w:tcPr>
                <w:p w14:paraId="149641C0" w14:textId="77777777" w:rsidR="00234A04" w:rsidRPr="007B04D9" w:rsidRDefault="00234A04" w:rsidP="00234A04">
                  <w:pPr>
                    <w:spacing w:line="240" w:lineRule="auto"/>
                    <w:jc w:val="center"/>
                    <w:rPr>
                      <w:rFonts w:eastAsia="Times New Roman" w:cstheme="minorHAnsi"/>
                      <w:sz w:val="18"/>
                      <w:szCs w:val="18"/>
                    </w:rPr>
                  </w:pPr>
                </w:p>
              </w:tc>
            </w:tr>
            <w:tr w:rsidR="00234A04" w:rsidRPr="007B04D9" w14:paraId="683ACB71" w14:textId="77777777" w:rsidTr="00615339">
              <w:trPr>
                <w:trHeight w:val="294"/>
              </w:trPr>
              <w:tc>
                <w:tcPr>
                  <w:tcW w:w="10054"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E46B1" w14:textId="77777777" w:rsidR="00234A04" w:rsidRPr="007B04D9" w:rsidRDefault="00234A04" w:rsidP="00234A04">
                  <w:pPr>
                    <w:spacing w:line="240" w:lineRule="auto"/>
                    <w:rPr>
                      <w:rFonts w:eastAsia="Times New Roman" w:cstheme="minorHAnsi"/>
                      <w:b/>
                      <w:bCs/>
                      <w:i/>
                      <w:iCs/>
                      <w:color w:val="000000"/>
                      <w:sz w:val="18"/>
                      <w:szCs w:val="18"/>
                    </w:rPr>
                  </w:pPr>
                  <w:r w:rsidRPr="007B04D9">
                    <w:rPr>
                      <w:rFonts w:eastAsia="Times New Roman" w:cstheme="minorHAnsi"/>
                      <w:b/>
                      <w:bCs/>
                      <w:i/>
                      <w:iCs/>
                      <w:color w:val="000000"/>
                      <w:sz w:val="18"/>
                      <w:szCs w:val="18"/>
                    </w:rPr>
                    <w:t>PDO 2: Facilitate the transition to jobs in the domestic and overseas labor markets for Tongans</w:t>
                  </w:r>
                </w:p>
              </w:tc>
            </w:tr>
            <w:tr w:rsidR="00234A04" w:rsidRPr="007B04D9" w14:paraId="42724B05" w14:textId="77777777" w:rsidTr="00615339">
              <w:trPr>
                <w:trHeight w:val="670"/>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B9168"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Share of beneficiaries who are employed in the domestic labor market six months after completion of training – overall (percentage)</w:t>
                  </w:r>
                </w:p>
              </w:tc>
              <w:tc>
                <w:tcPr>
                  <w:tcW w:w="1049" w:type="dxa"/>
                  <w:tcBorders>
                    <w:top w:val="nil"/>
                    <w:left w:val="nil"/>
                    <w:bottom w:val="single" w:sz="4" w:space="0" w:color="auto"/>
                    <w:right w:val="single" w:sz="4" w:space="0" w:color="auto"/>
                  </w:tcBorders>
                  <w:shd w:val="clear" w:color="auto" w:fill="auto"/>
                  <w:vAlign w:val="center"/>
                  <w:hideMark/>
                </w:tcPr>
                <w:p w14:paraId="15261714"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Not established</w:t>
                  </w:r>
                </w:p>
              </w:tc>
              <w:tc>
                <w:tcPr>
                  <w:tcW w:w="1083" w:type="dxa"/>
                  <w:tcBorders>
                    <w:top w:val="nil"/>
                    <w:left w:val="nil"/>
                    <w:bottom w:val="single" w:sz="4" w:space="0" w:color="auto"/>
                    <w:right w:val="single" w:sz="4" w:space="0" w:color="auto"/>
                  </w:tcBorders>
                  <w:shd w:val="clear" w:color="auto" w:fill="auto"/>
                  <w:vAlign w:val="center"/>
                  <w:hideMark/>
                </w:tcPr>
                <w:p w14:paraId="71501B00"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Baseline + 10%</w:t>
                  </w:r>
                </w:p>
              </w:tc>
              <w:tc>
                <w:tcPr>
                  <w:tcW w:w="1228" w:type="dxa"/>
                  <w:tcBorders>
                    <w:top w:val="nil"/>
                    <w:left w:val="nil"/>
                    <w:bottom w:val="single" w:sz="4" w:space="0" w:color="auto"/>
                    <w:right w:val="single" w:sz="4" w:space="0" w:color="auto"/>
                  </w:tcBorders>
                  <w:shd w:val="clear" w:color="auto" w:fill="auto"/>
                  <w:vAlign w:val="center"/>
                  <w:hideMark/>
                </w:tcPr>
                <w:p w14:paraId="2928CCCE" w14:textId="77777777" w:rsidR="00234A04" w:rsidRPr="007B04D9" w:rsidRDefault="00234A04" w:rsidP="00234A04">
                  <w:pPr>
                    <w:spacing w:line="240" w:lineRule="auto"/>
                    <w:jc w:val="center"/>
                    <w:rPr>
                      <w:rFonts w:eastAsia="Times New Roman" w:cstheme="minorHAnsi"/>
                      <w:sz w:val="18"/>
                      <w:szCs w:val="18"/>
                    </w:rPr>
                  </w:pPr>
                  <w:r>
                    <w:rPr>
                      <w:rFonts w:eastAsia="Times New Roman" w:cstheme="minorHAnsi"/>
                      <w:sz w:val="18"/>
                      <w:szCs w:val="18"/>
                    </w:rPr>
                    <w:t>Indicator dropped</w:t>
                  </w:r>
                </w:p>
              </w:tc>
              <w:tc>
                <w:tcPr>
                  <w:tcW w:w="1228" w:type="dxa"/>
                  <w:tcBorders>
                    <w:top w:val="nil"/>
                    <w:left w:val="nil"/>
                    <w:bottom w:val="single" w:sz="4" w:space="0" w:color="auto"/>
                    <w:right w:val="single" w:sz="4" w:space="0" w:color="auto"/>
                  </w:tcBorders>
                  <w:shd w:val="clear" w:color="000000" w:fill="D0CECE"/>
                  <w:vAlign w:val="center"/>
                  <w:hideMark/>
                </w:tcPr>
                <w:p w14:paraId="1D45D3C7"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557" w:type="dxa"/>
                  <w:vMerge w:val="restart"/>
                  <w:tcBorders>
                    <w:top w:val="nil"/>
                    <w:left w:val="nil"/>
                    <w:right w:val="single" w:sz="4" w:space="0" w:color="auto"/>
                  </w:tcBorders>
                  <w:shd w:val="clear" w:color="auto" w:fill="auto"/>
                  <w:vAlign w:val="center"/>
                  <w:hideMark/>
                </w:tcPr>
                <w:p w14:paraId="1ADA4413"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r>
                    <w:rPr>
                      <w:rFonts w:eastAsia="Times New Roman" w:cstheme="minorHAnsi"/>
                      <w:color w:val="000000"/>
                      <w:sz w:val="18"/>
                      <w:szCs w:val="18"/>
                    </w:rPr>
                    <w:t xml:space="preserve">MET was unable to track employment status of beneficiaries due to impacts of the Covid-19 pandemic. </w:t>
                  </w:r>
                  <w:r w:rsidRPr="007B04D9">
                    <w:rPr>
                      <w:rFonts w:eastAsia="Times New Roman" w:cstheme="minorHAnsi"/>
                      <w:color w:val="000000"/>
                      <w:sz w:val="18"/>
                      <w:szCs w:val="18"/>
                    </w:rPr>
                    <w:t> </w:t>
                  </w:r>
                </w:p>
              </w:tc>
            </w:tr>
            <w:tr w:rsidR="00234A04" w:rsidRPr="007B04D9" w14:paraId="71F7EFD9" w14:textId="77777777" w:rsidTr="00615339">
              <w:trPr>
                <w:trHeight w:val="782"/>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4C88C"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Share of beneficiaries who are employed in the domestic labor market six months after completion of training – female (percentage)</w:t>
                  </w:r>
                </w:p>
              </w:tc>
              <w:tc>
                <w:tcPr>
                  <w:tcW w:w="1049" w:type="dxa"/>
                  <w:tcBorders>
                    <w:top w:val="nil"/>
                    <w:left w:val="nil"/>
                    <w:bottom w:val="single" w:sz="4" w:space="0" w:color="auto"/>
                    <w:right w:val="single" w:sz="4" w:space="0" w:color="auto"/>
                  </w:tcBorders>
                  <w:shd w:val="clear" w:color="auto" w:fill="auto"/>
                  <w:vAlign w:val="center"/>
                  <w:hideMark/>
                </w:tcPr>
                <w:p w14:paraId="737E7281"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Not established</w:t>
                  </w:r>
                </w:p>
              </w:tc>
              <w:tc>
                <w:tcPr>
                  <w:tcW w:w="1083" w:type="dxa"/>
                  <w:tcBorders>
                    <w:top w:val="nil"/>
                    <w:left w:val="nil"/>
                    <w:bottom w:val="single" w:sz="4" w:space="0" w:color="auto"/>
                    <w:right w:val="single" w:sz="4" w:space="0" w:color="auto"/>
                  </w:tcBorders>
                  <w:shd w:val="clear" w:color="auto" w:fill="auto"/>
                  <w:vAlign w:val="center"/>
                  <w:hideMark/>
                </w:tcPr>
                <w:p w14:paraId="54FBC249"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Baseline + 15%</w:t>
                  </w:r>
                </w:p>
              </w:tc>
              <w:tc>
                <w:tcPr>
                  <w:tcW w:w="1228" w:type="dxa"/>
                  <w:tcBorders>
                    <w:top w:val="nil"/>
                    <w:left w:val="nil"/>
                    <w:bottom w:val="single" w:sz="4" w:space="0" w:color="auto"/>
                    <w:right w:val="single" w:sz="4" w:space="0" w:color="auto"/>
                  </w:tcBorders>
                  <w:shd w:val="clear" w:color="auto" w:fill="auto"/>
                  <w:vAlign w:val="center"/>
                  <w:hideMark/>
                </w:tcPr>
                <w:p w14:paraId="59595B6F" w14:textId="77777777" w:rsidR="00234A04" w:rsidRPr="007B04D9" w:rsidRDefault="00234A04" w:rsidP="00234A04">
                  <w:pPr>
                    <w:spacing w:line="240" w:lineRule="auto"/>
                    <w:jc w:val="center"/>
                    <w:rPr>
                      <w:rFonts w:eastAsia="Times New Roman" w:cstheme="minorHAnsi"/>
                      <w:sz w:val="18"/>
                      <w:szCs w:val="18"/>
                    </w:rPr>
                  </w:pPr>
                  <w:r>
                    <w:rPr>
                      <w:rFonts w:eastAsia="Times New Roman" w:cstheme="minorHAnsi"/>
                      <w:sz w:val="18"/>
                      <w:szCs w:val="18"/>
                    </w:rPr>
                    <w:t>Indicator dropped</w:t>
                  </w:r>
                </w:p>
              </w:tc>
              <w:tc>
                <w:tcPr>
                  <w:tcW w:w="1228" w:type="dxa"/>
                  <w:tcBorders>
                    <w:top w:val="nil"/>
                    <w:left w:val="nil"/>
                    <w:bottom w:val="single" w:sz="4" w:space="0" w:color="auto"/>
                    <w:right w:val="single" w:sz="4" w:space="0" w:color="auto"/>
                  </w:tcBorders>
                  <w:shd w:val="clear" w:color="000000" w:fill="D0CECE"/>
                  <w:vAlign w:val="center"/>
                  <w:hideMark/>
                </w:tcPr>
                <w:p w14:paraId="5415A743" w14:textId="77777777" w:rsidR="00234A04" w:rsidRPr="007B04D9" w:rsidRDefault="00234A04" w:rsidP="00234A04">
                  <w:pPr>
                    <w:spacing w:line="240" w:lineRule="auto"/>
                    <w:jc w:val="center"/>
                    <w:rPr>
                      <w:rFonts w:eastAsia="Times New Roman" w:cstheme="minorHAnsi"/>
                      <w:color w:val="000000"/>
                      <w:sz w:val="18"/>
                      <w:szCs w:val="18"/>
                    </w:rPr>
                  </w:pPr>
                  <w:r w:rsidRPr="007B04D9">
                    <w:rPr>
                      <w:rFonts w:eastAsia="Times New Roman" w:cstheme="minorHAnsi"/>
                      <w:color w:val="000000"/>
                      <w:sz w:val="18"/>
                      <w:szCs w:val="18"/>
                    </w:rPr>
                    <w:t> </w:t>
                  </w:r>
                </w:p>
              </w:tc>
              <w:tc>
                <w:tcPr>
                  <w:tcW w:w="1557" w:type="dxa"/>
                  <w:vMerge/>
                  <w:tcBorders>
                    <w:left w:val="nil"/>
                    <w:bottom w:val="single" w:sz="4" w:space="0" w:color="auto"/>
                    <w:right w:val="single" w:sz="4" w:space="0" w:color="auto"/>
                  </w:tcBorders>
                  <w:shd w:val="clear" w:color="auto" w:fill="auto"/>
                  <w:vAlign w:val="center"/>
                  <w:hideMark/>
                </w:tcPr>
                <w:p w14:paraId="5DBE8B6E" w14:textId="77777777" w:rsidR="00234A04" w:rsidRPr="007B04D9" w:rsidRDefault="00234A04" w:rsidP="00234A04">
                  <w:pPr>
                    <w:spacing w:line="240" w:lineRule="auto"/>
                    <w:jc w:val="center"/>
                    <w:rPr>
                      <w:rFonts w:eastAsia="Times New Roman" w:cstheme="minorHAnsi"/>
                      <w:color w:val="000000"/>
                      <w:sz w:val="18"/>
                      <w:szCs w:val="18"/>
                    </w:rPr>
                  </w:pPr>
                </w:p>
              </w:tc>
            </w:tr>
            <w:tr w:rsidR="00234A04" w:rsidRPr="007B04D9" w14:paraId="0AF1015F" w14:textId="77777777" w:rsidTr="00615339">
              <w:trPr>
                <w:trHeight w:val="670"/>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93F75"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Beneficiaries in the work ready pool accessing employment opportunities abroad – overall (number)</w:t>
                  </w:r>
                </w:p>
              </w:tc>
              <w:tc>
                <w:tcPr>
                  <w:tcW w:w="1049" w:type="dxa"/>
                  <w:tcBorders>
                    <w:top w:val="nil"/>
                    <w:left w:val="nil"/>
                    <w:bottom w:val="single" w:sz="4" w:space="0" w:color="auto"/>
                    <w:right w:val="single" w:sz="4" w:space="0" w:color="auto"/>
                  </w:tcBorders>
                  <w:shd w:val="clear" w:color="auto" w:fill="auto"/>
                  <w:vAlign w:val="center"/>
                  <w:hideMark/>
                </w:tcPr>
                <w:p w14:paraId="10C44D70"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0.00</w:t>
                  </w:r>
                </w:p>
              </w:tc>
              <w:tc>
                <w:tcPr>
                  <w:tcW w:w="1083" w:type="dxa"/>
                  <w:tcBorders>
                    <w:top w:val="nil"/>
                    <w:left w:val="nil"/>
                    <w:bottom w:val="single" w:sz="4" w:space="0" w:color="auto"/>
                    <w:right w:val="single" w:sz="4" w:space="0" w:color="auto"/>
                  </w:tcBorders>
                  <w:shd w:val="clear" w:color="auto" w:fill="auto"/>
                  <w:vAlign w:val="center"/>
                  <w:hideMark/>
                </w:tcPr>
                <w:p w14:paraId="55DB84AC"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2000.00</w:t>
                  </w:r>
                </w:p>
              </w:tc>
              <w:tc>
                <w:tcPr>
                  <w:tcW w:w="1228" w:type="dxa"/>
                  <w:tcBorders>
                    <w:top w:val="nil"/>
                    <w:left w:val="nil"/>
                    <w:bottom w:val="single" w:sz="4" w:space="0" w:color="auto"/>
                    <w:right w:val="single" w:sz="4" w:space="0" w:color="auto"/>
                  </w:tcBorders>
                  <w:shd w:val="clear" w:color="auto" w:fill="auto"/>
                  <w:vAlign w:val="center"/>
                  <w:hideMark/>
                </w:tcPr>
                <w:p w14:paraId="617DA328"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 change</w:t>
                  </w:r>
                </w:p>
              </w:tc>
              <w:tc>
                <w:tcPr>
                  <w:tcW w:w="1228" w:type="dxa"/>
                  <w:tcBorders>
                    <w:top w:val="nil"/>
                    <w:left w:val="nil"/>
                    <w:bottom w:val="single" w:sz="4" w:space="0" w:color="auto"/>
                    <w:right w:val="single" w:sz="4" w:space="0" w:color="auto"/>
                  </w:tcBorders>
                  <w:shd w:val="clear" w:color="auto" w:fill="auto"/>
                  <w:vAlign w:val="center"/>
                  <w:hideMark/>
                </w:tcPr>
                <w:p w14:paraId="2BE92C38"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 change</w:t>
                  </w:r>
                </w:p>
              </w:tc>
              <w:tc>
                <w:tcPr>
                  <w:tcW w:w="1557" w:type="dxa"/>
                  <w:vMerge w:val="restart"/>
                  <w:tcBorders>
                    <w:top w:val="nil"/>
                    <w:left w:val="nil"/>
                    <w:right w:val="single" w:sz="4" w:space="0" w:color="auto"/>
                  </w:tcBorders>
                  <w:shd w:val="clear" w:color="auto" w:fill="auto"/>
                  <w:vAlign w:val="center"/>
                  <w:hideMark/>
                </w:tcPr>
                <w:p w14:paraId="2B522F65" w14:textId="77777777" w:rsidR="00234A04" w:rsidRPr="007B04D9" w:rsidRDefault="00234A04" w:rsidP="00234A04">
                  <w:pPr>
                    <w:spacing w:line="240" w:lineRule="auto"/>
                    <w:jc w:val="center"/>
                    <w:rPr>
                      <w:rFonts w:eastAsia="Times New Roman" w:cstheme="minorHAnsi"/>
                      <w:sz w:val="18"/>
                      <w:szCs w:val="18"/>
                    </w:rPr>
                  </w:pPr>
                  <w:r>
                    <w:rPr>
                      <w:rFonts w:eastAsia="Times New Roman" w:cstheme="minorHAnsi"/>
                      <w:sz w:val="18"/>
                      <w:szCs w:val="18"/>
                    </w:rPr>
                    <w:t>NA</w:t>
                  </w:r>
                </w:p>
              </w:tc>
            </w:tr>
            <w:tr w:rsidR="00234A04" w:rsidRPr="007B04D9" w14:paraId="44EEC118" w14:textId="77777777" w:rsidTr="00615339">
              <w:trPr>
                <w:trHeight w:val="670"/>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E5E85" w14:textId="77777777" w:rsidR="00234A04" w:rsidRPr="007B04D9" w:rsidRDefault="00234A04" w:rsidP="00234A04">
                  <w:pPr>
                    <w:spacing w:line="240" w:lineRule="auto"/>
                    <w:rPr>
                      <w:rFonts w:eastAsia="Times New Roman" w:cstheme="minorHAnsi"/>
                      <w:sz w:val="18"/>
                      <w:szCs w:val="18"/>
                    </w:rPr>
                  </w:pPr>
                  <w:r w:rsidRPr="007B04D9">
                    <w:rPr>
                      <w:rFonts w:eastAsia="Times New Roman" w:cstheme="minorHAnsi"/>
                      <w:sz w:val="18"/>
                      <w:szCs w:val="18"/>
                    </w:rPr>
                    <w:t>Beneficiaries in the work ready pool accessing employment opportunities abroad – female (number)</w:t>
                  </w:r>
                </w:p>
              </w:tc>
              <w:tc>
                <w:tcPr>
                  <w:tcW w:w="1049" w:type="dxa"/>
                  <w:tcBorders>
                    <w:top w:val="nil"/>
                    <w:left w:val="nil"/>
                    <w:bottom w:val="single" w:sz="4" w:space="0" w:color="auto"/>
                    <w:right w:val="single" w:sz="4" w:space="0" w:color="auto"/>
                  </w:tcBorders>
                  <w:shd w:val="clear" w:color="auto" w:fill="auto"/>
                  <w:vAlign w:val="center"/>
                  <w:hideMark/>
                </w:tcPr>
                <w:p w14:paraId="3A0CF952"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0.00</w:t>
                  </w:r>
                </w:p>
              </w:tc>
              <w:tc>
                <w:tcPr>
                  <w:tcW w:w="1083" w:type="dxa"/>
                  <w:tcBorders>
                    <w:top w:val="nil"/>
                    <w:left w:val="nil"/>
                    <w:bottom w:val="single" w:sz="4" w:space="0" w:color="auto"/>
                    <w:right w:val="single" w:sz="4" w:space="0" w:color="auto"/>
                  </w:tcBorders>
                  <w:shd w:val="clear" w:color="auto" w:fill="auto"/>
                  <w:vAlign w:val="center"/>
                  <w:hideMark/>
                </w:tcPr>
                <w:p w14:paraId="1EC592F0"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500.00</w:t>
                  </w:r>
                </w:p>
              </w:tc>
              <w:tc>
                <w:tcPr>
                  <w:tcW w:w="1228" w:type="dxa"/>
                  <w:tcBorders>
                    <w:top w:val="nil"/>
                    <w:left w:val="nil"/>
                    <w:bottom w:val="single" w:sz="4" w:space="0" w:color="auto"/>
                    <w:right w:val="single" w:sz="4" w:space="0" w:color="auto"/>
                  </w:tcBorders>
                  <w:shd w:val="clear" w:color="auto" w:fill="auto"/>
                  <w:vAlign w:val="center"/>
                  <w:hideMark/>
                </w:tcPr>
                <w:p w14:paraId="1CA2B3FE"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 change</w:t>
                  </w:r>
                </w:p>
              </w:tc>
              <w:tc>
                <w:tcPr>
                  <w:tcW w:w="1228" w:type="dxa"/>
                  <w:tcBorders>
                    <w:top w:val="nil"/>
                    <w:left w:val="nil"/>
                    <w:bottom w:val="single" w:sz="4" w:space="0" w:color="auto"/>
                    <w:right w:val="single" w:sz="4" w:space="0" w:color="auto"/>
                  </w:tcBorders>
                  <w:shd w:val="clear" w:color="auto" w:fill="auto"/>
                  <w:vAlign w:val="center"/>
                  <w:hideMark/>
                </w:tcPr>
                <w:p w14:paraId="28DFD098" w14:textId="77777777" w:rsidR="00234A04" w:rsidRPr="007B04D9" w:rsidRDefault="00234A04" w:rsidP="00234A04">
                  <w:pPr>
                    <w:spacing w:line="240" w:lineRule="auto"/>
                    <w:jc w:val="center"/>
                    <w:rPr>
                      <w:rFonts w:eastAsia="Times New Roman" w:cstheme="minorHAnsi"/>
                      <w:sz w:val="18"/>
                      <w:szCs w:val="18"/>
                    </w:rPr>
                  </w:pPr>
                  <w:r w:rsidRPr="007B04D9">
                    <w:rPr>
                      <w:rFonts w:eastAsia="Times New Roman" w:cstheme="minorHAnsi"/>
                      <w:sz w:val="18"/>
                      <w:szCs w:val="18"/>
                    </w:rPr>
                    <w:t>No change</w:t>
                  </w:r>
                </w:p>
              </w:tc>
              <w:tc>
                <w:tcPr>
                  <w:tcW w:w="1557" w:type="dxa"/>
                  <w:vMerge/>
                  <w:tcBorders>
                    <w:left w:val="nil"/>
                    <w:bottom w:val="single" w:sz="4" w:space="0" w:color="auto"/>
                    <w:right w:val="single" w:sz="4" w:space="0" w:color="auto"/>
                  </w:tcBorders>
                  <w:shd w:val="clear" w:color="auto" w:fill="auto"/>
                  <w:vAlign w:val="center"/>
                  <w:hideMark/>
                </w:tcPr>
                <w:p w14:paraId="2D522F56" w14:textId="77777777" w:rsidR="00234A04" w:rsidRPr="007B04D9" w:rsidRDefault="00234A04" w:rsidP="00234A04">
                  <w:pPr>
                    <w:spacing w:line="240" w:lineRule="auto"/>
                    <w:jc w:val="center"/>
                    <w:rPr>
                      <w:rFonts w:eastAsia="Times New Roman" w:cstheme="minorHAnsi"/>
                      <w:sz w:val="18"/>
                      <w:szCs w:val="18"/>
                    </w:rPr>
                  </w:pPr>
                </w:p>
              </w:tc>
            </w:tr>
          </w:tbl>
          <w:p w14:paraId="5D7E9619" w14:textId="25BE7CD9" w:rsidR="00234A04" w:rsidRDefault="00234A04" w:rsidP="00993CEF"/>
          <w:p w14:paraId="0CE6A952" w14:textId="77777777" w:rsidR="00AC5F23" w:rsidRPr="00234A04" w:rsidRDefault="00D310E2" w:rsidP="00E159FF">
            <w:pPr>
              <w:jc w:val="both"/>
              <w:rPr>
                <w:b/>
                <w:bCs/>
              </w:rPr>
            </w:pPr>
            <w:r w:rsidRPr="00234A04">
              <w:rPr>
                <w:b/>
                <w:bCs/>
              </w:rPr>
              <w:t>Revised Components</w:t>
            </w:r>
          </w:p>
          <w:p w14:paraId="1F8BB0B6" w14:textId="77777777" w:rsidR="00234A04" w:rsidRDefault="00234A04" w:rsidP="00A15F63">
            <w:pPr>
              <w:pStyle w:val="ListParagraph"/>
              <w:numPr>
                <w:ilvl w:val="0"/>
                <w:numId w:val="10"/>
              </w:numPr>
              <w:jc w:val="both"/>
            </w:pPr>
            <w:r>
              <w:t xml:space="preserve">The first restructuring introduced new activities under component 2, as follows: </w:t>
            </w:r>
          </w:p>
          <w:p w14:paraId="4D06FD99" w14:textId="77777777" w:rsidR="00234A04" w:rsidRDefault="00234A04" w:rsidP="00A15F63">
            <w:pPr>
              <w:pStyle w:val="ListParagraph"/>
              <w:numPr>
                <w:ilvl w:val="1"/>
                <w:numId w:val="10"/>
              </w:numPr>
              <w:jc w:val="both"/>
            </w:pPr>
            <w:r>
              <w:t xml:space="preserve">TA and operational support to the Tonga National Qualifications and Accreditation Board (TNQAB) to improve the Tonga National Quality Assurance Framework. </w:t>
            </w:r>
          </w:p>
          <w:p w14:paraId="203BBB5D" w14:textId="77777777" w:rsidR="00234A04" w:rsidRDefault="00234A04" w:rsidP="00A15F63">
            <w:pPr>
              <w:pStyle w:val="ListParagraph"/>
              <w:numPr>
                <w:ilvl w:val="1"/>
                <w:numId w:val="10"/>
              </w:numPr>
              <w:jc w:val="both"/>
            </w:pPr>
            <w:r>
              <w:t xml:space="preserve">Training of 200 TVET teachers through the Tonga Institute of Education. </w:t>
            </w:r>
          </w:p>
          <w:p w14:paraId="2E8F9E07" w14:textId="77777777" w:rsidR="00234A04" w:rsidRDefault="00234A04" w:rsidP="00A15F63">
            <w:pPr>
              <w:pStyle w:val="ListParagraph"/>
              <w:numPr>
                <w:ilvl w:val="1"/>
                <w:numId w:val="10"/>
              </w:numPr>
              <w:jc w:val="both"/>
            </w:pPr>
            <w:r>
              <w:t>Purchase and distribution of equipment to 15 high schools that offer TVET programs in the country, to benefit over 700 TVET students in their practical training.</w:t>
            </w:r>
          </w:p>
          <w:p w14:paraId="56AE31B5" w14:textId="77777777" w:rsidR="00234A04" w:rsidRDefault="00234A04" w:rsidP="00A15F63">
            <w:pPr>
              <w:pStyle w:val="ListParagraph"/>
              <w:numPr>
                <w:ilvl w:val="1"/>
                <w:numId w:val="10"/>
              </w:numPr>
              <w:jc w:val="both"/>
            </w:pPr>
            <w:r>
              <w:t xml:space="preserve">Expand the TSSF program to provide a work placement allowance to existing TSSF students whose household </w:t>
            </w:r>
            <w:proofErr w:type="gramStart"/>
            <w:r>
              <w:t>is located in</w:t>
            </w:r>
            <w:proofErr w:type="gramEnd"/>
            <w:r>
              <w:t xml:space="preserve"> the country’s main island of Tongatapu. </w:t>
            </w:r>
          </w:p>
          <w:p w14:paraId="29E7C168" w14:textId="77777777" w:rsidR="00234A04" w:rsidRDefault="00234A04" w:rsidP="00A15F63">
            <w:pPr>
              <w:pStyle w:val="ListParagraph"/>
              <w:numPr>
                <w:ilvl w:val="1"/>
                <w:numId w:val="10"/>
              </w:numPr>
              <w:jc w:val="both"/>
            </w:pPr>
            <w:r>
              <w:t>Provide performance-based grants to 5 TVET Institutions, and small grants to 3 TVET Institutions.</w:t>
            </w:r>
          </w:p>
          <w:p w14:paraId="768982E5" w14:textId="77777777" w:rsidR="00234A04" w:rsidRDefault="00234A04" w:rsidP="00E159FF">
            <w:pPr>
              <w:pStyle w:val="ListParagraph"/>
              <w:ind w:left="1080"/>
              <w:jc w:val="both"/>
            </w:pPr>
          </w:p>
          <w:p w14:paraId="1917F5D0" w14:textId="426D30DF" w:rsidR="00234A04" w:rsidRDefault="00234A04" w:rsidP="00615339">
            <w:pPr>
              <w:pStyle w:val="ListParagraph"/>
              <w:numPr>
                <w:ilvl w:val="0"/>
                <w:numId w:val="10"/>
              </w:numPr>
              <w:ind w:left="0" w:firstLine="0"/>
              <w:jc w:val="both"/>
            </w:pPr>
            <w:r>
              <w:lastRenderedPageBreak/>
              <w:t xml:space="preserve">The first restructuring also scaled-up existing activities and </w:t>
            </w:r>
            <w:r w:rsidR="00BE1482">
              <w:t xml:space="preserve">confirmed adjustments made in </w:t>
            </w:r>
            <w:r>
              <w:t xml:space="preserve">component 3. Specifically: </w:t>
            </w:r>
          </w:p>
          <w:p w14:paraId="473DF252" w14:textId="77777777" w:rsidR="00234A04" w:rsidRDefault="00234A04" w:rsidP="00A15F63">
            <w:pPr>
              <w:pStyle w:val="ListParagraph"/>
              <w:numPr>
                <w:ilvl w:val="1"/>
                <w:numId w:val="10"/>
              </w:numPr>
              <w:jc w:val="both"/>
            </w:pPr>
            <w:r>
              <w:t xml:space="preserve">Provide pre-departure training for migrant workers in all island locations, particularly for workers in rural areas and the outer islands (per original Project design, training was provided only on the main island of Tongatapu). </w:t>
            </w:r>
          </w:p>
          <w:p w14:paraId="2E8611C0" w14:textId="1A3CA877" w:rsidR="00234A04" w:rsidRDefault="00234A04" w:rsidP="00A15F63">
            <w:pPr>
              <w:pStyle w:val="ListParagraph"/>
              <w:numPr>
                <w:ilvl w:val="1"/>
                <w:numId w:val="10"/>
              </w:numPr>
              <w:jc w:val="both"/>
            </w:pPr>
            <w:r>
              <w:t xml:space="preserve">Hire consultants and trainers in the </w:t>
            </w:r>
            <w:r w:rsidR="00BE0D10">
              <w:t>OED</w:t>
            </w:r>
            <w:r>
              <w:t xml:space="preserve"> to conduct relevant research and develop training materials. </w:t>
            </w:r>
          </w:p>
          <w:p w14:paraId="572762D6" w14:textId="6863C40C" w:rsidR="00234A04" w:rsidRDefault="00234A04" w:rsidP="00A15F63">
            <w:pPr>
              <w:pStyle w:val="ListParagraph"/>
              <w:numPr>
                <w:ilvl w:val="1"/>
                <w:numId w:val="10"/>
              </w:numPr>
              <w:jc w:val="both"/>
            </w:pPr>
            <w:r>
              <w:t>Support travel costs and travel allowances for doctors to travel to outer islands to facilitate medical clearances for workers from outer islands, and provide x-ray equipment and teleradiology systems in selected outer islands hospitals.</w:t>
            </w:r>
          </w:p>
        </w:tc>
      </w:tr>
      <w:tr w:rsidR="00DD6229" w14:paraId="43AB8E24" w14:textId="77777777" w:rsidTr="0035024F">
        <w:trPr>
          <w:trHeight w:val="872"/>
        </w:trPr>
        <w:tc>
          <w:tcPr>
            <w:tcW w:w="10890" w:type="dxa"/>
          </w:tcPr>
          <w:p w14:paraId="2BB83AF4" w14:textId="77777777" w:rsidR="00234A04" w:rsidRDefault="00234A04" w:rsidP="00993CEF"/>
          <w:p w14:paraId="13DF2F10" w14:textId="77777777" w:rsidR="00AC5F23" w:rsidRPr="00234A04" w:rsidRDefault="00D310E2" w:rsidP="00E159FF">
            <w:pPr>
              <w:jc w:val="both"/>
              <w:rPr>
                <w:b/>
                <w:bCs/>
              </w:rPr>
            </w:pPr>
            <w:r w:rsidRPr="00234A04">
              <w:rPr>
                <w:b/>
                <w:bCs/>
              </w:rPr>
              <w:t>Other Changes</w:t>
            </w:r>
          </w:p>
          <w:p w14:paraId="06DAB7ED" w14:textId="77777777" w:rsidR="00234A04" w:rsidRDefault="00234A04" w:rsidP="00615339">
            <w:pPr>
              <w:pStyle w:val="ListParagraph"/>
              <w:numPr>
                <w:ilvl w:val="0"/>
                <w:numId w:val="10"/>
              </w:numPr>
              <w:ind w:left="0" w:firstLine="0"/>
              <w:jc w:val="both"/>
            </w:pPr>
            <w:r>
              <w:t xml:space="preserve">The original Project closing date was September 30, 2023. It was extended by a year during the first restructuring to close on September 30, 2024, and again during the second restructuring by 3 months to close on December 31, 2024. </w:t>
            </w:r>
          </w:p>
          <w:p w14:paraId="0FCEA5EA" w14:textId="77777777" w:rsidR="00234A04" w:rsidRDefault="00234A04" w:rsidP="00E159FF">
            <w:pPr>
              <w:pStyle w:val="ListParagraph"/>
              <w:ind w:left="360"/>
              <w:jc w:val="both"/>
            </w:pPr>
          </w:p>
          <w:p w14:paraId="438E42F5" w14:textId="05BFB8EF" w:rsidR="00234A04" w:rsidRDefault="00234A04" w:rsidP="00615339">
            <w:pPr>
              <w:pStyle w:val="ListParagraph"/>
              <w:numPr>
                <w:ilvl w:val="0"/>
                <w:numId w:val="10"/>
              </w:numPr>
              <w:ind w:left="0" w:firstLine="0"/>
              <w:jc w:val="both"/>
            </w:pPr>
            <w:r>
              <w:t>Both restructurings also entailed a reallocation of grant proceeds between components. Savings from non-implementation or delay in activities under two components (3 and 4.1) financed existing activities under component 1 and new or scale-up of activities under component 2. The second restructuring in 2024 also reallocated funds from component 3 and sub-component 4.1 to sub-component 4.2 and components 1 and 2, without changing the scope or adding new activities to any component.</w:t>
            </w:r>
          </w:p>
        </w:tc>
      </w:tr>
      <w:tr w:rsidR="00DD6229" w14:paraId="60483BA8" w14:textId="77777777" w:rsidTr="0035024F">
        <w:trPr>
          <w:trHeight w:val="872"/>
        </w:trPr>
        <w:tc>
          <w:tcPr>
            <w:tcW w:w="10890" w:type="dxa"/>
          </w:tcPr>
          <w:p w14:paraId="06819E35" w14:textId="77777777" w:rsidR="00234A04" w:rsidRDefault="00234A04" w:rsidP="00E159FF">
            <w:pPr>
              <w:jc w:val="both"/>
            </w:pPr>
          </w:p>
          <w:p w14:paraId="4989D21C" w14:textId="77777777" w:rsidR="00AC5F23" w:rsidRDefault="00D310E2" w:rsidP="00E159FF">
            <w:pPr>
              <w:jc w:val="both"/>
            </w:pPr>
            <w:r w:rsidRPr="003F1959">
              <w:t>R</w:t>
            </w:r>
            <w:r w:rsidRPr="00234A04">
              <w:rPr>
                <w:b/>
                <w:bCs/>
              </w:rPr>
              <w:t>ationale for Changes and Their Implication on the Original Theory of Change</w:t>
            </w:r>
          </w:p>
          <w:p w14:paraId="5DFFF395" w14:textId="6BD46818" w:rsidR="00234A04" w:rsidRDefault="00234A04" w:rsidP="00615339">
            <w:pPr>
              <w:pStyle w:val="ListParagraph"/>
              <w:numPr>
                <w:ilvl w:val="0"/>
                <w:numId w:val="10"/>
              </w:numPr>
              <w:ind w:left="0" w:firstLine="0"/>
              <w:jc w:val="both"/>
            </w:pPr>
            <w:r>
              <w:t xml:space="preserve">Between 2020 and 2023, Tonga was impacted by multiple shocks of the </w:t>
            </w:r>
            <w:r w:rsidR="000C6C28">
              <w:t>COVID</w:t>
            </w:r>
            <w:r>
              <w:t xml:space="preserve">-19 pandemic, TC Harold, and the Hunga-Tonga Hunga Ha’apai volcano eruption, causing significant negative effects on the economy, school closures, and movement restrictions due to border closing. The </w:t>
            </w:r>
            <w:r w:rsidRPr="00234A04">
              <w:rPr>
                <w:u w:val="single"/>
              </w:rPr>
              <w:t>first restructuring</w:t>
            </w:r>
            <w:r>
              <w:t xml:space="preserve"> was a response to the implementation delays in Project activities </w:t>
            </w:r>
            <w:proofErr w:type="gramStart"/>
            <w:r>
              <w:t>as a consequence of</w:t>
            </w:r>
            <w:proofErr w:type="gramEnd"/>
            <w:r>
              <w:t xml:space="preserve"> these shocks. The rationale for the changes was to: (a) include in the Project description new activities that were already being implemented as a response to the shocks, (b) modify activities to avoid duplication in light of a new scheme – the Pacific Labour Facility (PLF) – that was established by DFAT,</w:t>
            </w:r>
            <w:r w:rsidR="0018019F">
              <w:rPr>
                <w:rStyle w:val="FootnoteReference"/>
              </w:rPr>
              <w:footnoteReference w:id="8"/>
            </w:r>
            <w:r>
              <w:t xml:space="preserve"> and (c) re-allocate saving from some components – mainly as a result of delays in implementation</w:t>
            </w:r>
            <w:r w:rsidR="000C6C28">
              <w:t xml:space="preserve"> due to COVID</w:t>
            </w:r>
            <w:r>
              <w:t xml:space="preserve"> </w:t>
            </w:r>
            <w:r w:rsidR="000C6C28">
              <w:t xml:space="preserve">and the scaling up of PLF </w:t>
            </w:r>
            <w:r>
              <w:t xml:space="preserve">– to other components that introduced new activities. These changes were consistent with the PDO and expanded activities under the original ToC. </w:t>
            </w:r>
          </w:p>
          <w:p w14:paraId="3F3092B7" w14:textId="77777777" w:rsidR="00234A04" w:rsidRDefault="00234A04" w:rsidP="00E159FF">
            <w:pPr>
              <w:pStyle w:val="ListParagraph"/>
              <w:ind w:left="360"/>
              <w:jc w:val="both"/>
            </w:pPr>
          </w:p>
          <w:p w14:paraId="2778CC74" w14:textId="45794C6C" w:rsidR="00234A04" w:rsidRPr="0065225C" w:rsidRDefault="00234A04" w:rsidP="00615339">
            <w:pPr>
              <w:pStyle w:val="ListParagraph"/>
              <w:numPr>
                <w:ilvl w:val="0"/>
                <w:numId w:val="10"/>
              </w:numPr>
              <w:ind w:left="0" w:firstLine="0"/>
              <w:jc w:val="both"/>
            </w:pPr>
            <w:r>
              <w:t xml:space="preserve">The rational for the </w:t>
            </w:r>
            <w:r w:rsidRPr="00234A04">
              <w:rPr>
                <w:u w:val="single"/>
              </w:rPr>
              <w:t>second restructuring</w:t>
            </w:r>
            <w:r>
              <w:t xml:space="preserve"> was primarily to allow existing students to complete the calendar year of 2024 by continuing the CCT payments. By this time, the project had already met its targets, and the restructuring was an opportunity to go above and beyond those targets. Additionally, the reallocation also allowed for continuation of payments to TSSF beneficiaries and functioning of the CSU till the end of the extension period. The restructuring did not impact the ToC.</w:t>
            </w:r>
          </w:p>
        </w:tc>
      </w:tr>
    </w:tbl>
    <w:p w14:paraId="4E257ABD" w14:textId="77777777" w:rsidR="00447EA0" w:rsidRDefault="00447EA0" w:rsidP="00447EA0"/>
    <w:p w14:paraId="0EE29548" w14:textId="77777777" w:rsidR="00557395" w:rsidRDefault="00557395" w:rsidP="00447EA0"/>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122C1E23" w14:textId="77777777" w:rsidTr="00DE64B3">
        <w:trPr>
          <w:trHeight w:val="403"/>
        </w:trPr>
        <w:tc>
          <w:tcPr>
            <w:tcW w:w="10980" w:type="dxa"/>
            <w:shd w:val="clear" w:color="auto" w:fill="F2F7FC"/>
            <w:vAlign w:val="center"/>
          </w:tcPr>
          <w:p w14:paraId="25859EDC" w14:textId="77777777" w:rsidR="00447EA0" w:rsidRPr="00DD5666" w:rsidRDefault="00D310E2" w:rsidP="00A15F63">
            <w:pPr>
              <w:pStyle w:val="Heading3"/>
              <w:keepNext w:val="0"/>
              <w:keepLines w:val="0"/>
              <w:numPr>
                <w:ilvl w:val="0"/>
                <w:numId w:val="2"/>
              </w:numPr>
              <w:ind w:left="345" w:hanging="187"/>
              <w:rPr>
                <w:noProof/>
              </w:rPr>
            </w:pPr>
            <w:bookmarkStart w:id="9" w:name="_Toc78351305_0"/>
            <w:bookmarkStart w:id="10" w:name="_Toc198922296"/>
            <w:bookmarkStart w:id="11" w:name="_Hlk78994324_0"/>
            <w:r>
              <w:rPr>
                <w:rFonts w:eastAsia="Times New Roman"/>
              </w:rPr>
              <w:t>OUTCOME</w:t>
            </w:r>
            <w:bookmarkEnd w:id="9"/>
            <w:bookmarkEnd w:id="10"/>
          </w:p>
        </w:tc>
      </w:tr>
      <w:bookmarkEnd w:id="11"/>
    </w:tbl>
    <w:p w14:paraId="418CF1BE" w14:textId="77777777" w:rsidR="00CE7E5B" w:rsidRDefault="00CE7E5B" w:rsidP="00447EA0"/>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6E60850F" w14:textId="77777777" w:rsidTr="004668AD">
        <w:trPr>
          <w:trHeight w:val="403"/>
        </w:trPr>
        <w:tc>
          <w:tcPr>
            <w:tcW w:w="10980" w:type="dxa"/>
            <w:shd w:val="clear" w:color="auto" w:fill="auto"/>
            <w:vAlign w:val="center"/>
          </w:tcPr>
          <w:p w14:paraId="5722D55F" w14:textId="77777777" w:rsidR="00DE64B3" w:rsidRPr="00234A04" w:rsidRDefault="00D310E2" w:rsidP="007F0BED">
            <w:pPr>
              <w:pStyle w:val="ListParagraph"/>
              <w:numPr>
                <w:ilvl w:val="0"/>
                <w:numId w:val="4"/>
              </w:numPr>
              <w:spacing w:line="259" w:lineRule="auto"/>
              <w:ind w:left="-15" w:firstLine="180"/>
              <w:jc w:val="both"/>
              <w:rPr>
                <w:b/>
                <w:bCs/>
              </w:rPr>
            </w:pPr>
            <w:bookmarkStart w:id="12" w:name="_Hlk78994478_0"/>
            <w:r w:rsidRPr="00234A04">
              <w:rPr>
                <w:rFonts w:eastAsia="Calibri" w:cstheme="minorHAnsi"/>
                <w:b/>
                <w:bCs/>
              </w:rPr>
              <w:lastRenderedPageBreak/>
              <w:t>RELEVANCE OF PDO</w:t>
            </w:r>
          </w:p>
        </w:tc>
      </w:tr>
      <w:bookmarkEnd w:id="12"/>
    </w:tbl>
    <w:p w14:paraId="07DD91B4" w14:textId="77777777" w:rsidR="00CA25DD" w:rsidRDefault="00CA25DD" w:rsidP="00E159FF">
      <w:pPr>
        <w:jc w:val="both"/>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DD6229" w14:paraId="4E0C1556" w14:textId="77777777" w:rsidTr="003A1ED2">
        <w:trPr>
          <w:trHeight w:val="872"/>
        </w:trPr>
        <w:tc>
          <w:tcPr>
            <w:tcW w:w="10890" w:type="dxa"/>
          </w:tcPr>
          <w:p w14:paraId="1341A4F2" w14:textId="5E579C99" w:rsidR="00234A04" w:rsidRDefault="00234A04" w:rsidP="00615339">
            <w:pPr>
              <w:pStyle w:val="ListParagraph"/>
              <w:numPr>
                <w:ilvl w:val="0"/>
                <w:numId w:val="10"/>
              </w:numPr>
              <w:ind w:left="0" w:firstLine="0"/>
              <w:jc w:val="both"/>
            </w:pPr>
            <w:r>
              <w:t xml:space="preserve">The Project’s objectives and activities were closely aligned with at the time of appraisal and remain relevant at the time of closing to Tonga’s national strategic plans and the World Bank’s partnership framework. Each of the first three Project components contributed to a specific national outcome outlined in Tonga’s Strategic Development Framework 2015–2025. The CCT provided incentives to build human capital, encourage equal opportunities for men and women, and strengthen TVET, contributing to national outcomes A (dynamic knowledge‐based economy) and C (human development with gender equality). Facilitating better access to overseas employment contributed to national outcome G </w:t>
            </w:r>
            <w:r w:rsidRPr="00EE4382">
              <w:t>(external interests and sovereignty).</w:t>
            </w:r>
            <w:r>
              <w:t xml:space="preserve"> The PDO remains well-aligned </w:t>
            </w:r>
            <w:r w:rsidR="00245FDB">
              <w:t>with RPF</w:t>
            </w:r>
            <w:r w:rsidRPr="000876CE">
              <w:t xml:space="preserve"> Outcome 2: Strengthened Critical Infrastructure for Connectivity and Resilience </w:t>
            </w:r>
            <w:r>
              <w:t xml:space="preserve">and </w:t>
            </w:r>
            <w:r w:rsidRPr="000A1221">
              <w:t>Outcome 3: Improved Human Development Outcomes</w:t>
            </w:r>
            <w:r>
              <w:t xml:space="preserve"> of the new PIC9 RPF </w:t>
            </w:r>
            <w:r w:rsidRPr="00E95024">
              <w:t>FY26-FY31</w:t>
            </w:r>
            <w:r>
              <w:t>.</w:t>
            </w:r>
            <w:r>
              <w:rPr>
                <w:rStyle w:val="FootnoteReference"/>
              </w:rPr>
              <w:footnoteReference w:id="9"/>
            </w:r>
          </w:p>
          <w:p w14:paraId="202C83BF" w14:textId="77777777" w:rsidR="00234A04" w:rsidRDefault="00234A04" w:rsidP="00E159FF">
            <w:pPr>
              <w:pStyle w:val="ListParagraph"/>
              <w:ind w:left="360"/>
              <w:jc w:val="both"/>
            </w:pPr>
          </w:p>
          <w:p w14:paraId="579179F8" w14:textId="77DE0E7B" w:rsidR="00234A04" w:rsidRDefault="00234A04" w:rsidP="00615339">
            <w:pPr>
              <w:pStyle w:val="ListParagraph"/>
              <w:numPr>
                <w:ilvl w:val="0"/>
                <w:numId w:val="10"/>
              </w:numPr>
              <w:ind w:left="0" w:firstLine="0"/>
              <w:jc w:val="both"/>
            </w:pPr>
            <w:r w:rsidRPr="00234A04">
              <w:t>The Project continues to be aligned with recent country priorities and frameworks. The Pacific Islands Systematic Country Diagnostic Update 2023 identifies country priorities for Tonga, with the Project’s activities contributing to at least three priority areas – namely, “Enhance labor mobility opportunities”, “Improve quality of education and increase access to secondary and higher education, and “Develop adaptive social protection systems.” Additionally, the SET Project’s first restructuring responded to the COVID-19 recovery agenda set forth in the World Bank’s Global Crisis Response Framework (July 2022) by adding new activities and scaling up existing activities to serve vulnerable groups. Specifically, the activities were aligned with “supporting vulnerable groups, protecting people and preserving jobs through investments in education and labor mobility opportunities, and strengthening resilience, policies, institutions and building better outcomes” through the combination of supply and demand measures to support resilience.</w:t>
            </w:r>
          </w:p>
          <w:p w14:paraId="78FE2996" w14:textId="77777777" w:rsidR="00234A04" w:rsidRDefault="00234A04" w:rsidP="00E159FF">
            <w:pPr>
              <w:jc w:val="both"/>
            </w:pPr>
          </w:p>
          <w:p w14:paraId="7C9E400F" w14:textId="77777777" w:rsidR="00A93EB1" w:rsidRPr="00234A04" w:rsidRDefault="00D310E2" w:rsidP="00E159FF">
            <w:pPr>
              <w:jc w:val="both"/>
              <w:rPr>
                <w:b/>
                <w:bCs/>
              </w:rPr>
            </w:pPr>
            <w:r w:rsidRPr="00234A04">
              <w:rPr>
                <w:b/>
                <w:bCs/>
              </w:rPr>
              <w:t>Assessment of Relevance of PDOs and Rating</w:t>
            </w:r>
          </w:p>
          <w:p w14:paraId="5A2B669A" w14:textId="725CE064" w:rsidR="00234A04" w:rsidRPr="00234A04" w:rsidRDefault="00234A04" w:rsidP="00615339">
            <w:pPr>
              <w:pStyle w:val="ListParagraph"/>
              <w:numPr>
                <w:ilvl w:val="0"/>
                <w:numId w:val="10"/>
              </w:numPr>
              <w:ind w:left="0" w:firstLine="0"/>
              <w:jc w:val="both"/>
              <w:rPr>
                <w:rFonts w:eastAsia="Calibri" w:cstheme="minorHAnsi"/>
              </w:rPr>
            </w:pPr>
            <w:r w:rsidRPr="2C83189D">
              <w:rPr>
                <w:rFonts w:eastAsia="Calibri"/>
              </w:rPr>
              <w:t xml:space="preserve">Relevance of PDOs is </w:t>
            </w:r>
            <w:r w:rsidRPr="000026FB">
              <w:rPr>
                <w:rFonts w:eastAsia="Calibri"/>
              </w:rPr>
              <w:t xml:space="preserve">rated </w:t>
            </w:r>
            <w:r w:rsidRPr="00615339">
              <w:rPr>
                <w:rFonts w:eastAsia="Calibri"/>
              </w:rPr>
              <w:t>High i</w:t>
            </w:r>
            <w:r w:rsidRPr="000026FB">
              <w:rPr>
                <w:rFonts w:eastAsia="Calibri"/>
              </w:rPr>
              <w:t>n view of their continued relevance to the World Bank’s RPF for PIC9 and the GoT’s national priorities. The Project responded appropriately to altered circumstances induced by the triple crisis affecting Tonga through</w:t>
            </w:r>
            <w:r w:rsidRPr="2C83189D">
              <w:rPr>
                <w:rFonts w:eastAsia="Calibri"/>
              </w:rPr>
              <w:t xml:space="preserve"> the first restructuring approved in 2022. </w:t>
            </w:r>
          </w:p>
        </w:tc>
      </w:tr>
    </w:tbl>
    <w:p w14:paraId="21E2AF69" w14:textId="77777777" w:rsidR="000A108E" w:rsidRDefault="000A108E" w:rsidP="00E159FF">
      <w:pPr>
        <w:jc w:val="both"/>
      </w:pPr>
    </w:p>
    <w:tbl>
      <w:tblPr>
        <w:tblStyle w:val="TableGrid"/>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gridCol w:w="270"/>
      </w:tblGrid>
      <w:tr w:rsidR="00DD6229" w14:paraId="34499DA0" w14:textId="77777777" w:rsidTr="003A1ED2">
        <w:trPr>
          <w:trHeight w:val="403"/>
        </w:trPr>
        <w:tc>
          <w:tcPr>
            <w:tcW w:w="11250" w:type="dxa"/>
            <w:gridSpan w:val="2"/>
            <w:shd w:val="clear" w:color="auto" w:fill="auto"/>
            <w:vAlign w:val="center"/>
          </w:tcPr>
          <w:p w14:paraId="107003AC" w14:textId="77777777" w:rsidR="00FC529D" w:rsidRPr="00234A04" w:rsidRDefault="00D310E2" w:rsidP="007F0BED">
            <w:pPr>
              <w:pStyle w:val="ListParagraph"/>
              <w:numPr>
                <w:ilvl w:val="0"/>
                <w:numId w:val="4"/>
              </w:numPr>
              <w:spacing w:line="259" w:lineRule="auto"/>
              <w:ind w:left="0" w:firstLine="165"/>
              <w:jc w:val="both"/>
              <w:rPr>
                <w:b/>
                <w:bCs/>
              </w:rPr>
            </w:pPr>
            <w:r w:rsidRPr="00234A04">
              <w:rPr>
                <w:rFonts w:eastAsia="Calibri" w:cstheme="minorHAnsi"/>
                <w:b/>
                <w:bCs/>
              </w:rPr>
              <w:t>ACHIEVEMENT OF PDOs (EFFICACY)</w:t>
            </w:r>
          </w:p>
        </w:tc>
      </w:tr>
      <w:tr w:rsidR="00DD6229" w14:paraId="050032AD" w14:textId="77777777" w:rsidTr="003A1ED2">
        <w:tblPrEx>
          <w:shd w:val="clear" w:color="auto" w:fill="auto"/>
        </w:tblPrEx>
        <w:trPr>
          <w:gridAfter w:val="1"/>
          <w:wAfter w:w="270" w:type="dxa"/>
          <w:trHeight w:val="872"/>
        </w:trPr>
        <w:tc>
          <w:tcPr>
            <w:tcW w:w="10980" w:type="dxa"/>
          </w:tcPr>
          <w:p w14:paraId="240CD003" w14:textId="3CCA051D" w:rsidR="00234A04" w:rsidRDefault="00234A04" w:rsidP="005768B0">
            <w:pPr>
              <w:pStyle w:val="ListParagraph"/>
              <w:numPr>
                <w:ilvl w:val="0"/>
                <w:numId w:val="10"/>
              </w:numPr>
              <w:ind w:left="0"/>
              <w:jc w:val="both"/>
            </w:pPr>
            <w:r w:rsidRPr="00234A04">
              <w:t>The Project achieved its objectives, as measured by the PDO indicators and IRIs in the RF.</w:t>
            </w:r>
          </w:p>
          <w:p w14:paraId="17832DF5" w14:textId="77777777" w:rsidR="00234A04" w:rsidRDefault="00234A04" w:rsidP="005768B0">
            <w:pPr>
              <w:jc w:val="both"/>
            </w:pPr>
          </w:p>
          <w:p w14:paraId="4FC5AC9B" w14:textId="77777777" w:rsidR="000A1D92" w:rsidRPr="00234A04" w:rsidRDefault="00D310E2" w:rsidP="005768B0">
            <w:pPr>
              <w:jc w:val="both"/>
              <w:rPr>
                <w:b/>
                <w:bCs/>
              </w:rPr>
            </w:pPr>
            <w:r w:rsidRPr="00234A04">
              <w:rPr>
                <w:b/>
                <w:bCs/>
              </w:rPr>
              <w:t>Assessment of Achievement of Each Objective/Outcome</w:t>
            </w:r>
          </w:p>
          <w:p w14:paraId="0A41FE94" w14:textId="77777777" w:rsidR="00234A04" w:rsidRDefault="00234A04" w:rsidP="005768B0">
            <w:pPr>
              <w:jc w:val="both"/>
            </w:pPr>
          </w:p>
          <w:p w14:paraId="75A2E38B" w14:textId="425598EF" w:rsidR="00234A04" w:rsidRPr="00234A04" w:rsidRDefault="00234A04" w:rsidP="005768B0">
            <w:pPr>
              <w:jc w:val="both"/>
              <w:rPr>
                <w:b/>
                <w:bCs/>
              </w:rPr>
            </w:pPr>
            <w:r w:rsidRPr="00234A04">
              <w:rPr>
                <w:b/>
                <w:bCs/>
              </w:rPr>
              <w:t>PDO 1 - To improve opportunities for secondary school progression: Achieved</w:t>
            </w:r>
          </w:p>
        </w:tc>
      </w:tr>
      <w:tr w:rsidR="00DD6229" w14:paraId="14A4DBCF" w14:textId="77777777" w:rsidTr="003A1ED2">
        <w:tblPrEx>
          <w:shd w:val="clear" w:color="auto" w:fill="auto"/>
        </w:tblPrEx>
        <w:trPr>
          <w:gridAfter w:val="1"/>
          <w:wAfter w:w="270" w:type="dxa"/>
          <w:trHeight w:val="872"/>
        </w:trPr>
        <w:tc>
          <w:tcPr>
            <w:tcW w:w="10980" w:type="dxa"/>
          </w:tcPr>
          <w:p w14:paraId="35A3D939" w14:textId="43353F81" w:rsidR="00234A04" w:rsidRDefault="18ADB97F" w:rsidP="005768B0">
            <w:pPr>
              <w:pStyle w:val="ListParagraph"/>
              <w:numPr>
                <w:ilvl w:val="0"/>
                <w:numId w:val="10"/>
              </w:numPr>
              <w:ind w:left="0" w:firstLine="15"/>
              <w:jc w:val="both"/>
            </w:pPr>
            <w:r>
              <w:t>The CCT program has surpassed expectations, reaching around 2,478 families or 5,317 students at the time of closing in 2024. More than half of the beneficiary students (2,762) are females. An IRI tracked the total number of households registered in the CCT program with an end target of 1,500 – which was also exceed</w:t>
            </w:r>
            <w:r w:rsidR="00C57A8B">
              <w:t>ed</w:t>
            </w:r>
            <w:r>
              <w:t>. On average, each CCT beneficiary attended school at least 80 percent of the time, denoting a 100 percent achievement of an IRI that tracked attendance, surpassing the 70 percent end target. In addition to improving access to secondary school, the SET Project also yielded positive results in progression among students. The Project supported 94% of beneficiary students to complete the grade they were enrolled in and 80% to transition to the next grade or TVET. These results exceed targets set for PDOIs 1, 2, 3, and 4.</w:t>
            </w:r>
          </w:p>
          <w:p w14:paraId="356D09A8" w14:textId="77777777" w:rsidR="00234A04" w:rsidRDefault="00234A04" w:rsidP="005768B0">
            <w:pPr>
              <w:pStyle w:val="ListParagraph"/>
              <w:ind w:left="0"/>
              <w:jc w:val="both"/>
            </w:pPr>
          </w:p>
          <w:p w14:paraId="09FDD05F" w14:textId="3DDC4724" w:rsidR="00234A04" w:rsidRDefault="18ADB97F" w:rsidP="005768B0">
            <w:pPr>
              <w:pStyle w:val="ListParagraph"/>
              <w:numPr>
                <w:ilvl w:val="0"/>
                <w:numId w:val="10"/>
              </w:numPr>
              <w:ind w:left="0" w:firstLine="15"/>
              <w:jc w:val="both"/>
            </w:pPr>
            <w:r>
              <w:t>Although the CCT program started late owing to the pandemic-induced school closures – schools closed for four months from the beginning of February to the end of May 2022 – the financing was used to provide a one-off payment to beneficiaries in 2020. Establishment of the CCT program prior to the pandemic helped the government use the program as an adaptive social protection measure when vulnerable Tongans were most in need. To support the CCT program, an MIS was successfully established, albeit with delays, and is functioning at the time of closing.</w:t>
            </w:r>
          </w:p>
          <w:p w14:paraId="7F676CB5" w14:textId="77777777" w:rsidR="00234A04" w:rsidRDefault="00234A04" w:rsidP="005768B0">
            <w:pPr>
              <w:pStyle w:val="ListParagraph"/>
              <w:ind w:left="0"/>
              <w:jc w:val="both"/>
            </w:pPr>
          </w:p>
          <w:p w14:paraId="6485E322" w14:textId="1DE9E7EF" w:rsidR="00234A04" w:rsidRDefault="00A226CE" w:rsidP="005768B0">
            <w:pPr>
              <w:pStyle w:val="ListParagraph"/>
              <w:numPr>
                <w:ilvl w:val="0"/>
                <w:numId w:val="10"/>
              </w:numPr>
              <w:ind w:left="0" w:firstLine="15"/>
              <w:jc w:val="both"/>
            </w:pPr>
            <w:r>
              <w:t xml:space="preserve">Project administrative data shows that </w:t>
            </w:r>
            <w:r w:rsidR="003F02C5">
              <w:t>CCT</w:t>
            </w:r>
            <w:r>
              <w:t xml:space="preserve"> was well targeted </w:t>
            </w:r>
            <w:r w:rsidR="003F02C5">
              <w:t>at</w:t>
            </w:r>
            <w:r>
              <w:t xml:space="preserve"> households with a PMT score indicating that they were poor.</w:t>
            </w:r>
            <w:r w:rsidR="006E38C8">
              <w:rPr>
                <w:rStyle w:val="FootnoteReference"/>
              </w:rPr>
              <w:footnoteReference w:id="10"/>
            </w:r>
            <w:r>
              <w:t xml:space="preserve"> </w:t>
            </w:r>
            <w:r w:rsidR="0095700E">
              <w:t>Out</w:t>
            </w:r>
            <w:r w:rsidR="0014614D">
              <w:t xml:space="preserve"> of the </w:t>
            </w:r>
            <w:r w:rsidR="0014614D" w:rsidRPr="0014614D">
              <w:t>3,322 households who were potentially eligible for the CCT program</w:t>
            </w:r>
            <w:r w:rsidR="001E2FDE">
              <w:t xml:space="preserve"> at baseline</w:t>
            </w:r>
            <w:r w:rsidR="0014614D" w:rsidRPr="0014614D">
              <w:t>, 2,652 households (79.8%) were considered poor with an average PMT score of 7.29, and 670 were non-poor (20.2%, average PMT score of 1.96).</w:t>
            </w:r>
            <w:r w:rsidR="00FC6D9B">
              <w:t xml:space="preserve"> </w:t>
            </w:r>
            <w:r w:rsidR="00ED5099">
              <w:t>Per a baseline report using administrative data on payments</w:t>
            </w:r>
            <w:r w:rsidR="001E2FDE">
              <w:t xml:space="preserve"> and a baseline PMT survey</w:t>
            </w:r>
            <w:r w:rsidR="00ED5099">
              <w:t xml:space="preserve"> noted that none to very few</w:t>
            </w:r>
            <w:r>
              <w:t xml:space="preserve"> households with a PMT below the cut-off participated</w:t>
            </w:r>
            <w:r w:rsidR="003043C1">
              <w:t>,</w:t>
            </w:r>
            <w:r>
              <w:t xml:space="preserve"> indicating that there was high compliance with the PMT targeting system.</w:t>
            </w:r>
            <w:r w:rsidR="00AB27CD">
              <w:rPr>
                <w:rStyle w:val="FootnoteReference"/>
              </w:rPr>
              <w:footnoteReference w:id="11"/>
            </w:r>
            <w:r w:rsidR="00FE54D5">
              <w:t xml:space="preserve"> Moreover, </w:t>
            </w:r>
            <w:r w:rsidR="00FE54D5" w:rsidRPr="00FE54D5">
              <w:t>participation amongst eligible households increases with PMT scores (i.e.</w:t>
            </w:r>
            <w:r w:rsidR="00573596">
              <w:t>,</w:t>
            </w:r>
            <w:r w:rsidR="00FE54D5" w:rsidRPr="00FE54D5">
              <w:t xml:space="preserve"> poorer households </w:t>
            </w:r>
            <w:r w:rsidR="00573596">
              <w:t>were</w:t>
            </w:r>
            <w:r w:rsidR="00FE54D5" w:rsidRPr="00FE54D5">
              <w:t xml:space="preserve"> broadly more likely to join the CCT program). However, not all eligible households joined the program, even if they had a high PMT score; aside from some poor households not having secondary school students in the household, the reasons for this remain unclear and require further investigation.</w:t>
            </w:r>
            <w:r>
              <w:t xml:space="preserve"> </w:t>
            </w:r>
            <w:r w:rsidR="00573596">
              <w:t xml:space="preserve">Overall, </w:t>
            </w:r>
            <w:r w:rsidR="18ADB97F">
              <w:t xml:space="preserve">as targeted by the Project, the CCT program </w:t>
            </w:r>
            <w:r w:rsidR="004E2247">
              <w:t>provides</w:t>
            </w:r>
            <w:r w:rsidR="18ADB97F">
              <w:t xml:space="preserve"> a successful example for similar contexts implementing an anti-poverty social protection program.</w:t>
            </w:r>
          </w:p>
          <w:p w14:paraId="263C54B7" w14:textId="77777777" w:rsidR="003F7FBE" w:rsidRDefault="003F7FBE" w:rsidP="005768B0">
            <w:pPr>
              <w:pStyle w:val="ListParagraph"/>
              <w:ind w:left="0"/>
              <w:jc w:val="both"/>
            </w:pPr>
          </w:p>
          <w:p w14:paraId="22A81BB9" w14:textId="514B518C" w:rsidR="003F7FBE" w:rsidRDefault="003F7FBE" w:rsidP="005768B0">
            <w:pPr>
              <w:pStyle w:val="ListParagraph"/>
              <w:numPr>
                <w:ilvl w:val="0"/>
                <w:numId w:val="10"/>
              </w:numPr>
              <w:ind w:left="0" w:firstLine="15"/>
              <w:jc w:val="both"/>
            </w:pPr>
            <w:r w:rsidRPr="003F7FBE">
              <w:t>The average completion rate of project-supported TVET programs was 79 percent, exceeding a target of 77 percent. Among females, the average completion rate was even higher at 81 percent.</w:t>
            </w:r>
            <w:r w:rsidR="000279A4">
              <w:t xml:space="preserve"> A follow-up survey </w:t>
            </w:r>
            <w:r w:rsidR="00266056">
              <w:t xml:space="preserve">conducted between October and December 2024 </w:t>
            </w:r>
            <w:r w:rsidR="000279A4">
              <w:t>showed that out of 679 student respondents</w:t>
            </w:r>
            <w:r w:rsidR="00A36953">
              <w:t xml:space="preserve"> who received the cash transfer, most of them are still </w:t>
            </w:r>
            <w:r w:rsidR="00FF7D62">
              <w:t xml:space="preserve">engaged in education: with 63.6% still </w:t>
            </w:r>
            <w:r w:rsidR="00A36953">
              <w:t>in school</w:t>
            </w:r>
            <w:r w:rsidR="00FF7D62">
              <w:t xml:space="preserve">, 6.3% attending TVET, and 2.4% attending </w:t>
            </w:r>
            <w:r w:rsidR="00BF63AE">
              <w:t>university</w:t>
            </w:r>
            <w:r w:rsidR="00FF7D62">
              <w:t>.</w:t>
            </w:r>
            <w:r w:rsidR="004229FE">
              <w:rPr>
                <w:rStyle w:val="FootnoteReference"/>
              </w:rPr>
              <w:footnoteReference w:id="12"/>
            </w:r>
          </w:p>
          <w:p w14:paraId="030B29B3" w14:textId="77777777" w:rsidR="003F7FBE" w:rsidRDefault="003F7FBE" w:rsidP="005768B0">
            <w:pPr>
              <w:jc w:val="both"/>
            </w:pPr>
          </w:p>
          <w:p w14:paraId="58538247" w14:textId="14E922B6" w:rsidR="00F430B1" w:rsidRDefault="00F430B1" w:rsidP="005768B0">
            <w:pPr>
              <w:jc w:val="both"/>
            </w:pPr>
            <w:r w:rsidRPr="00F430B1">
              <w:rPr>
                <w:b/>
                <w:bCs/>
              </w:rPr>
              <w:t>PDO 2 – To facilitate the transition to jobs in the domestic and overseas labor markets: Achieved</w:t>
            </w:r>
          </w:p>
          <w:p w14:paraId="3EBA102B" w14:textId="1E2F607F" w:rsidR="003F7FBE" w:rsidRDefault="6C96F2C8" w:rsidP="005768B0">
            <w:pPr>
              <w:pStyle w:val="ListParagraph"/>
              <w:numPr>
                <w:ilvl w:val="0"/>
                <w:numId w:val="10"/>
              </w:numPr>
              <w:ind w:left="0" w:firstLine="15"/>
              <w:jc w:val="both"/>
            </w:pPr>
            <w:r>
              <w:t>Despite the pandemic-induced border closures dramatically restricting overseas labor mobility, SET was able to train and employ workers abroad.</w:t>
            </w:r>
            <w:r w:rsidR="0006537A">
              <w:t xml:space="preserve"> As noted in the restructuring details above, DFAT’s</w:t>
            </w:r>
            <w:r w:rsidR="003138FF">
              <w:t xml:space="preserve"> PLF did not impact SET’s objectives, but</w:t>
            </w:r>
            <w:r w:rsidR="00173D91">
              <w:t xml:space="preserve"> rather the </w:t>
            </w:r>
            <w:r w:rsidR="000E0167">
              <w:t xml:space="preserve">Project was restructured to ensure </w:t>
            </w:r>
            <w:r w:rsidR="00747173">
              <w:t>that SET’s activities complemented the PLF.</w:t>
            </w:r>
            <w:r w:rsidR="003138FF">
              <w:t xml:space="preserve"> </w:t>
            </w:r>
            <w:r>
              <w:t xml:space="preserve"> Keeping with the positive results of the first PDO, this PDO also surpassed all its targets. SET supported the access to employment opportunities for 2,878 Tongans in the work-ready pool (target was 2,000). The achievement of this PDOI among females was almost double as compared to the target – benefitting 944 females by the end of the Project.</w:t>
            </w:r>
            <w:r w:rsidR="009550D8">
              <w:t xml:space="preserve"> </w:t>
            </w:r>
            <w:r>
              <w:t xml:space="preserve">The volume of Tongans in the work-ready pool as of 2024 is 5,759– </w:t>
            </w:r>
            <w:r w:rsidR="4C67FF5C">
              <w:t xml:space="preserve">significantly </w:t>
            </w:r>
            <w:r>
              <w:t>surpassing the target of 1,600. Pre-departure training was provided for 13,778 workers</w:t>
            </w:r>
            <w:r w:rsidR="00755245">
              <w:t xml:space="preserve">, vs </w:t>
            </w:r>
            <w:r w:rsidR="009D76FF">
              <w:t>the</w:t>
            </w:r>
            <w:r w:rsidR="00755245">
              <w:t xml:space="preserve"> original target of 8</w:t>
            </w:r>
            <w:r w:rsidR="001467C7">
              <w:t>,000</w:t>
            </w:r>
            <w:r>
              <w:t>.</w:t>
            </w:r>
          </w:p>
          <w:p w14:paraId="6B805BEA" w14:textId="77777777" w:rsidR="003F7FBE" w:rsidRDefault="003F7FBE" w:rsidP="005768B0">
            <w:pPr>
              <w:pStyle w:val="ListParagraph"/>
              <w:ind w:left="0"/>
              <w:jc w:val="both"/>
            </w:pPr>
          </w:p>
          <w:p w14:paraId="28F21E47" w14:textId="2A298690" w:rsidR="003F7FBE" w:rsidRDefault="003F7FBE" w:rsidP="005768B0">
            <w:pPr>
              <w:pStyle w:val="ListParagraph"/>
              <w:numPr>
                <w:ilvl w:val="0"/>
                <w:numId w:val="10"/>
              </w:numPr>
              <w:ind w:left="0" w:firstLine="15"/>
              <w:jc w:val="both"/>
            </w:pPr>
            <w:r w:rsidRPr="003F7FBE">
              <w:t xml:space="preserve">By way of exceeding expectations, SET has shown promise in supporting women preparing to migrate as well as for designing targeted outreach and tailored training opportunities. SET built onto existing labor mobility schemes by focusing community outreach to vulnerable groups such as those from outer islands and females. Project data shows that women represent 34 percent of participants in the work-ready Tongans pool in 2024 (Project data, MIA), up from 32 percent in 2019 (Gould and Wai-Poi, 2023). Additionally, recruitment reforms and targeted outreach – using low-technology communications tools such as television and radio to reach the vulnerable populations – significantly </w:t>
            </w:r>
            <w:r w:rsidRPr="003F7FBE">
              <w:lastRenderedPageBreak/>
              <w:t>increased female participation (34%), demonstrating that policy adjustments and awareness campaigns can help overcome gender biases in labor mobility.</w:t>
            </w:r>
          </w:p>
          <w:p w14:paraId="2792857B" w14:textId="77777777" w:rsidR="009D6D60" w:rsidRDefault="009D6D60" w:rsidP="005768B0">
            <w:pPr>
              <w:pStyle w:val="ListParagraph"/>
              <w:ind w:left="0"/>
            </w:pPr>
          </w:p>
          <w:p w14:paraId="24E60675" w14:textId="04FBA316" w:rsidR="009D6D60" w:rsidRDefault="009D6D60" w:rsidP="005768B0">
            <w:pPr>
              <w:pStyle w:val="ListParagraph"/>
              <w:numPr>
                <w:ilvl w:val="0"/>
                <w:numId w:val="10"/>
              </w:numPr>
              <w:ind w:left="0" w:firstLine="15"/>
              <w:jc w:val="both"/>
            </w:pPr>
            <w:r w:rsidRPr="00615339">
              <w:rPr>
                <w:i/>
                <w:iCs/>
              </w:rPr>
              <w:t>A note on the CSU:</w:t>
            </w:r>
            <w:r w:rsidRPr="00F430B1">
              <w:t xml:space="preserve"> The CSU was an important part of the Project, in that, it provided the necessary capacity boost within the IAs to achieve the stated outcomes of SET. To this end, the CSU contributed to one of the key broader goals of SET – to enhance skills among Tongans. As inferred from project documents, the CSU was introduced simply to reduce duplication across World Bank-financed projects. It did not rise to the level of a PDO because it wasn’t project-specific nor sector-specific. However, the RF included indicators to measure performance of the CSU, which indicate that the CSU surpassed its target expectations by completing transactions within service standards. </w:t>
            </w:r>
            <w:proofErr w:type="gramStart"/>
            <w:r w:rsidRPr="00F430B1">
              <w:t>A majority of</w:t>
            </w:r>
            <w:proofErr w:type="gramEnd"/>
            <w:r w:rsidRPr="00F430B1">
              <w:t xml:space="preserve"> the PMU staff rate the CSU’s services as satisfactory – as indicated by both, an IRI and qualitative interviews conducted with the PMU and IAs’ staff as part of the ICR process.</w:t>
            </w:r>
          </w:p>
          <w:p w14:paraId="0CE7884A" w14:textId="77777777" w:rsidR="00234A04" w:rsidRDefault="00234A04" w:rsidP="005768B0">
            <w:pPr>
              <w:jc w:val="both"/>
            </w:pPr>
          </w:p>
          <w:p w14:paraId="2A4BD6CB" w14:textId="77777777" w:rsidR="000A1D92" w:rsidRPr="00F430B1" w:rsidRDefault="00D310E2" w:rsidP="005768B0">
            <w:pPr>
              <w:jc w:val="both"/>
              <w:rPr>
                <w:b/>
                <w:bCs/>
              </w:rPr>
            </w:pPr>
            <w:r w:rsidRPr="00F430B1">
              <w:rPr>
                <w:b/>
                <w:bCs/>
              </w:rPr>
              <w:t>Justification of Overall Efficacy Rating</w:t>
            </w:r>
          </w:p>
          <w:p w14:paraId="73A4CEF7" w14:textId="6D6EA35F" w:rsidR="00F430B1" w:rsidRDefault="00F430B1" w:rsidP="005768B0">
            <w:pPr>
              <w:pStyle w:val="ListParagraph"/>
              <w:numPr>
                <w:ilvl w:val="0"/>
                <w:numId w:val="10"/>
              </w:numPr>
              <w:ind w:left="0" w:firstLine="15"/>
              <w:jc w:val="both"/>
            </w:pPr>
            <w:r w:rsidRPr="00F430B1">
              <w:t xml:space="preserve">Overall efficacy is rated </w:t>
            </w:r>
            <w:r w:rsidRPr="00615339">
              <w:t>High</w:t>
            </w:r>
            <w:r w:rsidRPr="00F430B1">
              <w:t>, as the Project met or</w:t>
            </w:r>
            <w:r>
              <w:t xml:space="preserve"> </w:t>
            </w:r>
            <w:r w:rsidRPr="00F430B1">
              <w:t>exceeded targets for all indicators in its RF, and thereby achieved its objectives.</w:t>
            </w:r>
          </w:p>
        </w:tc>
      </w:tr>
    </w:tbl>
    <w:p w14:paraId="495A73CB" w14:textId="77777777" w:rsidR="000A108E" w:rsidRDefault="000A108E" w:rsidP="005768B0"/>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11AE6C0C" w14:textId="77777777" w:rsidTr="00993CEF">
        <w:trPr>
          <w:trHeight w:val="403"/>
        </w:trPr>
        <w:tc>
          <w:tcPr>
            <w:tcW w:w="10980" w:type="dxa"/>
            <w:shd w:val="clear" w:color="auto" w:fill="auto"/>
            <w:vAlign w:val="center"/>
          </w:tcPr>
          <w:p w14:paraId="2E190A57" w14:textId="77777777" w:rsidR="000A1D92" w:rsidRPr="00ED51C1" w:rsidRDefault="00D310E2" w:rsidP="007F0BED">
            <w:pPr>
              <w:pStyle w:val="ListParagraph"/>
              <w:numPr>
                <w:ilvl w:val="0"/>
                <w:numId w:val="4"/>
              </w:numPr>
              <w:spacing w:line="259" w:lineRule="auto"/>
              <w:ind w:left="0" w:firstLine="255"/>
              <w:jc w:val="both"/>
              <w:rPr>
                <w:b/>
                <w:bCs/>
              </w:rPr>
            </w:pPr>
            <w:r w:rsidRPr="00ED51C1">
              <w:rPr>
                <w:rFonts w:eastAsia="Calibri" w:cstheme="minorHAnsi"/>
                <w:b/>
                <w:bCs/>
              </w:rPr>
              <w:t>EFFICIENCY</w:t>
            </w:r>
          </w:p>
        </w:tc>
      </w:tr>
    </w:tbl>
    <w:p w14:paraId="6B73C3ED" w14:textId="77777777" w:rsidR="000A1D92" w:rsidRDefault="000A1D92" w:rsidP="005768B0">
      <w:pPr>
        <w:jc w:val="both"/>
      </w:pP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tblGrid>
      <w:tr w:rsidR="00DD6229" w14:paraId="7DBEB23C" w14:textId="77777777" w:rsidTr="3C717346">
        <w:trPr>
          <w:trHeight w:val="872"/>
        </w:trPr>
        <w:tc>
          <w:tcPr>
            <w:tcW w:w="10710" w:type="dxa"/>
          </w:tcPr>
          <w:p w14:paraId="2A111A43" w14:textId="6092C83A" w:rsidR="00F430B1" w:rsidRPr="00F430B1" w:rsidRDefault="00F430B1" w:rsidP="005768B0">
            <w:pPr>
              <w:jc w:val="both"/>
              <w:rPr>
                <w:b/>
                <w:bCs/>
              </w:rPr>
            </w:pPr>
            <w:r w:rsidRPr="00F430B1">
              <w:rPr>
                <w:b/>
                <w:bCs/>
              </w:rPr>
              <w:t xml:space="preserve">Economic Impact </w:t>
            </w:r>
          </w:p>
          <w:p w14:paraId="0FEF8918" w14:textId="6CEC18C6" w:rsidR="00F430B1" w:rsidRDefault="00F430B1" w:rsidP="005768B0">
            <w:pPr>
              <w:pStyle w:val="ListParagraph"/>
              <w:numPr>
                <w:ilvl w:val="0"/>
                <w:numId w:val="10"/>
              </w:numPr>
              <w:ind w:left="0" w:firstLine="15"/>
              <w:jc w:val="both"/>
            </w:pPr>
            <w:r w:rsidRPr="00F430B1">
              <w:t xml:space="preserve">For </w:t>
            </w:r>
            <w:r w:rsidR="00F145E8">
              <w:t>c</w:t>
            </w:r>
            <w:r w:rsidRPr="00F430B1">
              <w:t xml:space="preserve">omponent 1, the number of households registered as CCT beneficiaries exceeded the endline target of 1,500 to 2,478 households. An overwhelming 95 percent of the beneficiary students completed an additional grade, exceeding the endline target of 80 percent. The program cost also increased from USD 6.5 million to 7.59 million. The economic analysis at the onset of the Project in 2018 used household survey data from 2009 and estimated the economic rate of return of the CCT program to be 34 percent with a benefit to cost </w:t>
            </w:r>
            <w:r w:rsidR="00245FDB" w:rsidRPr="00F430B1">
              <w:t>ratio (</w:t>
            </w:r>
            <w:r w:rsidRPr="00F430B1">
              <w:t>BCR) of 7.3. Updating the economic analysis with more recent household survey data from 2021 (HEIS 2021), under the same assumptions of program utilization and costs as in 2018, the economic rate of return is 28.9 percent. Considering the increased utilization of the program and increased costs, the economic rate of return is still positive, but lower at 25.1 percent and the BCR is 5.1.</w:t>
            </w:r>
          </w:p>
          <w:p w14:paraId="22CC8E5A" w14:textId="77777777" w:rsidR="00F430B1" w:rsidRDefault="00F430B1" w:rsidP="005768B0">
            <w:pPr>
              <w:pStyle w:val="ListParagraph"/>
              <w:ind w:left="0"/>
              <w:jc w:val="both"/>
            </w:pPr>
          </w:p>
          <w:p w14:paraId="469A6E9A" w14:textId="77777777" w:rsidR="00F430B1" w:rsidRDefault="00F430B1" w:rsidP="005768B0">
            <w:pPr>
              <w:pStyle w:val="ListParagraph"/>
              <w:numPr>
                <w:ilvl w:val="0"/>
                <w:numId w:val="10"/>
              </w:numPr>
              <w:ind w:left="0" w:firstLine="15"/>
              <w:jc w:val="both"/>
            </w:pPr>
            <w:r>
              <w:t xml:space="preserve">For component 2, the actual number of beneficiaries exceeded the target of 600 to 926 and the program costs increased from USD 3.7 million to 3.95 million. At the onset of the project, the economic analysis using HEIS 2009 found the internal   rate of return to be 160 percent and BCR is 36.6. Updating the analysis with actual program utilization and costs, and the expected wages of those with and without TVET education using 2021 household survey data, the economic return is significantly lowered, but still positive, at 77.4 percent with a BCR of 17.19. </w:t>
            </w:r>
          </w:p>
          <w:p w14:paraId="2D91D2C7" w14:textId="77777777" w:rsidR="00F430B1" w:rsidRDefault="00F430B1" w:rsidP="005768B0">
            <w:pPr>
              <w:pStyle w:val="ListParagraph"/>
              <w:ind w:left="0"/>
              <w:jc w:val="both"/>
            </w:pPr>
          </w:p>
          <w:p w14:paraId="4E4FE50C" w14:textId="06DB8496" w:rsidR="00F430B1" w:rsidRDefault="00F430B1" w:rsidP="005768B0">
            <w:pPr>
              <w:pStyle w:val="ListParagraph"/>
              <w:numPr>
                <w:ilvl w:val="0"/>
                <w:numId w:val="10"/>
              </w:numPr>
              <w:ind w:left="0" w:firstLine="15"/>
              <w:jc w:val="both"/>
            </w:pPr>
            <w:r>
              <w:t>For component 3, 12,607 workers completed the pre-departure training program, thus exceeding the target of 8,000 at the onset of the project. The program cost was reduced from USD 1.8 million to 1.3 million. The Project’s activities included during restructuring for those in the Outer islands also led to savings for Tongan workers: Four visits saved workers from Vava'u an estimated cost of USD 71,500 USD (TOP 171,000). Remarkably, the SET project spent only 3.3</w:t>
            </w:r>
            <w:r w:rsidR="00245FDB">
              <w:t>% of</w:t>
            </w:r>
            <w:r>
              <w:t xml:space="preserve"> what the 263 workers would have spent i.e., about TOP 6,000. The initial economic analysis estimated that the economic rate of return would be 214 percent and BCR of 13.26. Considering the increased utilization of the program, reduced costs and updated expected wages in line with the findings of the Pacific Labor Mobility Survey conducted between 2022-</w:t>
            </w:r>
            <w:r w:rsidR="3AEA5355">
              <w:t>23,</w:t>
            </w:r>
            <w:r w:rsidR="009B1DA6">
              <w:t xml:space="preserve"> </w:t>
            </w:r>
            <w:r>
              <w:t xml:space="preserve">the economic rate of return at project completion is still very high but lower than projected, at 150.5 percent with a BCR of 17.3. </w:t>
            </w:r>
          </w:p>
          <w:p w14:paraId="6203D9DF" w14:textId="77777777" w:rsidR="00801C4A" w:rsidRDefault="00801C4A" w:rsidP="005768B0">
            <w:pPr>
              <w:pStyle w:val="ListParagraph"/>
              <w:ind w:left="0"/>
            </w:pPr>
          </w:p>
          <w:p w14:paraId="008DFBDC" w14:textId="1D5A56C6" w:rsidR="00801C4A" w:rsidRDefault="00801C4A" w:rsidP="005768B0">
            <w:pPr>
              <w:pStyle w:val="ListParagraph"/>
              <w:numPr>
                <w:ilvl w:val="0"/>
                <w:numId w:val="10"/>
              </w:numPr>
              <w:ind w:left="0" w:firstLine="15"/>
              <w:jc w:val="both"/>
            </w:pPr>
            <w:r w:rsidRPr="007D0C0E">
              <w:rPr>
                <w:i/>
                <w:iCs/>
              </w:rPr>
              <w:lastRenderedPageBreak/>
              <w:t>A note on the CSU:</w:t>
            </w:r>
            <w:r>
              <w:t xml:space="preserve"> The CSU was originally allocated USD 6.9 million, which was reduced to USD 5 million over the course of implementation. Even though the allocation to the CSU was reduced over time, its responsibilities and targets remained unchanged. In the end, the CSU achieved more with less, indicating high efficiency. </w:t>
            </w:r>
            <w:r w:rsidRPr="001253E6">
              <w:t>The CSU faced multiple challenges during the early days of its establishment</w:t>
            </w:r>
            <w:r>
              <w:t xml:space="preserve"> such as </w:t>
            </w:r>
            <w:r w:rsidRPr="00F37B96">
              <w:t>significant delay</w:t>
            </w:r>
            <w:r>
              <w:t>s</w:t>
            </w:r>
            <w:r w:rsidRPr="00F37B96">
              <w:t xml:space="preserve"> in hiring staff</w:t>
            </w:r>
            <w:r>
              <w:t>,</w:t>
            </w:r>
            <w:r w:rsidRPr="00F37B96">
              <w:t xml:space="preserve"> a lack of on-the-ground staff with international experience</w:t>
            </w:r>
            <w:r>
              <w:t>,</w:t>
            </w:r>
            <w:r w:rsidRPr="00F37B96">
              <w:t xml:space="preserve"> and the absence of regular staff performance evaluations</w:t>
            </w:r>
            <w:r>
              <w:t>. Moreover, in this truly unique situation,</w:t>
            </w:r>
            <w:r>
              <w:rPr>
                <w:rStyle w:val="FootnoteReference"/>
              </w:rPr>
              <w:footnoteReference w:id="13"/>
            </w:r>
            <w:r>
              <w:t xml:space="preserve"> the CSU’s benefit to other World-Bank financed projects cannot be ignored, even though SET is not credited with these external gains. An internal World Bank review of the CSU conducted in 2023 noted that the </w:t>
            </w:r>
            <w:r w:rsidRPr="00A53D23">
              <w:t>CSU was successful in implementing CERC in response to COVID-19, supporting timely preparation of the IDA19 projects, creating capacity in common functions, and establishing a website that updates the status of the World Bank-financed portfolio</w:t>
            </w:r>
            <w:r>
              <w:t>. While the CSU was a major part of the Project’s funding, it was a deliberate decision by the team to not include it as part of the PDO. Looking at the CSU’s funding in isolation, the funds were efficiently spent – as indicated by the achievement of its indicators under SET as well its notable contributions to other Projects and capacity in Tonga.</w:t>
            </w:r>
          </w:p>
          <w:p w14:paraId="6A12E582" w14:textId="77777777" w:rsidR="00F430B1" w:rsidRDefault="00F430B1" w:rsidP="005768B0">
            <w:pPr>
              <w:pStyle w:val="ListParagraph"/>
              <w:ind w:left="0"/>
              <w:jc w:val="both"/>
            </w:pPr>
          </w:p>
          <w:p w14:paraId="5DEDFF8F" w14:textId="15E5E004" w:rsidR="00F430B1" w:rsidRDefault="00F430B1" w:rsidP="005768B0">
            <w:pPr>
              <w:jc w:val="both"/>
            </w:pPr>
            <w:r>
              <w:t>The Project’s economic impact is considered</w:t>
            </w:r>
            <w:r w:rsidR="00F57BCA">
              <w:t xml:space="preserve"> </w:t>
            </w:r>
            <w:r w:rsidR="009D6D60" w:rsidRPr="00615339">
              <w:t>Substantial</w:t>
            </w:r>
            <w:r>
              <w:t>. The economic analysis carried out at appraisal overestimated Project benefits to some extent.</w:t>
            </w:r>
          </w:p>
          <w:p w14:paraId="39F47D96" w14:textId="77777777" w:rsidR="00F430B1" w:rsidRDefault="00F430B1" w:rsidP="005768B0">
            <w:pPr>
              <w:jc w:val="both"/>
            </w:pPr>
          </w:p>
          <w:p w14:paraId="79EB3472" w14:textId="1F35DF5A" w:rsidR="00F430B1" w:rsidRPr="00F430B1" w:rsidRDefault="00F430B1" w:rsidP="005768B0">
            <w:pPr>
              <w:jc w:val="both"/>
              <w:rPr>
                <w:b/>
                <w:bCs/>
              </w:rPr>
            </w:pPr>
            <w:r w:rsidRPr="00F430B1">
              <w:rPr>
                <w:b/>
                <w:bCs/>
              </w:rPr>
              <w:t xml:space="preserve">Implementation impact </w:t>
            </w:r>
          </w:p>
          <w:p w14:paraId="009A1A28" w14:textId="2FB54222" w:rsidR="00F430B1" w:rsidRDefault="00F430B1" w:rsidP="005768B0">
            <w:pPr>
              <w:pStyle w:val="ListParagraph"/>
              <w:numPr>
                <w:ilvl w:val="0"/>
                <w:numId w:val="10"/>
              </w:numPr>
              <w:ind w:left="0" w:firstLine="15"/>
              <w:jc w:val="both"/>
            </w:pPr>
            <w:r w:rsidRPr="00F430B1">
              <w:t xml:space="preserve">Although the project suffered from changes/delays in the staff (PMU, CSU), delaying the progress of the project, the implementation of this project kept pace. The implementation impact is </w:t>
            </w:r>
            <w:r w:rsidRPr="00615339">
              <w:t>rated High.</w:t>
            </w:r>
            <w:r w:rsidRPr="00F430B1">
              <w:t xml:space="preserve"> Given the many first this Project introduced in Tonga and the triple crises amidst the Project that hit the country, the Project achieved its targets and spent the allocated financing well.</w:t>
            </w:r>
          </w:p>
          <w:p w14:paraId="4F2E1E46" w14:textId="77777777" w:rsidR="00F430B1" w:rsidRDefault="00F430B1" w:rsidP="005768B0">
            <w:pPr>
              <w:jc w:val="both"/>
            </w:pPr>
          </w:p>
          <w:p w14:paraId="36226929" w14:textId="77777777" w:rsidR="000A1D92" w:rsidRPr="00F430B1" w:rsidRDefault="00D310E2" w:rsidP="005768B0">
            <w:pPr>
              <w:jc w:val="both"/>
              <w:rPr>
                <w:b/>
                <w:bCs/>
              </w:rPr>
            </w:pPr>
            <w:r w:rsidRPr="00F430B1">
              <w:rPr>
                <w:b/>
                <w:bCs/>
              </w:rPr>
              <w:t>Assessment of Efficiency and Rating</w:t>
            </w:r>
          </w:p>
          <w:p w14:paraId="53304472" w14:textId="054A3A1C" w:rsidR="00F430B1" w:rsidRPr="00940317" w:rsidRDefault="00F430B1" w:rsidP="005768B0">
            <w:pPr>
              <w:pStyle w:val="ListParagraph"/>
              <w:numPr>
                <w:ilvl w:val="0"/>
                <w:numId w:val="10"/>
              </w:numPr>
              <w:ind w:left="0" w:firstLine="15"/>
              <w:jc w:val="both"/>
              <w:rPr>
                <w:rFonts w:eastAsia="Calibri" w:cstheme="minorHAnsi"/>
              </w:rPr>
            </w:pPr>
            <w:r w:rsidRPr="00F430B1">
              <w:rPr>
                <w:rFonts w:eastAsia="Calibri" w:cstheme="minorHAnsi"/>
              </w:rPr>
              <w:t xml:space="preserve">Overall efficiency is rated </w:t>
            </w:r>
            <w:r w:rsidR="009D6D60" w:rsidRPr="00615339">
              <w:rPr>
                <w:rFonts w:eastAsia="Calibri" w:cstheme="minorHAnsi"/>
              </w:rPr>
              <w:t>Substantial</w:t>
            </w:r>
            <w:r w:rsidRPr="00F430B1">
              <w:rPr>
                <w:rFonts w:eastAsia="Calibri" w:cstheme="minorHAnsi"/>
              </w:rPr>
              <w:t>, as the Project is deemed to have a positive economic impact, albeit lower than expected; was mostly implemented within the planned timeframe; and even introduced new activities to respond to the triple crises of three TCs, the Covid-19 pandemic, and the HT-HH volcanic eruption</w:t>
            </w:r>
            <w:r>
              <w:rPr>
                <w:rFonts w:eastAsia="Calibri" w:cstheme="minorHAnsi"/>
              </w:rPr>
              <w:t>.</w:t>
            </w:r>
          </w:p>
        </w:tc>
      </w:tr>
    </w:tbl>
    <w:p w14:paraId="088B7232" w14:textId="77777777" w:rsidR="000A108E" w:rsidRPr="00DA33AA" w:rsidRDefault="000A108E" w:rsidP="005768B0">
      <w:pPr>
        <w:jc w:val="both"/>
      </w:pPr>
    </w:p>
    <w:tbl>
      <w:tblPr>
        <w:tblStyle w:val="TableGrid"/>
        <w:tblW w:w="10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170"/>
      </w:tblGrid>
      <w:tr w:rsidR="00DD6229" w:rsidRPr="00DA33AA" w14:paraId="277BD359" w14:textId="77777777" w:rsidTr="00533292">
        <w:trPr>
          <w:trHeight w:val="403"/>
          <w:jc w:val="center"/>
        </w:trPr>
        <w:tc>
          <w:tcPr>
            <w:tcW w:w="10170" w:type="dxa"/>
            <w:shd w:val="clear" w:color="auto" w:fill="auto"/>
            <w:vAlign w:val="center"/>
          </w:tcPr>
          <w:p w14:paraId="5EEDA65C" w14:textId="77777777" w:rsidR="00DA33AA" w:rsidRPr="00DA33AA" w:rsidRDefault="00D310E2" w:rsidP="00DA33AA">
            <w:pPr>
              <w:pStyle w:val="ListParagraph"/>
              <w:numPr>
                <w:ilvl w:val="0"/>
                <w:numId w:val="4"/>
              </w:numPr>
              <w:spacing w:line="259" w:lineRule="auto"/>
              <w:ind w:left="0" w:hanging="105"/>
              <w:jc w:val="both"/>
              <w:rPr>
                <w:b/>
                <w:bCs/>
              </w:rPr>
            </w:pPr>
            <w:bookmarkStart w:id="13" w:name="_Hlk78994889"/>
            <w:r w:rsidRPr="00DA33AA">
              <w:rPr>
                <w:rFonts w:eastAsia="Calibri" w:cstheme="minorHAnsi"/>
                <w:b/>
                <w:bCs/>
              </w:rPr>
              <w:t>JUSTIFICATION OF OVERALL OUTCOME RATING</w:t>
            </w:r>
          </w:p>
          <w:p w14:paraId="6403256E" w14:textId="77777777" w:rsidR="00533292" w:rsidRDefault="00533292" w:rsidP="00533292">
            <w:pPr>
              <w:pStyle w:val="ListParagraph"/>
              <w:ind w:left="0"/>
              <w:jc w:val="both"/>
            </w:pPr>
          </w:p>
          <w:p w14:paraId="68A89C2A" w14:textId="0FC4E00A" w:rsidR="00F430B1" w:rsidRPr="00DA33AA" w:rsidRDefault="1AAD3C35" w:rsidP="00AB56D2">
            <w:pPr>
              <w:pStyle w:val="ListParagraph"/>
              <w:numPr>
                <w:ilvl w:val="0"/>
                <w:numId w:val="10"/>
              </w:numPr>
              <w:ind w:left="0" w:firstLine="0"/>
              <w:jc w:val="both"/>
            </w:pPr>
            <w:r w:rsidRPr="00DA33AA">
              <w:t>Overall</w:t>
            </w:r>
            <w:r w:rsidRPr="00DA33AA">
              <w:rPr>
                <w:rFonts w:eastAsia="Calibri" w:cstheme="minorHAnsi"/>
              </w:rPr>
              <w:t xml:space="preserve"> outcome is rated </w:t>
            </w:r>
            <w:r w:rsidR="0014526C" w:rsidRPr="00DA33AA">
              <w:rPr>
                <w:rFonts w:eastAsia="Calibri" w:cstheme="minorHAnsi"/>
              </w:rPr>
              <w:t>Highly</w:t>
            </w:r>
            <w:r w:rsidR="0089731B" w:rsidRPr="00DA33AA">
              <w:rPr>
                <w:rFonts w:eastAsia="Calibri" w:cstheme="minorHAnsi"/>
              </w:rPr>
              <w:t xml:space="preserve"> </w:t>
            </w:r>
            <w:r w:rsidRPr="00DA33AA">
              <w:rPr>
                <w:rFonts w:eastAsia="Calibri" w:cstheme="minorHAnsi"/>
              </w:rPr>
              <w:t xml:space="preserve">Satisfactory, based on the Project’s high relevance, high efficacy, and </w:t>
            </w:r>
            <w:r w:rsidR="00BA6536" w:rsidRPr="00DA33AA">
              <w:rPr>
                <w:rFonts w:eastAsia="Calibri" w:cstheme="minorHAnsi"/>
              </w:rPr>
              <w:t>substantial</w:t>
            </w:r>
            <w:r w:rsidRPr="00DA33AA">
              <w:rPr>
                <w:rFonts w:eastAsia="Calibri" w:cstheme="minorHAnsi"/>
              </w:rPr>
              <w:t xml:space="preserve"> efficiency.</w:t>
            </w:r>
          </w:p>
        </w:tc>
      </w:tr>
      <w:bookmarkEnd w:id="13"/>
    </w:tbl>
    <w:p w14:paraId="3D803F2C" w14:textId="77777777" w:rsidR="00AB47E6" w:rsidRPr="00F430B1" w:rsidRDefault="00AB47E6" w:rsidP="005768B0">
      <w:pPr>
        <w:jc w:val="both"/>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4C84BC58" w14:textId="77777777" w:rsidTr="00993CEF">
        <w:trPr>
          <w:trHeight w:val="403"/>
        </w:trPr>
        <w:tc>
          <w:tcPr>
            <w:tcW w:w="10980" w:type="dxa"/>
            <w:shd w:val="clear" w:color="auto" w:fill="auto"/>
            <w:vAlign w:val="center"/>
          </w:tcPr>
          <w:p w14:paraId="7C04502D" w14:textId="77777777" w:rsidR="00AB47E6" w:rsidRPr="00F430B1" w:rsidRDefault="00D310E2" w:rsidP="007F0BED">
            <w:pPr>
              <w:pStyle w:val="ListParagraph"/>
              <w:numPr>
                <w:ilvl w:val="0"/>
                <w:numId w:val="4"/>
              </w:numPr>
              <w:spacing w:line="259" w:lineRule="auto"/>
              <w:ind w:left="0" w:firstLine="255"/>
              <w:jc w:val="both"/>
              <w:rPr>
                <w:b/>
                <w:bCs/>
              </w:rPr>
            </w:pPr>
            <w:r w:rsidRPr="00F430B1">
              <w:rPr>
                <w:rFonts w:eastAsia="Calibri" w:cstheme="minorHAnsi"/>
                <w:b/>
                <w:bCs/>
              </w:rPr>
              <w:t>OTHER OUTCOMES AND IMPACTS (IF ANY)</w:t>
            </w:r>
          </w:p>
        </w:tc>
      </w:tr>
    </w:tbl>
    <w:p w14:paraId="25F54F27" w14:textId="77777777" w:rsidR="00AB47E6" w:rsidRDefault="00AB47E6" w:rsidP="005768B0">
      <w:pPr>
        <w:jc w:val="both"/>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
        <w:gridCol w:w="10620"/>
        <w:gridCol w:w="270"/>
      </w:tblGrid>
      <w:tr w:rsidR="00DD6229" w14:paraId="0D4F3C26" w14:textId="77777777" w:rsidTr="00062466">
        <w:trPr>
          <w:gridAfter w:val="1"/>
          <w:wAfter w:w="270" w:type="dxa"/>
          <w:trHeight w:val="872"/>
        </w:trPr>
        <w:tc>
          <w:tcPr>
            <w:tcW w:w="10800" w:type="dxa"/>
            <w:gridSpan w:val="2"/>
          </w:tcPr>
          <w:p w14:paraId="1282930B" w14:textId="77777777" w:rsidR="008D7C94" w:rsidRPr="00F430B1" w:rsidRDefault="6A6FD0CA" w:rsidP="005768B0">
            <w:pPr>
              <w:jc w:val="both"/>
              <w:rPr>
                <w:b/>
                <w:bCs/>
              </w:rPr>
            </w:pPr>
            <w:r w:rsidRPr="10ABB9FD">
              <w:rPr>
                <w:b/>
                <w:bCs/>
              </w:rPr>
              <w:t>Gender</w:t>
            </w:r>
          </w:p>
          <w:p w14:paraId="02CFF129" w14:textId="77777777" w:rsidR="009339C8" w:rsidRDefault="009339C8" w:rsidP="009339C8">
            <w:pPr>
              <w:pStyle w:val="ListParagraph"/>
              <w:numPr>
                <w:ilvl w:val="0"/>
                <w:numId w:val="10"/>
              </w:numPr>
              <w:ind w:left="0" w:firstLine="0"/>
              <w:jc w:val="both"/>
            </w:pPr>
            <w:r w:rsidRPr="009339C8">
              <w:t>The project promoted gender inclusion in overseas employment and training programs, with strong results. Women made up approximately 50 percent of Tongan workers placed in seasonal jobs abroad during the project period, a significant outcome in a context where labor mobility programs in the region often skew male. The share of women among deployed workers increased steadily over time, reflecting the project’s commitment to inclusive facilitation.</w:t>
            </w:r>
          </w:p>
          <w:p w14:paraId="445D5465" w14:textId="77777777" w:rsidR="009339C8" w:rsidRDefault="009339C8" w:rsidP="009339C8">
            <w:pPr>
              <w:pStyle w:val="ListParagraph"/>
              <w:ind w:left="0"/>
              <w:jc w:val="both"/>
            </w:pPr>
          </w:p>
          <w:p w14:paraId="7E50B810" w14:textId="0906041D" w:rsidR="009339C8" w:rsidRDefault="009339C8" w:rsidP="004D0F08">
            <w:pPr>
              <w:pStyle w:val="ListParagraph"/>
              <w:numPr>
                <w:ilvl w:val="0"/>
                <w:numId w:val="10"/>
              </w:numPr>
              <w:ind w:left="0" w:firstLine="0"/>
              <w:jc w:val="both"/>
            </w:pPr>
            <w:r w:rsidRPr="009339C8">
              <w:lastRenderedPageBreak/>
              <w:t>The project also tracked sex-disaggregated data across its key results indicators, including pre-departure training, job placements, and earnings. This allowed for consistent monitoring of female participation and helped inform operational adjustments to ensure gender balance in access to opportunities.</w:t>
            </w:r>
            <w:r w:rsidRPr="009339C8">
              <w:br/>
            </w:r>
            <w:r w:rsidRPr="009339C8">
              <w:br/>
            </w:r>
          </w:p>
          <w:p w14:paraId="7815AE6A" w14:textId="4449C64F" w:rsidR="00EA5DA1" w:rsidRDefault="009339C8" w:rsidP="009339C8">
            <w:pPr>
              <w:pStyle w:val="ListParagraph"/>
              <w:numPr>
                <w:ilvl w:val="0"/>
                <w:numId w:val="10"/>
              </w:numPr>
              <w:ind w:left="0" w:firstLine="0"/>
              <w:jc w:val="both"/>
            </w:pPr>
            <w:r w:rsidRPr="009339C8">
              <w:t xml:space="preserve">While the project did not include a standalone gender action plan or impact evaluation, its design incorporated lessons from prior labor mobility programs in the Pacific, which had underscored the importance of facilitating access for women and youth. The consistent emphasis on equitable access and monitoring throughout implementation contributed to strong gender outcomes, particularly in </w:t>
            </w:r>
            <w:r w:rsidR="00752535">
              <w:t>component 3</w:t>
            </w:r>
            <w:r w:rsidRPr="009339C8">
              <w:t>.</w:t>
            </w:r>
          </w:p>
          <w:p w14:paraId="4EEA4B15" w14:textId="47B2BF08" w:rsidR="009339C8" w:rsidRDefault="009339C8" w:rsidP="00EA5DA1">
            <w:pPr>
              <w:pStyle w:val="ListParagraph"/>
              <w:ind w:left="0"/>
              <w:jc w:val="both"/>
            </w:pPr>
          </w:p>
        </w:tc>
      </w:tr>
      <w:tr w:rsidR="00DD6229" w14:paraId="632C5E7B" w14:textId="77777777" w:rsidTr="00062466">
        <w:trPr>
          <w:gridAfter w:val="1"/>
          <w:wAfter w:w="270" w:type="dxa"/>
          <w:trHeight w:val="872"/>
        </w:trPr>
        <w:tc>
          <w:tcPr>
            <w:tcW w:w="10800" w:type="dxa"/>
            <w:gridSpan w:val="2"/>
          </w:tcPr>
          <w:p w14:paraId="557686C5" w14:textId="77777777" w:rsidR="008D7C94" w:rsidRDefault="00D310E2" w:rsidP="005768B0">
            <w:pPr>
              <w:jc w:val="both"/>
              <w:rPr>
                <w:b/>
                <w:bCs/>
              </w:rPr>
            </w:pPr>
            <w:r w:rsidRPr="00F430B1">
              <w:rPr>
                <w:b/>
                <w:bCs/>
              </w:rPr>
              <w:lastRenderedPageBreak/>
              <w:t xml:space="preserve">Institutional </w:t>
            </w:r>
            <w:r w:rsidR="007E2E0B" w:rsidRPr="00F430B1">
              <w:rPr>
                <w:b/>
                <w:bCs/>
              </w:rPr>
              <w:t>Strengthening</w:t>
            </w:r>
          </w:p>
          <w:p w14:paraId="5D0DD060" w14:textId="77777777" w:rsidR="00801C4A" w:rsidRPr="00F430B1" w:rsidRDefault="00801C4A" w:rsidP="005768B0">
            <w:pPr>
              <w:jc w:val="both"/>
              <w:rPr>
                <w:b/>
                <w:bCs/>
              </w:rPr>
            </w:pPr>
          </w:p>
          <w:p w14:paraId="4DAA4896" w14:textId="0AAD1D47" w:rsidR="00801C4A" w:rsidRDefault="00801C4A" w:rsidP="005768B0">
            <w:pPr>
              <w:pStyle w:val="ListParagraph"/>
              <w:numPr>
                <w:ilvl w:val="0"/>
                <w:numId w:val="10"/>
              </w:numPr>
              <w:ind w:left="0" w:firstLine="0"/>
              <w:jc w:val="both"/>
            </w:pPr>
            <w:r>
              <w:t xml:space="preserve">The project </w:t>
            </w:r>
            <w:r w:rsidRPr="00801C4A">
              <w:t>significantly enhanced MIA's capacity by developing and implementing the MIS, executing the full process of CCTs, and training staff to manage and monitor the CCT program. This enable</w:t>
            </w:r>
            <w:r>
              <w:t>d</w:t>
            </w:r>
            <w:r w:rsidRPr="00801C4A">
              <w:t xml:space="preserve"> MIA to potentially scale up the program with additional funds. Additionally, the project supported the foundation for </w:t>
            </w:r>
            <w:r w:rsidR="00E712EB">
              <w:t xml:space="preserve">the </w:t>
            </w:r>
            <w:r w:rsidR="00DC228A">
              <w:t xml:space="preserve">policy dialogue of the 2023 National </w:t>
            </w:r>
            <w:r w:rsidR="00296D99">
              <w:t xml:space="preserve">Social Protection Policy and </w:t>
            </w:r>
            <w:r w:rsidR="001A1C24">
              <w:t>pilot</w:t>
            </w:r>
            <w:r w:rsidRPr="00801C4A">
              <w:t xml:space="preserve"> social registry (also under MIA)</w:t>
            </w:r>
            <w:r w:rsidR="00296D99">
              <w:t>, building capacity and supporting institutional development.</w:t>
            </w:r>
          </w:p>
          <w:p w14:paraId="68CD3E25" w14:textId="77777777" w:rsidR="00D820D3" w:rsidRDefault="00D820D3" w:rsidP="005768B0">
            <w:pPr>
              <w:pStyle w:val="ListParagraph"/>
              <w:ind w:left="0"/>
              <w:jc w:val="both"/>
            </w:pPr>
          </w:p>
          <w:p w14:paraId="0F1C2BE3" w14:textId="7C121DFF" w:rsidR="00F430B1" w:rsidRDefault="00F430B1" w:rsidP="005768B0">
            <w:pPr>
              <w:pStyle w:val="ListParagraph"/>
              <w:numPr>
                <w:ilvl w:val="0"/>
                <w:numId w:val="10"/>
              </w:numPr>
              <w:ind w:left="0" w:firstLine="0"/>
              <w:jc w:val="both"/>
            </w:pPr>
            <w:r>
              <w:t xml:space="preserve">The CSU served its purpose as intended and will continue to do so. At the time of writing this ICR, the CSU’s performance is being evaluated to design a CSU 2.0 – an improved version that would help improve implementation capacity in the country. </w:t>
            </w:r>
          </w:p>
          <w:p w14:paraId="432ABBB8" w14:textId="77777777" w:rsidR="00D820D3" w:rsidRDefault="00D820D3" w:rsidP="005768B0">
            <w:pPr>
              <w:jc w:val="both"/>
            </w:pPr>
          </w:p>
          <w:p w14:paraId="33C33747" w14:textId="69832D10" w:rsidR="00F430B1" w:rsidRPr="00E2483C" w:rsidRDefault="00F430B1" w:rsidP="005768B0">
            <w:pPr>
              <w:pStyle w:val="ListParagraph"/>
              <w:numPr>
                <w:ilvl w:val="0"/>
                <w:numId w:val="10"/>
              </w:numPr>
              <w:ind w:left="0" w:firstLine="0"/>
              <w:jc w:val="both"/>
            </w:pPr>
            <w:r>
              <w:t>The labor mobility policy framework and procedures that were put in place by SET served as prior actions in two Development Policy Operations – Tonga First Resilience Development Policy Operation (P171071) and Tonga Second Resilience Development Policy Operation (P172742).</w:t>
            </w:r>
            <w:r w:rsidR="00191739">
              <w:t xml:space="preserve"> Component 3 </w:t>
            </w:r>
            <w:r w:rsidR="00E6043A">
              <w:t xml:space="preserve">supported </w:t>
            </w:r>
            <w:r w:rsidR="00191739">
              <w:t xml:space="preserve">institutional strengthening by bringing in additional </w:t>
            </w:r>
            <w:r w:rsidR="00E6043A">
              <w:t xml:space="preserve">resources </w:t>
            </w:r>
            <w:r w:rsidR="00191739">
              <w:t>and activities to full</w:t>
            </w:r>
            <w:r w:rsidR="005810EE">
              <w:t>y</w:t>
            </w:r>
            <w:r w:rsidR="00191739">
              <w:t xml:space="preserve"> </w:t>
            </w:r>
            <w:r w:rsidR="00603659">
              <w:t xml:space="preserve">develop </w:t>
            </w:r>
            <w:r w:rsidR="00191739">
              <w:t xml:space="preserve">the </w:t>
            </w:r>
            <w:r w:rsidR="00771B4F">
              <w:t xml:space="preserve">migrant journey </w:t>
            </w:r>
            <w:r w:rsidR="005810EE">
              <w:t xml:space="preserve">within </w:t>
            </w:r>
            <w:r w:rsidR="00771B4F">
              <w:t xml:space="preserve">the OED. </w:t>
            </w:r>
          </w:p>
        </w:tc>
      </w:tr>
      <w:tr w:rsidR="00DD6229" w14:paraId="5DAE823A" w14:textId="77777777" w:rsidTr="00062466">
        <w:trPr>
          <w:gridAfter w:val="1"/>
          <w:wAfter w:w="270" w:type="dxa"/>
          <w:trHeight w:val="872"/>
        </w:trPr>
        <w:tc>
          <w:tcPr>
            <w:tcW w:w="10800" w:type="dxa"/>
            <w:gridSpan w:val="2"/>
          </w:tcPr>
          <w:p w14:paraId="259A8658" w14:textId="77777777" w:rsidR="00F430B1" w:rsidRDefault="00F430B1" w:rsidP="005768B0">
            <w:pPr>
              <w:jc w:val="both"/>
            </w:pPr>
          </w:p>
          <w:p w14:paraId="61FF827F" w14:textId="77777777" w:rsidR="008D7C94" w:rsidRPr="00F430B1" w:rsidRDefault="00D310E2" w:rsidP="005768B0">
            <w:pPr>
              <w:jc w:val="both"/>
              <w:rPr>
                <w:b/>
                <w:bCs/>
              </w:rPr>
            </w:pPr>
            <w:r w:rsidRPr="00F430B1">
              <w:rPr>
                <w:b/>
                <w:bCs/>
              </w:rPr>
              <w:t>Mobilizing Private Sector Financing</w:t>
            </w:r>
          </w:p>
          <w:p w14:paraId="38317DA9" w14:textId="662254F3" w:rsidR="00F430B1" w:rsidRPr="00E2483C" w:rsidRDefault="00F430B1" w:rsidP="005768B0">
            <w:pPr>
              <w:jc w:val="both"/>
            </w:pPr>
            <w:r>
              <w:t>N/A</w:t>
            </w:r>
          </w:p>
        </w:tc>
      </w:tr>
      <w:tr w:rsidR="00DD6229" w14:paraId="08265D2E" w14:textId="77777777" w:rsidTr="00062466">
        <w:trPr>
          <w:gridAfter w:val="1"/>
          <w:wAfter w:w="270" w:type="dxa"/>
          <w:trHeight w:val="872"/>
        </w:trPr>
        <w:tc>
          <w:tcPr>
            <w:tcW w:w="10800" w:type="dxa"/>
            <w:gridSpan w:val="2"/>
          </w:tcPr>
          <w:p w14:paraId="046DF163" w14:textId="77777777" w:rsidR="00F430B1" w:rsidRDefault="00F430B1" w:rsidP="005768B0">
            <w:pPr>
              <w:jc w:val="both"/>
            </w:pPr>
          </w:p>
          <w:p w14:paraId="013A81A1" w14:textId="77777777" w:rsidR="008D7C94" w:rsidRPr="00F430B1" w:rsidRDefault="00D310E2" w:rsidP="005768B0">
            <w:pPr>
              <w:jc w:val="both"/>
              <w:rPr>
                <w:b/>
                <w:bCs/>
              </w:rPr>
            </w:pPr>
            <w:r w:rsidRPr="00F430B1">
              <w:rPr>
                <w:b/>
                <w:bCs/>
              </w:rPr>
              <w:t>Poverty Reduction and Shared Prosperity</w:t>
            </w:r>
          </w:p>
          <w:p w14:paraId="77FE5A42" w14:textId="1CDD8046" w:rsidR="00F430B1" w:rsidRDefault="00F430B1" w:rsidP="005768B0">
            <w:pPr>
              <w:pStyle w:val="ListParagraph"/>
              <w:numPr>
                <w:ilvl w:val="0"/>
                <w:numId w:val="10"/>
              </w:numPr>
              <w:ind w:left="0" w:firstLine="0"/>
              <w:jc w:val="both"/>
            </w:pPr>
            <w:r>
              <w:t xml:space="preserve">Thanks to the foundations of a cash transfer put in place by SET, the government was able to mitigate the impacts of the COVID-19 shock by introducing top-up payments for existing social protection beneficiaries (Gould and Wai-Poi, 2022). Preliminary evidence </w:t>
            </w:r>
            <w:r w:rsidR="001335F0" w:rsidRPr="001335F0">
              <w:t>from an impact evaluation follow</w:t>
            </w:r>
            <w:r w:rsidR="00F96470">
              <w:t>-</w:t>
            </w:r>
            <w:r w:rsidR="001335F0" w:rsidRPr="001335F0">
              <w:t xml:space="preserve">up survey conducted in 2024 indicates that the CCT beneficiary households strongly agree that </w:t>
            </w:r>
            <w:r w:rsidR="00536AF6">
              <w:t>the cash transfer</w:t>
            </w:r>
            <w:r w:rsidR="001335F0" w:rsidRPr="001335F0">
              <w:t xml:space="preserve"> helped keep the </w:t>
            </w:r>
            <w:r w:rsidR="00536AF6">
              <w:t>child</w:t>
            </w:r>
            <w:r w:rsidR="001335F0" w:rsidRPr="001335F0">
              <w:t xml:space="preserve"> in school. Additional, beneficiary households indicate a wide range of benefits including: “the children could eat at school” and “children’s school performance improved”.</w:t>
            </w:r>
            <w:r w:rsidR="00814C2F">
              <w:t xml:space="preserve"> The money </w:t>
            </w:r>
            <w:r w:rsidR="007A36C3">
              <w:t>received</w:t>
            </w:r>
            <w:r w:rsidR="00814C2F">
              <w:t xml:space="preserve"> </w:t>
            </w:r>
            <w:r w:rsidR="007A36C3">
              <w:t>from the SET project</w:t>
            </w:r>
            <w:r w:rsidR="00BE4125">
              <w:t xml:space="preserve"> was spent by almost all </w:t>
            </w:r>
            <w:r w:rsidR="00245FDB">
              <w:t>households</w:t>
            </w:r>
            <w:r w:rsidR="00BE4125">
              <w:t xml:space="preserve"> on school fees, books and </w:t>
            </w:r>
            <w:r w:rsidR="00E8365E">
              <w:t>stationery</w:t>
            </w:r>
            <w:r w:rsidR="00BE4125">
              <w:t>, uniforms, and transport to and from school, as reported d</w:t>
            </w:r>
            <w:r w:rsidR="00E8365E">
              <w:t>uring the follow-up survey. Three-quarters of households also reported using the money for food.</w:t>
            </w:r>
            <w:r>
              <w:t xml:space="preserve"> The success of this one-off transfer is proof of the concept that the systems set up through the Project can be turned into more durable social protection systems</w:t>
            </w:r>
            <w:r w:rsidR="00C6092B">
              <w:t xml:space="preserve"> (Leng and Naidoo, forthcoming).</w:t>
            </w:r>
            <w:r>
              <w:t xml:space="preserve"> </w:t>
            </w:r>
          </w:p>
          <w:p w14:paraId="73D98099" w14:textId="77777777" w:rsidR="00F430B1" w:rsidRDefault="00F430B1" w:rsidP="005768B0">
            <w:pPr>
              <w:pStyle w:val="ListParagraph"/>
              <w:ind w:left="0"/>
              <w:jc w:val="both"/>
            </w:pPr>
          </w:p>
          <w:p w14:paraId="56FB33C1" w14:textId="6C43ADFC" w:rsidR="00F430B1" w:rsidRDefault="00F430B1" w:rsidP="005768B0">
            <w:pPr>
              <w:pStyle w:val="ListParagraph"/>
              <w:numPr>
                <w:ilvl w:val="0"/>
                <w:numId w:val="10"/>
              </w:numPr>
              <w:ind w:left="0" w:firstLine="0"/>
              <w:jc w:val="both"/>
            </w:pPr>
            <w:r>
              <w:t>For ASP systems to be a useful social protection tool, it is important to be able to readily identify beneficiaries. Households benefiting from the CCT program were targeted through the Climate Change and Disaster Risk Management Training in 2020 to provide early warning information, contributing to disaster preparedness among households (Gould and Wai-Poi, 2022).</w:t>
            </w:r>
          </w:p>
          <w:p w14:paraId="7DFD47C8" w14:textId="77777777" w:rsidR="004A5C59" w:rsidRDefault="004A5C59" w:rsidP="005768B0">
            <w:pPr>
              <w:pStyle w:val="ListParagraph"/>
              <w:ind w:left="0"/>
            </w:pPr>
          </w:p>
          <w:p w14:paraId="0AC6D001" w14:textId="7A2759B3" w:rsidR="004A5C59" w:rsidRPr="00E2483C" w:rsidRDefault="004A5C59" w:rsidP="005768B0">
            <w:pPr>
              <w:pStyle w:val="ListParagraph"/>
              <w:ind w:left="0"/>
              <w:jc w:val="both"/>
            </w:pPr>
          </w:p>
        </w:tc>
      </w:tr>
      <w:tr w:rsidR="00DD6229" w14:paraId="760E7A28" w14:textId="77777777" w:rsidTr="00062466">
        <w:trPr>
          <w:gridAfter w:val="1"/>
          <w:wAfter w:w="270" w:type="dxa"/>
          <w:trHeight w:val="872"/>
        </w:trPr>
        <w:tc>
          <w:tcPr>
            <w:tcW w:w="10800" w:type="dxa"/>
            <w:gridSpan w:val="2"/>
          </w:tcPr>
          <w:p w14:paraId="08D9F1A6" w14:textId="77777777" w:rsidR="008D7C94" w:rsidRPr="00F430B1" w:rsidRDefault="00D310E2" w:rsidP="005768B0">
            <w:pPr>
              <w:jc w:val="both"/>
              <w:rPr>
                <w:b/>
                <w:bCs/>
              </w:rPr>
            </w:pPr>
            <w:r w:rsidRPr="00F430B1">
              <w:rPr>
                <w:b/>
                <w:bCs/>
              </w:rPr>
              <w:lastRenderedPageBreak/>
              <w:t>Other Unintended Outcomes and Impacts</w:t>
            </w:r>
          </w:p>
          <w:p w14:paraId="42D164A2" w14:textId="2C274A4B" w:rsidR="00F430B1" w:rsidRDefault="00F430B1" w:rsidP="005768B0">
            <w:pPr>
              <w:jc w:val="both"/>
            </w:pPr>
            <w:r>
              <w:t>N/A</w:t>
            </w:r>
          </w:p>
        </w:tc>
      </w:tr>
      <w:tr w:rsidR="00DD6229" w14:paraId="5A4889BA" w14:textId="77777777" w:rsidTr="00062466">
        <w:tblPrEx>
          <w:shd w:val="clear" w:color="auto" w:fill="F2F7FC"/>
        </w:tblPrEx>
        <w:trPr>
          <w:gridBefore w:val="1"/>
          <w:wBefore w:w="180" w:type="dxa"/>
          <w:trHeight w:val="403"/>
        </w:trPr>
        <w:tc>
          <w:tcPr>
            <w:tcW w:w="10890" w:type="dxa"/>
            <w:gridSpan w:val="2"/>
            <w:shd w:val="clear" w:color="auto" w:fill="F2F7FC"/>
            <w:vAlign w:val="center"/>
          </w:tcPr>
          <w:p w14:paraId="2A780AF1" w14:textId="77777777" w:rsidR="004D771A" w:rsidRPr="00DD5666" w:rsidRDefault="00D310E2" w:rsidP="005768B0">
            <w:pPr>
              <w:pStyle w:val="Heading3"/>
              <w:keepNext w:val="0"/>
              <w:keepLines w:val="0"/>
              <w:numPr>
                <w:ilvl w:val="0"/>
                <w:numId w:val="2"/>
              </w:numPr>
              <w:ind w:left="0" w:hanging="187"/>
              <w:rPr>
                <w:noProof/>
              </w:rPr>
            </w:pPr>
            <w:bookmarkStart w:id="14" w:name="_Toc78351305_1"/>
            <w:bookmarkStart w:id="15" w:name="_Toc198922297"/>
            <w:r>
              <w:rPr>
                <w:rFonts w:eastAsia="Times New Roman"/>
              </w:rPr>
              <w:t>KEY FACTORS AFFECTED IMPLEMENTATION AND OUTCOME</w:t>
            </w:r>
            <w:bookmarkEnd w:id="14"/>
            <w:bookmarkEnd w:id="15"/>
          </w:p>
        </w:tc>
      </w:tr>
    </w:tbl>
    <w:p w14:paraId="2BD89E08" w14:textId="77777777" w:rsidR="004D771A" w:rsidRDefault="004D771A" w:rsidP="005768B0"/>
    <w:tbl>
      <w:tblPr>
        <w:tblStyle w:val="TableGrid"/>
        <w:tblW w:w="1071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710"/>
      </w:tblGrid>
      <w:tr w:rsidR="00DD6229" w14:paraId="3D8CE02D" w14:textId="77777777" w:rsidTr="003A1ED2">
        <w:trPr>
          <w:trHeight w:val="403"/>
        </w:trPr>
        <w:tc>
          <w:tcPr>
            <w:tcW w:w="10710" w:type="dxa"/>
            <w:shd w:val="clear" w:color="auto" w:fill="auto"/>
            <w:vAlign w:val="center"/>
          </w:tcPr>
          <w:p w14:paraId="659396BE" w14:textId="77777777" w:rsidR="00DE64B3" w:rsidRDefault="00D310E2" w:rsidP="003A1ED2">
            <w:pPr>
              <w:pStyle w:val="ListParagraph"/>
              <w:numPr>
                <w:ilvl w:val="0"/>
                <w:numId w:val="5"/>
              </w:numPr>
              <w:ind w:left="0" w:hanging="15"/>
              <w:jc w:val="both"/>
              <w:rPr>
                <w:b/>
                <w:bCs/>
              </w:rPr>
            </w:pPr>
            <w:bookmarkStart w:id="16" w:name="_Hlk78994478_1"/>
            <w:r w:rsidRPr="00582340">
              <w:rPr>
                <w:b/>
                <w:bCs/>
              </w:rPr>
              <w:t>KEY FACTORS DURING PREPARATION</w:t>
            </w:r>
          </w:p>
          <w:p w14:paraId="78E7D8B3" w14:textId="77777777" w:rsidR="00F430B1" w:rsidRDefault="00F430B1" w:rsidP="005768B0">
            <w:pPr>
              <w:jc w:val="both"/>
              <w:rPr>
                <w:b/>
                <w:bCs/>
              </w:rPr>
            </w:pPr>
          </w:p>
          <w:p w14:paraId="0130194B" w14:textId="77777777" w:rsidR="00F430B1" w:rsidRDefault="00F430B1" w:rsidP="005768B0">
            <w:pPr>
              <w:pStyle w:val="ListParagraph"/>
              <w:numPr>
                <w:ilvl w:val="0"/>
                <w:numId w:val="10"/>
              </w:numPr>
              <w:ind w:left="0" w:firstLine="0"/>
              <w:jc w:val="both"/>
            </w:pPr>
            <w:r>
              <w:t xml:space="preserve">The Project was grounded in the country’s vision for improved and more inclusive employment opportunities for Tongans. SET, through its CCT design, was expected to incentivize households to invest in the building blocks of their children’s future through completion of secondary level education and vocational training. For an economy where income through labor migration is key, improved training, especially for the most vulnerable, was seen as a pathway to better employment opportunities abroad. Overall, the Project included design features to reduce gender inequalities and poverty. </w:t>
            </w:r>
          </w:p>
          <w:p w14:paraId="2D470499" w14:textId="77777777" w:rsidR="00F430B1" w:rsidRDefault="00F430B1" w:rsidP="005768B0">
            <w:pPr>
              <w:pStyle w:val="ListParagraph"/>
              <w:ind w:left="0"/>
              <w:jc w:val="both"/>
            </w:pPr>
          </w:p>
          <w:p w14:paraId="18883DD3" w14:textId="77777777" w:rsidR="00F430B1" w:rsidRDefault="00F430B1" w:rsidP="005768B0">
            <w:pPr>
              <w:pStyle w:val="ListParagraph"/>
              <w:numPr>
                <w:ilvl w:val="0"/>
                <w:numId w:val="10"/>
              </w:numPr>
              <w:ind w:left="0" w:firstLine="0"/>
              <w:jc w:val="both"/>
            </w:pPr>
            <w:r>
              <w:t xml:space="preserve">The rationale for World Bank involvement was strong. SET built on the World Bank’s ongoing dialogue with SPDD on developing a poverty-targeted social protection program in Tonga, as well as a long‐standing engagement with the MET on improving education outcomes. This Project utilized the World Bank’s technical expertise in designing CCT programs, including in small-island countries, and in leveraging TVET as a pathway for employment. Tapping into the World Bank’s key strengths of coordinating with relevant development partners in a context (e.g., DFAT in Tonga) and with knowledge of global good practices grounded in evidence-backed analytics in the Pacific countries made the Bank’s investment in an underfunded area in Tonga a sound strategy for the country. </w:t>
            </w:r>
          </w:p>
          <w:p w14:paraId="3DB87745" w14:textId="77777777" w:rsidR="00F430B1" w:rsidRDefault="00F430B1" w:rsidP="005768B0">
            <w:pPr>
              <w:pStyle w:val="ListParagraph"/>
              <w:ind w:left="0"/>
              <w:jc w:val="both"/>
            </w:pPr>
          </w:p>
          <w:p w14:paraId="68C46951" w14:textId="15030782" w:rsidR="00F430B1" w:rsidRDefault="00F430B1" w:rsidP="005768B0">
            <w:pPr>
              <w:pStyle w:val="ListParagraph"/>
              <w:numPr>
                <w:ilvl w:val="0"/>
                <w:numId w:val="10"/>
              </w:numPr>
              <w:ind w:left="0" w:firstLine="15"/>
              <w:jc w:val="both"/>
            </w:pPr>
            <w:r>
              <w:t xml:space="preserve">While the presence of three implementing agencies (IA) for SET made the implementation arrangements rather complex, the small size of the country’s context and central coordinating mechanisms set-up through the Project made it manageable. Each of the three IAs – </w:t>
            </w:r>
            <w:r w:rsidR="00245FDB">
              <w:t>MFNP,</w:t>
            </w:r>
            <w:r>
              <w:t xml:space="preserve"> MIA, and MET – were responsible for a specific sub-component. A PMU was established within the MIA, with core staff consisting of a Team Leader, Procurement Officer, Project Accountant, M&amp;E Specialist, and Administrative Support Officer. MIA and MET coordinated with and reported to the World Bank via the PMU. The PMU reported to an already established Skills Sector Steering Committee (SSSC), which coordinated across the IAs, provided implementation guidance, and facilitated donor coordination and dialogue to avoid duplicating efforts (such as with DFAT). Additionally, to address any shortfalls in capacity within the IAs, the CSU was established to provide support to the PMU. The CSU, a separate sub-component that was unrelated to the PDO of SET, comprised consultants with expertise across common project functions and directly reported to a representative of the MFNP. Under the implementation </w:t>
            </w:r>
            <w:r w:rsidR="003A1ED2">
              <w:t>arrangement’s</w:t>
            </w:r>
            <w:r>
              <w:t xml:space="preserve"> structure presented in the PAD (pg. 24), the CSU is even highlighted in a different color – indicating a clear separation of its functions from those specific to the Project’s implementation. </w:t>
            </w:r>
          </w:p>
          <w:p w14:paraId="52094974" w14:textId="77777777" w:rsidR="00F430B1" w:rsidRDefault="00F430B1" w:rsidP="005768B0">
            <w:pPr>
              <w:pStyle w:val="ListParagraph"/>
              <w:ind w:left="0"/>
              <w:jc w:val="both"/>
            </w:pPr>
          </w:p>
          <w:p w14:paraId="30335D3E" w14:textId="4953B8BD" w:rsidR="00F430B1" w:rsidRPr="00F430B1" w:rsidRDefault="00F430B1" w:rsidP="005768B0">
            <w:pPr>
              <w:pStyle w:val="ListParagraph"/>
              <w:numPr>
                <w:ilvl w:val="0"/>
                <w:numId w:val="10"/>
              </w:numPr>
              <w:ind w:left="0" w:firstLine="0"/>
              <w:jc w:val="both"/>
            </w:pPr>
            <w:r>
              <w:t xml:space="preserve">The overall risk of the Project was considered substantial, with all five risk categories deemed to pose substantial risk. Potential natural disasters and economic shocks comprised key macroeconomic risks, which were being mitigated by a Development Policy operation supporting fiscal resilience. The fact that SET was implementing many of the Project activities for the first time in Tonga, or some of them even in the Pacific region posed risks related to the technical design. However, the Bank’s expertise and global experience in similar projects helped mitigate these risks. Next, to mitigate the low capacity-induced implementation and sustainability risks identified, individual </w:t>
            </w:r>
            <w:r>
              <w:lastRenderedPageBreak/>
              <w:t>consultants and TA were used. Fiduciary risks we expected to arise from ineffective procurement, contract, and technical planning. In addition to training for the PMU team and detailed plans in place, CSU was tasked with advisory and capacity building support responsibilities. Lastly, World Bank’s experience in prior to SET had shown that a crowded space with multiple interests may lead to questions about fairness of fund allocation across stakeholders. The World Bank mitigated this risk by holding regular consultations with relevant stakeholders and designing selection criteria for QIGs that encouraged engagement with the private sector.</w:t>
            </w:r>
          </w:p>
        </w:tc>
      </w:tr>
      <w:bookmarkEnd w:id="16"/>
    </w:tbl>
    <w:p w14:paraId="176E71AF" w14:textId="77777777" w:rsidR="000A108E" w:rsidRDefault="000A108E" w:rsidP="005768B0">
      <w:pPr>
        <w:jc w:val="both"/>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620"/>
      </w:tblGrid>
      <w:tr w:rsidR="00DD6229" w14:paraId="7E7EAB24" w14:textId="77777777" w:rsidTr="003A1ED2">
        <w:trPr>
          <w:trHeight w:val="403"/>
        </w:trPr>
        <w:tc>
          <w:tcPr>
            <w:tcW w:w="10620" w:type="dxa"/>
            <w:shd w:val="clear" w:color="auto" w:fill="auto"/>
            <w:vAlign w:val="center"/>
          </w:tcPr>
          <w:p w14:paraId="3E13E0FA" w14:textId="77777777" w:rsidR="00FC529D" w:rsidRDefault="00D310E2" w:rsidP="003A1ED2">
            <w:pPr>
              <w:pStyle w:val="ListParagraph"/>
              <w:numPr>
                <w:ilvl w:val="0"/>
                <w:numId w:val="5"/>
              </w:numPr>
              <w:ind w:left="0" w:firstLine="0"/>
              <w:jc w:val="both"/>
              <w:rPr>
                <w:b/>
                <w:bCs/>
              </w:rPr>
            </w:pPr>
            <w:r w:rsidRPr="00582340">
              <w:rPr>
                <w:b/>
                <w:bCs/>
              </w:rPr>
              <w:t>KEY FACTORS DURING IMPLEMENTATION</w:t>
            </w:r>
          </w:p>
          <w:p w14:paraId="1A23741D" w14:textId="77777777" w:rsidR="00F430B1" w:rsidRDefault="00F430B1" w:rsidP="005768B0">
            <w:pPr>
              <w:jc w:val="both"/>
              <w:rPr>
                <w:b/>
                <w:bCs/>
              </w:rPr>
            </w:pPr>
          </w:p>
          <w:p w14:paraId="2F7AE8E7" w14:textId="32D5ED71" w:rsidR="00F430B1" w:rsidRDefault="00F430B1" w:rsidP="005768B0">
            <w:pPr>
              <w:pStyle w:val="ListParagraph"/>
              <w:numPr>
                <w:ilvl w:val="0"/>
                <w:numId w:val="10"/>
              </w:numPr>
              <w:ind w:left="0" w:firstLine="0"/>
              <w:jc w:val="both"/>
            </w:pPr>
            <w:r w:rsidRPr="00F430B1">
              <w:t>The World Bank’s SDR 13.2 million (USD 18.5 million equivalent) and the Australia‐Pacific Islands Partnership Trust Fund’s USD 2.4 million grant for was approved by the Board of Directors on 28 August 2018, signed on 25 October 2018, and became effective on 11 Jan 2019. The</w:t>
            </w:r>
            <w:r w:rsidR="005D6605">
              <w:t xml:space="preserve"> </w:t>
            </w:r>
            <w:r w:rsidRPr="00F430B1">
              <w:t>Project was ready for implementation after approval. The financing was made effective and all covenants met by</w:t>
            </w:r>
            <w:r w:rsidR="005D6605">
              <w:t xml:space="preserve"> </w:t>
            </w:r>
            <w:r w:rsidRPr="00F430B1">
              <w:t xml:space="preserve">29 June </w:t>
            </w:r>
            <w:r w:rsidR="00245FDB" w:rsidRPr="00F430B1">
              <w:t>2020.</w:t>
            </w:r>
            <w:r w:rsidRPr="00F430B1">
              <w:t xml:space="preserve"> The first disbursement of USD 2 million was made </w:t>
            </w:r>
            <w:r w:rsidR="003A1ED2" w:rsidRPr="00F430B1">
              <w:t>in 2019</w:t>
            </w:r>
            <w:r w:rsidRPr="00F430B1">
              <w:t>.</w:t>
            </w:r>
          </w:p>
          <w:p w14:paraId="763644E0" w14:textId="77777777" w:rsidR="00F430B1" w:rsidRDefault="00F430B1" w:rsidP="005768B0">
            <w:pPr>
              <w:pStyle w:val="ListParagraph"/>
              <w:ind w:left="0"/>
              <w:jc w:val="both"/>
            </w:pPr>
          </w:p>
          <w:p w14:paraId="7E6952DB" w14:textId="3C95B670" w:rsidR="00F430B1" w:rsidRDefault="00FC5E0D" w:rsidP="005768B0">
            <w:pPr>
              <w:pStyle w:val="ListParagraph"/>
              <w:numPr>
                <w:ilvl w:val="0"/>
                <w:numId w:val="10"/>
              </w:numPr>
              <w:ind w:left="0" w:firstLine="15"/>
              <w:jc w:val="both"/>
            </w:pPr>
            <w:r>
              <w:t>To determine eligibility of households for component 1, t</w:t>
            </w:r>
            <w:r w:rsidRPr="00FC5E0D">
              <w:t>he COVID-19 pandemic and ongoing adjustments to the PMT</w:t>
            </w:r>
            <w:r>
              <w:t xml:space="preserve"> </w:t>
            </w:r>
            <w:r w:rsidRPr="00FC5E0D">
              <w:t xml:space="preserve">for targeting posed significant challenges. Key strategy for advertising the </w:t>
            </w:r>
            <w:r w:rsidR="00FB34CB">
              <w:t>P</w:t>
            </w:r>
            <w:r w:rsidRPr="00FC5E0D">
              <w:t xml:space="preserve">roject </w:t>
            </w:r>
            <w:r w:rsidR="005005F7">
              <w:t xml:space="preserve">and to </w:t>
            </w:r>
            <w:r w:rsidR="005005F7" w:rsidRPr="00274F38">
              <w:t>encourage participation of poor households in the PMT survey</w:t>
            </w:r>
            <w:r w:rsidR="005005F7" w:rsidRPr="00FC5E0D">
              <w:t xml:space="preserve"> </w:t>
            </w:r>
            <w:r w:rsidRPr="00FC5E0D">
              <w:t>was awareness raising activities</w:t>
            </w:r>
            <w:r w:rsidR="005005F7">
              <w:t>. Specifically</w:t>
            </w:r>
            <w:r w:rsidR="007315B7">
              <w:t>,</w:t>
            </w:r>
            <w:r w:rsidR="00FB34CB" w:rsidRPr="00274F38">
              <w:t xml:space="preserve"> </w:t>
            </w:r>
            <w:r w:rsidR="00FB34CB">
              <w:t>MIA</w:t>
            </w:r>
            <w:r w:rsidR="00FB34CB" w:rsidRPr="00274F38">
              <w:t xml:space="preserve"> </w:t>
            </w:r>
            <w:r w:rsidR="00FB34CB">
              <w:t>ran</w:t>
            </w:r>
            <w:r w:rsidR="00FB34CB" w:rsidRPr="00274F38">
              <w:t xml:space="preserve"> a campaign of public consultation and radio </w:t>
            </w:r>
            <w:r w:rsidR="00FB34CB" w:rsidRPr="00237FFC">
              <w:t>programs; they also received recommendations for households who may be eligible from community leaders, and churches.</w:t>
            </w:r>
            <w:r w:rsidR="007315B7" w:rsidRPr="00237FFC">
              <w:t xml:space="preserve"> </w:t>
            </w:r>
            <w:r w:rsidRPr="00237FFC">
              <w:t>However</w:t>
            </w:r>
            <w:r w:rsidR="00237FFC" w:rsidRPr="00237FFC">
              <w:t xml:space="preserve">, </w:t>
            </w:r>
            <w:r w:rsidR="007315B7" w:rsidRPr="00237FFC">
              <w:t>MIA</w:t>
            </w:r>
            <w:r w:rsidRPr="00237FFC">
              <w:t xml:space="preserve"> requi</w:t>
            </w:r>
            <w:r w:rsidRPr="00FC5E0D">
              <w:t>red substantial technical assistance and resources to manage enrolment, compliance verification, and payments effectively</w:t>
            </w:r>
            <w:r w:rsidR="00AE76DC">
              <w:t xml:space="preserve"> – which w</w:t>
            </w:r>
            <w:r w:rsidR="0090296D">
              <w:t>as provided by the World Bank Task Team through frequent missions</w:t>
            </w:r>
            <w:r w:rsidRPr="00FC5E0D">
              <w:t>.</w:t>
            </w:r>
            <w:r w:rsidR="00A11B83">
              <w:t xml:space="preserve"> </w:t>
            </w:r>
          </w:p>
          <w:p w14:paraId="793A44EE" w14:textId="77777777" w:rsidR="005D0137" w:rsidRDefault="005D0137" w:rsidP="005768B0">
            <w:pPr>
              <w:pStyle w:val="ListParagraph"/>
              <w:ind w:left="0"/>
            </w:pPr>
          </w:p>
          <w:p w14:paraId="66EBA588" w14:textId="0B6156A8" w:rsidR="005D0137" w:rsidRDefault="00D15444" w:rsidP="005768B0">
            <w:pPr>
              <w:pStyle w:val="ListParagraph"/>
              <w:numPr>
                <w:ilvl w:val="0"/>
                <w:numId w:val="10"/>
              </w:numPr>
              <w:ind w:left="0" w:firstLine="0"/>
              <w:jc w:val="both"/>
            </w:pPr>
            <w:r>
              <w:t xml:space="preserve">For component 2, </w:t>
            </w:r>
            <w:r w:rsidRPr="00D15444">
              <w:t>several key constraints impacted the QIGs</w:t>
            </w:r>
            <w:r>
              <w:t xml:space="preserve">, such as </w:t>
            </w:r>
            <w:r w:rsidRPr="00D15444">
              <w:t>training providers struggling to meet the local TNQAB accreditation standards, institutions requiring significant facility upgrades beyond available grant funding, and ensuring that training programs align with employment opportunities both within Tonga and internationally.</w:t>
            </w:r>
            <w:r w:rsidR="00C631F6">
              <w:t xml:space="preserve"> Similarly, the TSSF also </w:t>
            </w:r>
            <w:r w:rsidR="001A2960">
              <w:t xml:space="preserve">faced challenges of sustainability of funds and </w:t>
            </w:r>
            <w:r w:rsidR="00DE0AAB">
              <w:t xml:space="preserve">lack of awareness of the fund. </w:t>
            </w:r>
          </w:p>
          <w:p w14:paraId="0130C32D" w14:textId="77777777" w:rsidR="00092F60" w:rsidRDefault="00092F60" w:rsidP="005768B0">
            <w:pPr>
              <w:pStyle w:val="ListParagraph"/>
              <w:ind w:left="0"/>
            </w:pPr>
          </w:p>
          <w:p w14:paraId="030C0093" w14:textId="724F7BC9" w:rsidR="00F430B1" w:rsidRPr="00F430B1" w:rsidRDefault="00072042" w:rsidP="005768B0">
            <w:pPr>
              <w:pStyle w:val="ListParagraph"/>
              <w:numPr>
                <w:ilvl w:val="0"/>
                <w:numId w:val="10"/>
              </w:numPr>
              <w:ind w:left="0" w:firstLine="0"/>
              <w:jc w:val="both"/>
            </w:pPr>
            <w:r w:rsidRPr="00072042">
              <w:t xml:space="preserve">The </w:t>
            </w:r>
            <w:r w:rsidR="00DB10F0">
              <w:t>p</w:t>
            </w:r>
            <w:r w:rsidRPr="00072042">
              <w:t>re-</w:t>
            </w:r>
            <w:r w:rsidR="00DB10F0">
              <w:t>d</w:t>
            </w:r>
            <w:r w:rsidRPr="00072042">
              <w:t>eparture</w:t>
            </w:r>
            <w:r w:rsidR="00DB10F0">
              <w:t xml:space="preserve"> t</w:t>
            </w:r>
            <w:r w:rsidRPr="00072042">
              <w:t xml:space="preserve">raining </w:t>
            </w:r>
            <w:r w:rsidR="00DB10F0">
              <w:t>for</w:t>
            </w:r>
            <w:r w:rsidRPr="00072042">
              <w:t xml:space="preserve"> Tongan migrant workers </w:t>
            </w:r>
            <w:r w:rsidR="00DB10F0">
              <w:t>was i</w:t>
            </w:r>
            <w:r w:rsidRPr="00072042">
              <w:t xml:space="preserve">nitially </w:t>
            </w:r>
            <w:r w:rsidR="00DB10F0">
              <w:t xml:space="preserve">planned as </w:t>
            </w:r>
            <w:r w:rsidRPr="00072042">
              <w:t xml:space="preserve">a 1-day program due to budget </w:t>
            </w:r>
            <w:r w:rsidR="00245FDB" w:rsidRPr="00072042">
              <w:t>constraints but</w:t>
            </w:r>
            <w:r w:rsidR="00DB10F0">
              <w:t xml:space="preserve"> </w:t>
            </w:r>
            <w:r w:rsidRPr="00072042">
              <w:t xml:space="preserve">was expanded to 3 days to provide more in-depth guidance, ensuring workers are well-informed and ready for their new roles. Some challenges included workers, particularly those from remote areas, having difficulty attending sessions. This issue was addressed by allocating resources to the outer islands, </w:t>
            </w:r>
            <w:r w:rsidR="004A6F62">
              <w:t xml:space="preserve">and </w:t>
            </w:r>
            <w:r w:rsidRPr="00072042">
              <w:t xml:space="preserve">enabling training sessions and wellness checks to be conducted in remote locations. Initially, the </w:t>
            </w:r>
            <w:r w:rsidR="004A6F62">
              <w:t>OED</w:t>
            </w:r>
            <w:r w:rsidRPr="00072042">
              <w:t xml:space="preserve"> had limited capacity and staffing, which impeded the expansion of training content and delivery. However,</w:t>
            </w:r>
            <w:r w:rsidR="00523735">
              <w:t xml:space="preserve"> </w:t>
            </w:r>
            <w:r w:rsidRPr="00072042">
              <w:t>this area of training capacity was enhanced</w:t>
            </w:r>
            <w:r w:rsidR="00523735">
              <w:t xml:space="preserve"> through SET</w:t>
            </w:r>
            <w:r w:rsidRPr="00072042">
              <w:t>.</w:t>
            </w:r>
            <w:r w:rsidR="00FF1BE6">
              <w:t xml:space="preserve"> </w:t>
            </w:r>
            <w:r w:rsidR="00D31D21">
              <w:t>Relatedly, the</w:t>
            </w:r>
            <w:r w:rsidR="00FF1BE6">
              <w:t xml:space="preserve"> introduction of the PLF posed some challenges, </w:t>
            </w:r>
            <w:r w:rsidR="00D31D21">
              <w:t>but were</w:t>
            </w:r>
            <w:r w:rsidR="00FF1BE6">
              <w:t xml:space="preserve"> addressed by SET’s re</w:t>
            </w:r>
            <w:r w:rsidR="00D31D21">
              <w:t xml:space="preserve">structuring. </w:t>
            </w:r>
            <w:r w:rsidR="00D31D21" w:rsidRPr="00D31D21">
              <w:t>While this transition required coordination, policy refinements, and restructuring within SET,</w:t>
            </w:r>
            <w:r w:rsidR="00485BC6">
              <w:t xml:space="preserve"> it also</w:t>
            </w:r>
            <w:r w:rsidR="00D31D21" w:rsidRPr="00D31D21">
              <w:t xml:space="preserve"> reinforced Tonga’s labor mobility framework, helping efficiency and ensuring the government could better support workers accessing employment opportunities </w:t>
            </w:r>
            <w:r w:rsidR="00071419">
              <w:t>abroad</w:t>
            </w:r>
            <w:r w:rsidR="00D31D21" w:rsidRPr="00D31D21">
              <w:t>.</w:t>
            </w:r>
          </w:p>
        </w:tc>
      </w:tr>
    </w:tbl>
    <w:p w14:paraId="43C7CF68" w14:textId="77777777" w:rsidR="000C7D2C" w:rsidRDefault="000C7D2C" w:rsidP="005768B0">
      <w:pPr>
        <w:jc w:val="both"/>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57AD9632" w14:textId="77777777" w:rsidTr="00DE64B3">
        <w:trPr>
          <w:trHeight w:val="403"/>
        </w:trPr>
        <w:tc>
          <w:tcPr>
            <w:tcW w:w="10980" w:type="dxa"/>
            <w:shd w:val="clear" w:color="auto" w:fill="F2F7FC"/>
            <w:vAlign w:val="center"/>
          </w:tcPr>
          <w:p w14:paraId="636C956E" w14:textId="77777777" w:rsidR="00447EA0" w:rsidRPr="00DD5666" w:rsidRDefault="00D310E2" w:rsidP="005768B0">
            <w:pPr>
              <w:pStyle w:val="Heading3"/>
              <w:keepNext w:val="0"/>
              <w:keepLines w:val="0"/>
              <w:numPr>
                <w:ilvl w:val="0"/>
                <w:numId w:val="2"/>
              </w:numPr>
              <w:ind w:left="0" w:hanging="187"/>
              <w:jc w:val="both"/>
              <w:rPr>
                <w:noProof/>
              </w:rPr>
            </w:pPr>
            <w:bookmarkStart w:id="17" w:name="_Toc198922298"/>
            <w:bookmarkStart w:id="18" w:name="_Hlk78994324_1"/>
            <w:r w:rsidRPr="00EA1240">
              <w:rPr>
                <w:rFonts w:eastAsia="Times New Roman"/>
              </w:rPr>
              <w:t>BANK PERFORMANCE, COMPLIANCE ISSUES, AND RISK TO DEVELOPMENT OUTCOME</w:t>
            </w:r>
            <w:bookmarkEnd w:id="17"/>
          </w:p>
        </w:tc>
      </w:tr>
      <w:bookmarkEnd w:id="18"/>
    </w:tbl>
    <w:p w14:paraId="3967D1F5" w14:textId="77777777" w:rsidR="00CE7E5B" w:rsidRDefault="00CE7E5B" w:rsidP="005768B0">
      <w:pPr>
        <w:jc w:val="both"/>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7E3EFA8F" w14:textId="77777777" w:rsidTr="004668AD">
        <w:trPr>
          <w:trHeight w:val="403"/>
        </w:trPr>
        <w:tc>
          <w:tcPr>
            <w:tcW w:w="10980" w:type="dxa"/>
            <w:shd w:val="clear" w:color="auto" w:fill="auto"/>
            <w:vAlign w:val="center"/>
          </w:tcPr>
          <w:p w14:paraId="5EEE7D04" w14:textId="77777777" w:rsidR="00DE64B3" w:rsidRPr="00300D2F" w:rsidRDefault="00D310E2" w:rsidP="007F0BED">
            <w:pPr>
              <w:pStyle w:val="ListParagraph"/>
              <w:numPr>
                <w:ilvl w:val="0"/>
                <w:numId w:val="6"/>
              </w:numPr>
              <w:spacing w:line="259" w:lineRule="auto"/>
              <w:ind w:left="0" w:firstLine="345"/>
              <w:jc w:val="both"/>
              <w:rPr>
                <w:b/>
                <w:bCs/>
              </w:rPr>
            </w:pPr>
            <w:bookmarkStart w:id="19" w:name="_Hlk78994478_2"/>
            <w:r w:rsidRPr="00300D2F">
              <w:rPr>
                <w:rFonts w:eastAsia="Calibri" w:cstheme="minorHAnsi"/>
                <w:b/>
                <w:bCs/>
              </w:rPr>
              <w:t>QUALITY OF MONITORING AND EVALUATION (M&amp;E)</w:t>
            </w:r>
          </w:p>
        </w:tc>
      </w:tr>
      <w:bookmarkEnd w:id="19"/>
    </w:tbl>
    <w:p w14:paraId="511F46AB" w14:textId="77777777" w:rsidR="00CA25DD" w:rsidRDefault="00CA25DD" w:rsidP="005768B0">
      <w:pPr>
        <w:jc w:val="both"/>
      </w:pPr>
    </w:p>
    <w:tbl>
      <w:tblPr>
        <w:tblStyle w:val="TableGrid"/>
        <w:tblW w:w="105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DD6229" w14:paraId="33C772BA" w14:textId="77777777" w:rsidTr="003A1ED2">
        <w:trPr>
          <w:trHeight w:val="872"/>
        </w:trPr>
        <w:tc>
          <w:tcPr>
            <w:tcW w:w="10530" w:type="dxa"/>
          </w:tcPr>
          <w:p w14:paraId="129997A5" w14:textId="77777777" w:rsidR="00FF3CB5" w:rsidRPr="00F430B1" w:rsidRDefault="00D310E2" w:rsidP="005768B0">
            <w:pPr>
              <w:jc w:val="both"/>
              <w:rPr>
                <w:b/>
                <w:bCs/>
              </w:rPr>
            </w:pPr>
            <w:r w:rsidRPr="00F430B1">
              <w:rPr>
                <w:b/>
                <w:bCs/>
              </w:rPr>
              <w:lastRenderedPageBreak/>
              <w:t>M&amp;E Design</w:t>
            </w:r>
          </w:p>
          <w:p w14:paraId="13934A51" w14:textId="77777777" w:rsidR="00F430B1" w:rsidRPr="00F430B1" w:rsidRDefault="00F430B1" w:rsidP="005768B0">
            <w:pPr>
              <w:pStyle w:val="ListParagraph"/>
              <w:numPr>
                <w:ilvl w:val="0"/>
                <w:numId w:val="10"/>
              </w:numPr>
              <w:ind w:left="0" w:firstLine="15"/>
              <w:jc w:val="both"/>
              <w:rPr>
                <w:rFonts w:eastAsia="Calibri" w:cstheme="minorHAnsi"/>
              </w:rPr>
            </w:pPr>
            <w:r>
              <w:t>The Project’s RF was concise and largely consistent with its PDO and project design,</w:t>
            </w:r>
            <w:r w:rsidRPr="5A40F163">
              <w:rPr>
                <w:rStyle w:val="FootnoteReference"/>
              </w:rPr>
              <w:footnoteReference w:id="14"/>
            </w:r>
            <w:r>
              <w:t xml:space="preserve"> except for the PDO indicator for component 1 which was later revised during a restructuring in 2022. The RF, as appraised, contained 3 PDO and 15 IR Indicators; with most being defined and described in the PAD, along with the methodology and responsibility for data collection, data source, and frequency. Post restructuring in 2022, two of the PDO indicators were replaced with indicators considered more measurable and achievable. Initially, the PDO indicator “Average duration of secondary school completed amongst the poorest decile – overall and female” did not capture part of the PDO that aimed to improve opportunities for secondary school progression. Post restructuring, this was replaced with indicators that capture the whole set of CCT beneficiaries, and not just those in the poorest decile. It also focused on completion of grades and transition to the next grade, thus better capturing the PDO. The PDO indicator “Share of beneficiaries who are employed in the domestic market” was deleted and replaced with an indicator measuring “Average completion rate of project-supported TVET programs.” This was changed in accordance with the measurement being ill-defined and an inability to measure employment in the labor market, especially during COVID-19, but was less well-placed to track the PDO in terms of the transition to jobs in the domestic or overseas labor market. The intermediate indicators were adequately complementary to measure the progression in the achievement of PDO indicators, and more importantly, they were measurable.</w:t>
            </w:r>
          </w:p>
          <w:p w14:paraId="1DAAB13F" w14:textId="77777777" w:rsidR="00F430B1" w:rsidRPr="00F430B1" w:rsidRDefault="00F430B1" w:rsidP="005768B0">
            <w:pPr>
              <w:pStyle w:val="ListParagraph"/>
              <w:ind w:left="0"/>
              <w:jc w:val="both"/>
              <w:rPr>
                <w:rFonts w:eastAsia="Calibri" w:cstheme="minorHAnsi"/>
              </w:rPr>
            </w:pPr>
          </w:p>
          <w:p w14:paraId="37E6FEBD" w14:textId="14A5D597" w:rsidR="00F430B1" w:rsidRPr="00F430B1" w:rsidRDefault="00F430B1" w:rsidP="005768B0">
            <w:pPr>
              <w:pStyle w:val="ListParagraph"/>
              <w:numPr>
                <w:ilvl w:val="0"/>
                <w:numId w:val="10"/>
              </w:numPr>
              <w:ind w:left="0" w:firstLine="15"/>
              <w:jc w:val="both"/>
              <w:rPr>
                <w:rFonts w:eastAsia="Calibri" w:cstheme="minorHAnsi"/>
              </w:rPr>
            </w:pPr>
            <w:r w:rsidRPr="00F430B1">
              <w:rPr>
                <w:rFonts w:eastAsia="Calibri" w:cstheme="minorHAnsi"/>
              </w:rPr>
              <w:t xml:space="preserve">Baseline values were all zero and target values for indicators were realistic for the Project. The PMU, MIA, and MET were responsible for </w:t>
            </w:r>
            <w:r w:rsidR="003A1ED2">
              <w:rPr>
                <w:rFonts w:eastAsia="Calibri" w:cstheme="minorHAnsi"/>
              </w:rPr>
              <w:t>most</w:t>
            </w:r>
            <w:r w:rsidR="003A1ED2" w:rsidRPr="00F430B1">
              <w:rPr>
                <w:rFonts w:eastAsia="Calibri" w:cstheme="minorHAnsi"/>
              </w:rPr>
              <w:t xml:space="preserve"> of</w:t>
            </w:r>
            <w:r w:rsidRPr="00F430B1">
              <w:rPr>
                <w:rFonts w:eastAsia="Calibri" w:cstheme="minorHAnsi"/>
              </w:rPr>
              <w:t xml:space="preserve"> the data collection. At appraisal, there was a clear plan to set up an MIS to track data and conduct tracer surveys for beneficiaries of component 2. Additionally, an impact evaluation of components 1 and 2, along with a clearly specified estimation strategy was included in the project design under component 4.2.  </w:t>
            </w:r>
            <w:r w:rsidR="003A1ED2" w:rsidRPr="00F430B1">
              <w:rPr>
                <w:rFonts w:eastAsia="Calibri" w:cstheme="minorHAnsi"/>
              </w:rPr>
              <w:t>Most</w:t>
            </w:r>
            <w:r w:rsidRPr="00F430B1">
              <w:rPr>
                <w:rFonts w:eastAsia="Calibri" w:cstheme="minorHAnsi"/>
              </w:rPr>
              <w:t xml:space="preserve"> indicators were planned to be collected annually; while considering the project design, a quarterly update of the intermediate indicators could have been potentially more useful for informing project progress.</w:t>
            </w:r>
          </w:p>
        </w:tc>
      </w:tr>
      <w:tr w:rsidR="00DD6229" w14:paraId="7549310B" w14:textId="77777777" w:rsidTr="003A1ED2">
        <w:trPr>
          <w:trHeight w:val="872"/>
        </w:trPr>
        <w:tc>
          <w:tcPr>
            <w:tcW w:w="10530" w:type="dxa"/>
          </w:tcPr>
          <w:p w14:paraId="3D7BFBE8" w14:textId="77777777" w:rsidR="00F430B1" w:rsidRDefault="00F430B1" w:rsidP="005768B0">
            <w:pPr>
              <w:jc w:val="both"/>
            </w:pPr>
          </w:p>
          <w:p w14:paraId="7BD2B2BE" w14:textId="77777777" w:rsidR="00FF3CB5" w:rsidRPr="00F430B1" w:rsidRDefault="00D310E2" w:rsidP="005768B0">
            <w:pPr>
              <w:jc w:val="both"/>
              <w:rPr>
                <w:b/>
                <w:bCs/>
              </w:rPr>
            </w:pPr>
            <w:r w:rsidRPr="00F430B1">
              <w:rPr>
                <w:b/>
                <w:bCs/>
              </w:rPr>
              <w:t>M&amp;E Implementation</w:t>
            </w:r>
          </w:p>
          <w:p w14:paraId="058909CA" w14:textId="3C2B302F" w:rsidR="00F430B1" w:rsidRPr="00F430B1" w:rsidRDefault="00E9765B" w:rsidP="005768B0">
            <w:pPr>
              <w:pStyle w:val="ListParagraph"/>
              <w:numPr>
                <w:ilvl w:val="0"/>
                <w:numId w:val="10"/>
              </w:numPr>
              <w:ind w:left="0" w:firstLine="0"/>
              <w:jc w:val="both"/>
              <w:rPr>
                <w:rFonts w:eastAsia="Calibri"/>
              </w:rPr>
            </w:pPr>
            <w:r w:rsidRPr="00E9765B">
              <w:rPr>
                <w:rFonts w:eastAsia="Calibri"/>
              </w:rPr>
              <w:t xml:space="preserve">M&amp;E implementation was mixed. The MIS was developed and operational by the end of the Project, with excellent data tracking for the progress of PDO and intermediate indicators associated with </w:t>
            </w:r>
            <w:r w:rsidR="008370B8">
              <w:rPr>
                <w:rFonts w:eastAsia="Calibri"/>
              </w:rPr>
              <w:t>c</w:t>
            </w:r>
            <w:r w:rsidRPr="00E9765B">
              <w:rPr>
                <w:rFonts w:eastAsia="Calibri"/>
              </w:rPr>
              <w:t xml:space="preserve">omponent 1. However, difficulties downloading data regularly from the MIS were reported, which affected the timeliness and accessibility of information for ongoing decision-making. Additionally, the tracking of indicators associated with </w:t>
            </w:r>
            <w:r w:rsidR="008370B8">
              <w:rPr>
                <w:rFonts w:eastAsia="Calibri"/>
              </w:rPr>
              <w:t>c</w:t>
            </w:r>
            <w:r w:rsidRPr="00E9765B">
              <w:rPr>
                <w:rFonts w:eastAsia="Calibri"/>
              </w:rPr>
              <w:t>omponents 2 was incomplete, partly due to fragmented data collection responsibilities among implementing partners and limited capacity at the sub-national level.</w:t>
            </w:r>
            <w:r w:rsidR="00E115CC">
              <w:rPr>
                <w:rFonts w:eastAsia="Calibri"/>
              </w:rPr>
              <w:t xml:space="preserve"> </w:t>
            </w:r>
            <w:r w:rsidR="00E115CC" w:rsidRPr="00E115CC">
              <w:rPr>
                <w:rFonts w:eastAsia="Calibri"/>
              </w:rPr>
              <w:t xml:space="preserve">Furthermore, the planned impact evaluation faced implementation challenges. </w:t>
            </w:r>
            <w:r w:rsidR="00EF0798">
              <w:rPr>
                <w:rFonts w:eastAsia="Calibri"/>
              </w:rPr>
              <w:t>A</w:t>
            </w:r>
            <w:r w:rsidR="00E115CC" w:rsidRPr="00E115CC">
              <w:rPr>
                <w:rFonts w:eastAsia="Calibri"/>
              </w:rPr>
              <w:t xml:space="preserve"> local firm</w:t>
            </w:r>
            <w:r w:rsidR="00EF0798">
              <w:rPr>
                <w:rFonts w:eastAsia="Calibri"/>
              </w:rPr>
              <w:t xml:space="preserve"> was initially commissioned</w:t>
            </w:r>
            <w:r w:rsidR="00E115CC" w:rsidRPr="00E115CC">
              <w:rPr>
                <w:rFonts w:eastAsia="Calibri"/>
              </w:rPr>
              <w:t>, but a review of the preliminary data found significant quality issues, including inconsistencies and incomplete records. In response, the World Bank team took the initiative to conduct the evaluation independently</w:t>
            </w:r>
            <w:r w:rsidR="008370B8">
              <w:rPr>
                <w:rFonts w:eastAsia="Calibri"/>
              </w:rPr>
              <w:t xml:space="preserve"> (Leng and Naidoo, forthcoming)</w:t>
            </w:r>
            <w:r w:rsidR="00E115CC" w:rsidRPr="00E115CC">
              <w:rPr>
                <w:rFonts w:eastAsia="Calibri"/>
              </w:rPr>
              <w:t>, ensuring methodological rigor and data quality, though the results were not yet available at Project closing.</w:t>
            </w:r>
          </w:p>
        </w:tc>
      </w:tr>
      <w:tr w:rsidR="00DD6229" w14:paraId="491CCF61" w14:textId="77777777" w:rsidTr="003A1ED2">
        <w:trPr>
          <w:trHeight w:val="872"/>
        </w:trPr>
        <w:tc>
          <w:tcPr>
            <w:tcW w:w="10530" w:type="dxa"/>
          </w:tcPr>
          <w:p w14:paraId="1DADC63D" w14:textId="77777777" w:rsidR="00F430B1" w:rsidRDefault="00F430B1" w:rsidP="005768B0">
            <w:pPr>
              <w:jc w:val="both"/>
            </w:pPr>
          </w:p>
          <w:p w14:paraId="7981134F" w14:textId="77777777" w:rsidR="00FF3CB5" w:rsidRPr="00F430B1" w:rsidRDefault="00D310E2" w:rsidP="005768B0">
            <w:pPr>
              <w:jc w:val="both"/>
              <w:rPr>
                <w:b/>
                <w:bCs/>
              </w:rPr>
            </w:pPr>
            <w:r w:rsidRPr="00F430B1">
              <w:rPr>
                <w:b/>
                <w:bCs/>
              </w:rPr>
              <w:t>M&amp;E Utilization</w:t>
            </w:r>
          </w:p>
          <w:p w14:paraId="44F508B9" w14:textId="1E2BFCC1" w:rsidR="00F430B1" w:rsidRDefault="00E115CC" w:rsidP="008370B8">
            <w:pPr>
              <w:pStyle w:val="ListParagraph"/>
              <w:numPr>
                <w:ilvl w:val="0"/>
                <w:numId w:val="10"/>
              </w:numPr>
              <w:ind w:left="0" w:firstLine="0"/>
              <w:jc w:val="both"/>
              <w:rPr>
                <w:rFonts w:eastAsia="Calibri" w:cstheme="minorHAnsi"/>
              </w:rPr>
            </w:pPr>
            <w:r w:rsidRPr="00E115CC">
              <w:rPr>
                <w:rFonts w:eastAsia="Calibri" w:cstheme="minorHAnsi"/>
              </w:rPr>
              <w:t xml:space="preserve">M&amp;E </w:t>
            </w:r>
            <w:r w:rsidRPr="008370B8">
              <w:rPr>
                <w:rFonts w:eastAsia="Calibri"/>
              </w:rPr>
              <w:t>was</w:t>
            </w:r>
            <w:r w:rsidRPr="00E115CC">
              <w:rPr>
                <w:rFonts w:eastAsia="Calibri" w:cstheme="minorHAnsi"/>
              </w:rPr>
              <w:t xml:space="preserve"> actively utilized to track the Project’s progress and to keep implementation on track, particularly in relation to </w:t>
            </w:r>
            <w:r w:rsidR="008370B8">
              <w:rPr>
                <w:rFonts w:eastAsia="Calibri" w:cstheme="minorHAnsi"/>
              </w:rPr>
              <w:t>c</w:t>
            </w:r>
            <w:r w:rsidRPr="00E115CC">
              <w:rPr>
                <w:rFonts w:eastAsia="Calibri" w:cstheme="minorHAnsi"/>
              </w:rPr>
              <w:t xml:space="preserve">omponent 1 activities. Regular monitoring data informed mid-course adjustments, and feedback loops were established to incorporate beneficiary insights into program design. The MIS will continue to serve as a tool for adaptive management in future program phases. However, the partial coverage of </w:t>
            </w:r>
            <w:r w:rsidR="008370B8">
              <w:rPr>
                <w:rFonts w:eastAsia="Calibri" w:cstheme="minorHAnsi"/>
              </w:rPr>
              <w:t>c</w:t>
            </w:r>
            <w:r w:rsidRPr="00E115CC">
              <w:rPr>
                <w:rFonts w:eastAsia="Calibri" w:cstheme="minorHAnsi"/>
              </w:rPr>
              <w:t>omponent 2 limited the overall use of M&amp;E to drive evidence-based decisions across the entire project scope.</w:t>
            </w:r>
          </w:p>
          <w:p w14:paraId="13EB68B6" w14:textId="5D781754" w:rsidR="00880441" w:rsidRPr="00F430B1" w:rsidRDefault="00880441" w:rsidP="005768B0">
            <w:pPr>
              <w:pStyle w:val="ListParagraph"/>
              <w:ind w:left="0"/>
              <w:jc w:val="both"/>
              <w:rPr>
                <w:rFonts w:eastAsia="Calibri" w:cstheme="minorHAnsi"/>
              </w:rPr>
            </w:pPr>
          </w:p>
        </w:tc>
      </w:tr>
      <w:tr w:rsidR="00DD6229" w14:paraId="2359E11A" w14:textId="77777777" w:rsidTr="003A1ED2">
        <w:trPr>
          <w:trHeight w:val="872"/>
        </w:trPr>
        <w:tc>
          <w:tcPr>
            <w:tcW w:w="10530" w:type="dxa"/>
          </w:tcPr>
          <w:p w14:paraId="26881AC7" w14:textId="77777777" w:rsidR="00FF3CB5" w:rsidRPr="00F430B1" w:rsidRDefault="00D310E2" w:rsidP="005768B0">
            <w:pPr>
              <w:jc w:val="both"/>
              <w:rPr>
                <w:b/>
                <w:bCs/>
              </w:rPr>
            </w:pPr>
            <w:r w:rsidRPr="00F430B1">
              <w:rPr>
                <w:b/>
                <w:bCs/>
              </w:rPr>
              <w:lastRenderedPageBreak/>
              <w:t>Justification of Overall Rating of Quality of M&amp;E</w:t>
            </w:r>
          </w:p>
          <w:p w14:paraId="714C9E18" w14:textId="57792E9C" w:rsidR="00F430B1" w:rsidRPr="00F430B1" w:rsidRDefault="00DE323E" w:rsidP="005768B0">
            <w:pPr>
              <w:pStyle w:val="ListParagraph"/>
              <w:numPr>
                <w:ilvl w:val="0"/>
                <w:numId w:val="10"/>
              </w:numPr>
              <w:ind w:left="0" w:firstLine="0"/>
              <w:jc w:val="both"/>
              <w:rPr>
                <w:rFonts w:eastAsia="Calibri" w:cstheme="minorHAnsi"/>
              </w:rPr>
            </w:pPr>
            <w:r w:rsidRPr="00DE323E">
              <w:t xml:space="preserve">The Quality of M&amp;E is rated </w:t>
            </w:r>
            <w:r w:rsidR="00025C88" w:rsidRPr="00025C88">
              <w:rPr>
                <w:b/>
                <w:bCs/>
              </w:rPr>
              <w:t>Substantial</w:t>
            </w:r>
            <w:r w:rsidRPr="00DE323E">
              <w:t xml:space="preserve"> despite the overall strong M&amp;E design, due to the combination of sound conceptualization and significant implementation gaps. While the system performed well for </w:t>
            </w:r>
            <w:r w:rsidR="008370B8">
              <w:t>c</w:t>
            </w:r>
            <w:r w:rsidRPr="00DE323E">
              <w:t xml:space="preserve">omponent 1, the inability to ensure consistent data collection and reporting for </w:t>
            </w:r>
            <w:r w:rsidR="008370B8">
              <w:t>c</w:t>
            </w:r>
            <w:r w:rsidRPr="00DE323E">
              <w:t xml:space="preserve">omponent 2, coupled with delays and quality issues in the impact evaluation, constrained the full realization of the M&amp;E system’s potential. In addition, some PDO-level indicators lacked specificity or were difficult to measure in practice, further limiting the ability to track outcomes comprehensively. These issues collectively justify a </w:t>
            </w:r>
            <w:r w:rsidR="00025C88" w:rsidRPr="00025C88">
              <w:rPr>
                <w:b/>
                <w:bCs/>
              </w:rPr>
              <w:t>Substantial</w:t>
            </w:r>
            <w:r w:rsidR="00025C88" w:rsidRPr="00DE323E">
              <w:t xml:space="preserve"> </w:t>
            </w:r>
            <w:r w:rsidRPr="00DE323E">
              <w:t>rating.</w:t>
            </w:r>
          </w:p>
        </w:tc>
      </w:tr>
    </w:tbl>
    <w:p w14:paraId="65502F8E" w14:textId="77777777" w:rsidR="00FF3CB5" w:rsidRDefault="00FF3CB5" w:rsidP="005768B0">
      <w:pPr>
        <w:jc w:val="both"/>
      </w:pPr>
    </w:p>
    <w:tbl>
      <w:tblPr>
        <w:tblStyle w:val="TableGrid"/>
        <w:tblW w:w="105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530"/>
      </w:tblGrid>
      <w:tr w:rsidR="00DD6229" w14:paraId="5B1BDCB6" w14:textId="77777777" w:rsidTr="003A1ED2">
        <w:trPr>
          <w:trHeight w:val="403"/>
        </w:trPr>
        <w:tc>
          <w:tcPr>
            <w:tcW w:w="10530" w:type="dxa"/>
            <w:shd w:val="clear" w:color="auto" w:fill="auto"/>
            <w:vAlign w:val="center"/>
          </w:tcPr>
          <w:p w14:paraId="448CD162" w14:textId="77777777" w:rsidR="00F430B1" w:rsidRPr="00F430B1" w:rsidRDefault="00D310E2" w:rsidP="003A1ED2">
            <w:pPr>
              <w:pStyle w:val="ListParagraph"/>
              <w:numPr>
                <w:ilvl w:val="0"/>
                <w:numId w:val="6"/>
              </w:numPr>
              <w:spacing w:line="259" w:lineRule="auto"/>
              <w:ind w:left="0" w:hanging="15"/>
              <w:jc w:val="both"/>
              <w:rPr>
                <w:b/>
                <w:bCs/>
              </w:rPr>
            </w:pPr>
            <w:r w:rsidRPr="00F430B1">
              <w:rPr>
                <w:rFonts w:eastAsia="Calibri" w:cstheme="minorHAnsi"/>
                <w:b/>
                <w:bCs/>
              </w:rPr>
              <w:t>ENVIRONMENTAL, SOCIAL, AND FIDUCIARY COMPLIANCE</w:t>
            </w:r>
          </w:p>
          <w:p w14:paraId="1D93B7DB" w14:textId="77777777" w:rsidR="00F430B1" w:rsidRDefault="00F430B1" w:rsidP="005768B0">
            <w:pPr>
              <w:spacing w:line="259" w:lineRule="auto"/>
              <w:jc w:val="both"/>
            </w:pPr>
          </w:p>
          <w:p w14:paraId="6D64B8B1" w14:textId="0F828138" w:rsidR="00F430B1" w:rsidRDefault="00F430B1" w:rsidP="005768B0">
            <w:pPr>
              <w:pStyle w:val="ListParagraph"/>
              <w:numPr>
                <w:ilvl w:val="0"/>
                <w:numId w:val="10"/>
              </w:numPr>
              <w:spacing w:line="259" w:lineRule="auto"/>
              <w:ind w:left="0" w:firstLine="0"/>
              <w:jc w:val="both"/>
            </w:pPr>
            <w:r w:rsidRPr="00F430B1">
              <w:t xml:space="preserve">During appraisal, the project was screened as Category C and as a result did not trigger any World Bank safeguards policies. Environmental risks associated with the project were assessed as low, as the project did not involve any physical works, and project activities were not associated with any impact on the environment. Minor environmental and occupational health and safety risks were associated with the purchase, installation, and operation of equipment for pre-departure screening and TVET quality improvement plants. Minor social risks related to grievances associated with the fair and equitable delivery of project activities with a focus on the conditional cash transfer program and were managed through effective stakeholder engagement. Given the low risks, no instruments were prepared during preparation. The Project Operation Manual (POM) outlined measures to avoid or mitigate these low risks, including a grievance redress mechanism which was operational through project implementation. Environmental and Social Codes of </w:t>
            </w:r>
            <w:r w:rsidR="00245FDB" w:rsidRPr="00F430B1">
              <w:t>Practice</w:t>
            </w:r>
            <w:r w:rsidRPr="00F430B1">
              <w:t xml:space="preserve"> were prepared to address minor E&amp;S risks associated with procurement and installation of equipment for pre-departure screenings (x-ray). During implementation a rapid due diligence of environmental, social, health and safety management measures in place at each TVET QIG was undertaken, with recommendations related to monitoring and awareness of grievance mechanisms implemented.</w:t>
            </w:r>
          </w:p>
          <w:p w14:paraId="06BF98AD" w14:textId="77777777" w:rsidR="00F430B1" w:rsidRDefault="00F430B1" w:rsidP="005768B0">
            <w:pPr>
              <w:pStyle w:val="ListParagraph"/>
              <w:spacing w:line="259" w:lineRule="auto"/>
              <w:ind w:left="0"/>
              <w:jc w:val="both"/>
            </w:pPr>
          </w:p>
          <w:p w14:paraId="77709387" w14:textId="77777777" w:rsidR="00F430B1" w:rsidRDefault="00F430B1" w:rsidP="005768B0">
            <w:pPr>
              <w:pStyle w:val="ListParagraph"/>
              <w:numPr>
                <w:ilvl w:val="0"/>
                <w:numId w:val="10"/>
              </w:numPr>
              <w:spacing w:line="259" w:lineRule="auto"/>
              <w:ind w:left="0" w:firstLine="0"/>
              <w:jc w:val="both"/>
            </w:pPr>
            <w:r>
              <w:t>The PMU Project Manager was responsible for ensuring that E&amp;S risks under SET were managed. E&amp;S resources within CSU, comprised of an E&amp;S Specialist and later during implementation, an E&amp;S Officer, provided support to the Project Manager in ensuring compliance with E&amp;S requirements of WB Safeguards policies. During the implementation, it became evident that additional support was necessary for the execution of required E&amp;S risk management measures. A key lesson learned is to incorporate E&amp;S support within the PMU whenever E&amp;S risk management work is involved. To address this gap, support was provided by the World Bank’s in-country Short-Term Consultant (STC) Social Protection/Safeguards Specialist.</w:t>
            </w:r>
          </w:p>
          <w:p w14:paraId="34D89BE1" w14:textId="77777777" w:rsidR="00F430B1" w:rsidRDefault="00F430B1" w:rsidP="005768B0">
            <w:pPr>
              <w:pStyle w:val="ListParagraph"/>
              <w:spacing w:line="259" w:lineRule="auto"/>
              <w:ind w:left="0"/>
              <w:jc w:val="both"/>
            </w:pPr>
          </w:p>
          <w:p w14:paraId="74E0C7B3" w14:textId="77777777" w:rsidR="00F430B1" w:rsidRDefault="00F430B1" w:rsidP="005768B0">
            <w:pPr>
              <w:pStyle w:val="ListParagraph"/>
              <w:numPr>
                <w:ilvl w:val="0"/>
                <w:numId w:val="10"/>
              </w:numPr>
              <w:spacing w:line="259" w:lineRule="auto"/>
              <w:ind w:left="0" w:firstLine="0"/>
              <w:jc w:val="both"/>
            </w:pPr>
            <w:r>
              <w:t xml:space="preserve">The project's Financial Management (FM) risk remained ‘Moderate’ throughout implementation, though its FM performance rating initially dropped from Moderately Satisfactory to Moderately Unsatisfactory in 2023 due to overdue Interim Financial Reports (IFR), the delayed FY22 audit, and issues flagged in the FY22/23 audit management letter, which cited ineligible expenditures and internal control weaknesses. These included unresolved questionable expenditures of TOP 6,200 from prior years, an additional TOP 4,800 in unsupported accommodation costs for a staff retreat, incomplete fixed asset records, and improper cash reconciliations. By September 2024, the FM rating rebounded to Moderately Satisfactory after the TOP 6,200 was refunded in January 2024, and the PMU provided satisfactory documentation for the TOP 4,800 expenditure, with corrective actions integrated into the approved annual work plan. The FY24 audit highlighted lingering issues with untimely reconciliation of Sun System transactions, which are slated for resolution via a remedial action plan and collaboration with the Ministry of Finance (MoF) (earlier known as Ministry of National Planning (MFNP)) by June 30, 2025. At the time of reporting, the </w:t>
            </w:r>
            <w:r>
              <w:lastRenderedPageBreak/>
              <w:t>December 2024 IFR has been submitted, with the final one covering January 2025–April 2025 pending (with a grace period of 45 days after the reporting period ends). The project achieved a disbursement rate of 99.77%.  The project also funded a CSU with FM specialist providing technical support and capacity building for all World Bank funded projects in Tonga.</w:t>
            </w:r>
          </w:p>
          <w:p w14:paraId="6E5A0A5F" w14:textId="77777777" w:rsidR="00F430B1" w:rsidRDefault="00F430B1" w:rsidP="005768B0">
            <w:pPr>
              <w:pStyle w:val="ListParagraph"/>
              <w:spacing w:line="259" w:lineRule="auto"/>
              <w:ind w:left="0"/>
              <w:jc w:val="both"/>
            </w:pPr>
          </w:p>
          <w:p w14:paraId="503D4F66" w14:textId="72FE1740" w:rsidR="00F430B1" w:rsidRPr="004927BC" w:rsidRDefault="00362606" w:rsidP="005768B0">
            <w:pPr>
              <w:pStyle w:val="ListParagraph"/>
              <w:numPr>
                <w:ilvl w:val="0"/>
                <w:numId w:val="10"/>
              </w:numPr>
              <w:spacing w:line="259" w:lineRule="auto"/>
              <w:ind w:left="0" w:firstLine="15"/>
              <w:jc w:val="both"/>
            </w:pPr>
            <w:r w:rsidRPr="00362606">
              <w:t xml:space="preserve">Procurement implementation was marked by inefficiencies and limited use of available systems for effective monitoring. Most contracts by MIA’s PMU and MOF’s CSU were procured behind schedule. The main cause </w:t>
            </w:r>
            <w:r w:rsidR="00A44545" w:rsidRPr="00362606">
              <w:t>of</w:t>
            </w:r>
            <w:r w:rsidRPr="00362606">
              <w:t xml:space="preserve"> this inefficiency was the lack of technical readiness </w:t>
            </w:r>
            <w:r w:rsidR="00A44545" w:rsidRPr="00362606">
              <w:t>for</w:t>
            </w:r>
            <w:r w:rsidRPr="00362606">
              <w:t xml:space="preserve"> the activities to be implemented. For example, the contract for MET’s Education Management Information System, one of the largest ones under the project and valued at USD 551,371, was procured eight months behind schedule due to delays in the finalization of its technical scope. The scope was only finalized in July 2023, or six months behind the PMU’s schedule and 46 months after the project’s approval.  Additionally, the lack of timely update of the units’ records in the Bank’s STEP system, including in relation to contract management, significantly constrained effective monitoring. On the positive side, there was positive cooperation between MIA’s PMU and MOF’s CSU. In 2022, the CSU established a roster of “on call” procurement experts, which was an enhancement to address peaks in the for the CSU’s hands-on procurement services</w:t>
            </w:r>
            <w:r w:rsidR="00F430B1">
              <w:t>.</w:t>
            </w:r>
          </w:p>
        </w:tc>
      </w:tr>
    </w:tbl>
    <w:p w14:paraId="2D7C32BA" w14:textId="77777777" w:rsidR="00A068D3" w:rsidRDefault="00A068D3" w:rsidP="005768B0">
      <w:pPr>
        <w:jc w:val="both"/>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3769A03C" w14:textId="77777777" w:rsidTr="00993CEF">
        <w:trPr>
          <w:trHeight w:val="403"/>
        </w:trPr>
        <w:tc>
          <w:tcPr>
            <w:tcW w:w="10980" w:type="dxa"/>
            <w:shd w:val="clear" w:color="auto" w:fill="auto"/>
            <w:vAlign w:val="center"/>
          </w:tcPr>
          <w:p w14:paraId="10B2D387" w14:textId="77777777" w:rsidR="005D0FB3" w:rsidRPr="00F430B1" w:rsidRDefault="00D310E2" w:rsidP="003A1ED2">
            <w:pPr>
              <w:pStyle w:val="ListParagraph"/>
              <w:numPr>
                <w:ilvl w:val="0"/>
                <w:numId w:val="6"/>
              </w:numPr>
              <w:spacing w:line="259" w:lineRule="auto"/>
              <w:ind w:left="0" w:firstLine="165"/>
              <w:jc w:val="both"/>
              <w:rPr>
                <w:b/>
                <w:bCs/>
              </w:rPr>
            </w:pPr>
            <w:r w:rsidRPr="00F430B1">
              <w:rPr>
                <w:rFonts w:eastAsia="Calibri" w:cstheme="minorHAnsi"/>
                <w:b/>
                <w:bCs/>
              </w:rPr>
              <w:t>BANK PERFORMANCE</w:t>
            </w:r>
          </w:p>
        </w:tc>
      </w:tr>
    </w:tbl>
    <w:p w14:paraId="6A34EE7E" w14:textId="77777777" w:rsidR="00A068D3" w:rsidRDefault="00A068D3" w:rsidP="005768B0">
      <w:pPr>
        <w:jc w:val="both"/>
      </w:pPr>
    </w:p>
    <w:tbl>
      <w:tblPr>
        <w:tblStyle w:val="TableGrid"/>
        <w:tblW w:w="104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DD6229" w14:paraId="384CDC32" w14:textId="77777777" w:rsidTr="00F30F28">
        <w:trPr>
          <w:trHeight w:val="872"/>
        </w:trPr>
        <w:tc>
          <w:tcPr>
            <w:tcW w:w="10440" w:type="dxa"/>
          </w:tcPr>
          <w:p w14:paraId="5ACA025C" w14:textId="77777777" w:rsidR="002F18D5" w:rsidRPr="00F430B1" w:rsidRDefault="00D310E2" w:rsidP="005768B0">
            <w:pPr>
              <w:jc w:val="both"/>
              <w:rPr>
                <w:b/>
                <w:bCs/>
              </w:rPr>
            </w:pPr>
            <w:r w:rsidRPr="00F430B1">
              <w:rPr>
                <w:b/>
                <w:bCs/>
              </w:rPr>
              <w:t>Quality at Entry</w:t>
            </w:r>
          </w:p>
          <w:p w14:paraId="5DA5299D" w14:textId="77777777" w:rsidR="00F430B1" w:rsidRDefault="00F430B1" w:rsidP="005768B0">
            <w:pPr>
              <w:pStyle w:val="ListParagraph"/>
              <w:numPr>
                <w:ilvl w:val="0"/>
                <w:numId w:val="10"/>
              </w:numPr>
              <w:ind w:left="0" w:firstLine="0"/>
              <w:jc w:val="both"/>
            </w:pPr>
            <w:r>
              <w:t xml:space="preserve">The World Bank team prepared a focused multi-sectoral project, with activities ranging from education to labor markets – all grounded in an incentive system aimed at reducing poverty and improving human capital outcomes. Although the Project was complex in that it involved three implementing agencies and spanned secondary education as well as employment, the components put together had a coherent rationale. The Project team recognized that in the face of high rates of secondary school dropout and low-skilled outmigration (e.g., in seasonal activities such as fruit picking), it was necessary to provide opportunities for Tongans to complete at least secondary school education and encourage building mid-level skills. Thus, the Project incentivized and managed skilled migration, especially among vulnerable groups, as opposed to imposing policies that cub migration in a context where domestic labor demand is limited. In this way, the design of SET provides a good example of combining the Bank’s education, employment, and migration agendas. </w:t>
            </w:r>
          </w:p>
          <w:p w14:paraId="243A4161" w14:textId="77777777" w:rsidR="00F430B1" w:rsidRDefault="00F430B1" w:rsidP="005768B0">
            <w:pPr>
              <w:pStyle w:val="ListParagraph"/>
              <w:ind w:left="0"/>
              <w:jc w:val="both"/>
            </w:pPr>
          </w:p>
          <w:p w14:paraId="63A4CCCF" w14:textId="77777777" w:rsidR="00F430B1" w:rsidRDefault="00F430B1" w:rsidP="005768B0">
            <w:pPr>
              <w:pStyle w:val="ListParagraph"/>
              <w:numPr>
                <w:ilvl w:val="0"/>
                <w:numId w:val="10"/>
              </w:numPr>
              <w:ind w:left="0" w:firstLine="15"/>
              <w:jc w:val="both"/>
            </w:pPr>
            <w:r>
              <w:t>To mitigate the challenges that come with a small island economy that is vulnerable to external and natural shocks, the team put together streamlined implementation arrangements and measures to strengthen institutions and capacity within the country. The Project was ambitious to introduce many firsts in the country – CCTs, labor mobility schemes focus on the most vulnerable, among others. These ambitions were carefully converted into activities that were designed using global evidence on cash transfers and effective TVETs, and took a balanced approach that matched the realities of the context. The Project’s risks were well identified and mitigated to the extent possible. Its RF was simple and included measures for key outcomes, albeit some poorly defined.</w:t>
            </w:r>
          </w:p>
          <w:p w14:paraId="4452006F" w14:textId="77777777" w:rsidR="00F430B1" w:rsidRDefault="00F430B1" w:rsidP="005768B0">
            <w:pPr>
              <w:pStyle w:val="ListParagraph"/>
              <w:ind w:left="0"/>
              <w:jc w:val="both"/>
            </w:pPr>
          </w:p>
          <w:p w14:paraId="0BAE49AB" w14:textId="29340F66" w:rsidR="00F430B1" w:rsidRDefault="00F430B1" w:rsidP="005768B0">
            <w:pPr>
              <w:pStyle w:val="ListParagraph"/>
              <w:numPr>
                <w:ilvl w:val="0"/>
                <w:numId w:val="10"/>
              </w:numPr>
              <w:ind w:left="0" w:firstLine="15"/>
              <w:jc w:val="both"/>
            </w:pPr>
            <w:r w:rsidRPr="00F430B1">
              <w:t xml:space="preserve">Moreover, there were two key areas where the Bank’s support at entry had room for being more effective. First, the lack of effective dialogue between development partners before hitting the ground, often impeded by tight timelines for project delivery, led to setting impractical goals. </w:t>
            </w:r>
            <w:r w:rsidR="00DD0EB1">
              <w:t>Only TNQAB was able to secure national recognition for their program</w:t>
            </w:r>
            <w:r w:rsidRPr="00F430B1">
              <w:t xml:space="preserve">. A more coordinated dialogue with partners like DFAT during the design stage could have prevented the need to restructure this activity. However, the team did successfully find an alternative of recognized prior learning and provided training for it – which seems to have worked well in the end. Second, the </w:t>
            </w:r>
            <w:r w:rsidRPr="00F430B1">
              <w:lastRenderedPageBreak/>
              <w:t xml:space="preserve">inconsistency between the PDO and a component arising from the CSU being attached to SET was a design issue. In sum, while the preparation team put in place a project with most elements required for strong implementation, a few design-related aspects could have benefited from careful dialogue. The Bank Performance at </w:t>
            </w:r>
            <w:r w:rsidRPr="001016E4">
              <w:t>entry was Moderately Satisfactory.</w:t>
            </w:r>
          </w:p>
        </w:tc>
      </w:tr>
      <w:tr w:rsidR="00DD6229" w14:paraId="0A6E6CC2" w14:textId="77777777" w:rsidTr="00F30F28">
        <w:trPr>
          <w:trHeight w:val="872"/>
        </w:trPr>
        <w:tc>
          <w:tcPr>
            <w:tcW w:w="10440" w:type="dxa"/>
          </w:tcPr>
          <w:p w14:paraId="042EB494" w14:textId="77777777" w:rsidR="00F430B1" w:rsidRPr="001016E4" w:rsidRDefault="00F430B1" w:rsidP="005768B0">
            <w:pPr>
              <w:jc w:val="both"/>
            </w:pPr>
          </w:p>
          <w:p w14:paraId="34575D10" w14:textId="77777777" w:rsidR="002F18D5" w:rsidRPr="001016E4" w:rsidRDefault="00D310E2" w:rsidP="005768B0">
            <w:pPr>
              <w:jc w:val="both"/>
              <w:rPr>
                <w:b/>
                <w:bCs/>
              </w:rPr>
            </w:pPr>
            <w:r w:rsidRPr="001016E4">
              <w:rPr>
                <w:b/>
                <w:bCs/>
              </w:rPr>
              <w:t>Quality of Supervision</w:t>
            </w:r>
          </w:p>
          <w:p w14:paraId="77A8310B" w14:textId="59B7652A" w:rsidR="00F430B1" w:rsidRPr="001016E4" w:rsidRDefault="00F430B1" w:rsidP="005768B0">
            <w:pPr>
              <w:pStyle w:val="ListParagraph"/>
              <w:numPr>
                <w:ilvl w:val="0"/>
                <w:numId w:val="10"/>
              </w:numPr>
              <w:ind w:left="0" w:firstLine="0"/>
              <w:jc w:val="both"/>
            </w:pPr>
            <w:r w:rsidRPr="001016E4">
              <w:t xml:space="preserve">The World Bank team’s supervision was timely and responsive to challenges and opportunities during implementation. In keeping pace with changing circumstances and needs of the client, the supervision team responded quickly to two requests from the GoT for restructuring to avoid duplication of activities, adapt some activities to the triple crises, and allow students to complete their school year. Upon realizing that DFAT had launched labor mobility support activities </w:t>
            </w:r>
            <w:proofErr w:type="gramStart"/>
            <w:r w:rsidRPr="001016E4">
              <w:t>similar to</w:t>
            </w:r>
            <w:proofErr w:type="gramEnd"/>
            <w:r w:rsidRPr="001016E4">
              <w:t xml:space="preserve"> those financed by the Project, the World Bank team coordinated with the development partner to adjust activities under SET. Restructuring these activities not only avoided duplication and complemented efforts on the ground, but also enabled scaling up of activities that were aimed at those most affected by the pandemic (such as Tongans in the Outer Islands). The team prepared </w:t>
            </w:r>
            <w:r w:rsidR="00245FDB" w:rsidRPr="001016E4">
              <w:t>fifteen thorough</w:t>
            </w:r>
            <w:r w:rsidRPr="001016E4">
              <w:t xml:space="preserve"> Implementation Status and Results Reports with updated monitoring data and realistic assessments of performance and worked closely with the GoT in the preparation of its Completion Report. More importantly, the team supported the GoT in identifying measures to course-correct when minor FM issues surfaced. In its final phase, the team worked with the GoT in preparing a follow-on Project to ensure continuation of the cash transfers, thus allowing the systems that were put in place by SET to serve their purpose. However, at the stage of writing this ICR, the objective sustainability of the efforts made by SET is in question as the prepared follow-on operation is not foreseen. Thus, the Bank Performance during supervision is Satisfactory.</w:t>
            </w:r>
          </w:p>
        </w:tc>
      </w:tr>
      <w:tr w:rsidR="00DD6229" w14:paraId="7801F430" w14:textId="77777777" w:rsidTr="00F30F28">
        <w:trPr>
          <w:trHeight w:val="872"/>
        </w:trPr>
        <w:tc>
          <w:tcPr>
            <w:tcW w:w="10440" w:type="dxa"/>
          </w:tcPr>
          <w:p w14:paraId="4C446DBB" w14:textId="77777777" w:rsidR="00F430B1" w:rsidRPr="001016E4" w:rsidRDefault="00F430B1" w:rsidP="005768B0">
            <w:pPr>
              <w:jc w:val="both"/>
            </w:pPr>
          </w:p>
          <w:p w14:paraId="2028D9DE" w14:textId="77777777" w:rsidR="002F18D5" w:rsidRPr="001016E4" w:rsidRDefault="00D310E2" w:rsidP="005768B0">
            <w:pPr>
              <w:jc w:val="both"/>
              <w:rPr>
                <w:b/>
                <w:bCs/>
              </w:rPr>
            </w:pPr>
            <w:r w:rsidRPr="001016E4">
              <w:rPr>
                <w:b/>
                <w:bCs/>
              </w:rPr>
              <w:t>Justification of Overall Rating of Bank Performance</w:t>
            </w:r>
          </w:p>
          <w:p w14:paraId="494F0865" w14:textId="4BF95D43" w:rsidR="00F430B1" w:rsidRPr="001016E4" w:rsidRDefault="00F430B1" w:rsidP="001347E3">
            <w:pPr>
              <w:pStyle w:val="ListParagraph"/>
              <w:ind w:left="0"/>
              <w:jc w:val="both"/>
            </w:pPr>
            <w:r w:rsidRPr="001016E4">
              <w:t>Overall World Bank performance is rated Satisfactory.</w:t>
            </w:r>
          </w:p>
        </w:tc>
      </w:tr>
    </w:tbl>
    <w:p w14:paraId="25FDD6E1" w14:textId="77777777" w:rsidR="00557395" w:rsidRDefault="00557395" w:rsidP="005768B0">
      <w:pPr>
        <w:jc w:val="both"/>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890"/>
      </w:tblGrid>
      <w:tr w:rsidR="00DD6229" w14:paraId="496BB79C" w14:textId="77777777" w:rsidTr="00F30F28">
        <w:trPr>
          <w:trHeight w:val="403"/>
        </w:trPr>
        <w:tc>
          <w:tcPr>
            <w:tcW w:w="10890" w:type="dxa"/>
            <w:shd w:val="clear" w:color="auto" w:fill="auto"/>
            <w:vAlign w:val="center"/>
          </w:tcPr>
          <w:p w14:paraId="7C67871A" w14:textId="77777777" w:rsidR="000C195E" w:rsidRPr="00D310E2" w:rsidRDefault="00D310E2" w:rsidP="003A1ED2">
            <w:pPr>
              <w:pStyle w:val="ListParagraph"/>
              <w:numPr>
                <w:ilvl w:val="0"/>
                <w:numId w:val="6"/>
              </w:numPr>
              <w:spacing w:line="259" w:lineRule="auto"/>
              <w:ind w:left="0" w:hanging="15"/>
              <w:jc w:val="both"/>
              <w:rPr>
                <w:b/>
                <w:bCs/>
              </w:rPr>
            </w:pPr>
            <w:r w:rsidRPr="00D310E2">
              <w:rPr>
                <w:rFonts w:eastAsia="Calibri" w:cstheme="minorHAnsi"/>
                <w:b/>
                <w:bCs/>
              </w:rPr>
              <w:t>RISK TO DEVELOPMENT OUTCOME</w:t>
            </w:r>
          </w:p>
          <w:p w14:paraId="34D712B8" w14:textId="77777777" w:rsidR="00F430B1" w:rsidRDefault="00F430B1" w:rsidP="005768B0">
            <w:pPr>
              <w:spacing w:line="259" w:lineRule="auto"/>
              <w:jc w:val="both"/>
            </w:pPr>
          </w:p>
          <w:p w14:paraId="23955489" w14:textId="77777777" w:rsidR="00F430B1" w:rsidRDefault="00F430B1" w:rsidP="005768B0">
            <w:pPr>
              <w:pStyle w:val="ListParagraph"/>
              <w:numPr>
                <w:ilvl w:val="0"/>
                <w:numId w:val="10"/>
              </w:numPr>
              <w:spacing w:line="259" w:lineRule="auto"/>
              <w:ind w:left="0" w:firstLine="0"/>
              <w:jc w:val="both"/>
            </w:pPr>
            <w:r w:rsidRPr="00F430B1">
              <w:t>The project has laid a strong foundation for enhancing skills and employment opportunities for Tongans. However, sustaining these outcomes faces several key risks. First, the continued commitment to financing conditional cash transfers (CCTs) remains uncertain, posing a risk to the project’s long-term impact. The CCTs played a crucial role in enabling vulnerable groups, particularly women, to participate in training and employment activities. While the program demonstrated its effectiveness, sustained public financing is not yet secured, which could result in decreased participation rates and lower economic inclusion for those who benefited most. The government’s fiscal constraints and competing budget priorities may challenge efforts to institutionalize these transfers, requiring proactive policy commitments to maintain financial support.</w:t>
            </w:r>
          </w:p>
          <w:p w14:paraId="18F9494F" w14:textId="77777777" w:rsidR="00F430B1" w:rsidRDefault="00F430B1" w:rsidP="005768B0">
            <w:pPr>
              <w:pStyle w:val="ListParagraph"/>
              <w:spacing w:line="259" w:lineRule="auto"/>
              <w:ind w:left="0"/>
              <w:jc w:val="both"/>
            </w:pPr>
          </w:p>
          <w:p w14:paraId="77C3543F" w14:textId="77777777" w:rsidR="00F430B1" w:rsidRDefault="00F430B1" w:rsidP="005768B0">
            <w:pPr>
              <w:pStyle w:val="ListParagraph"/>
              <w:numPr>
                <w:ilvl w:val="0"/>
                <w:numId w:val="10"/>
              </w:numPr>
              <w:spacing w:line="259" w:lineRule="auto"/>
              <w:ind w:left="0" w:firstLine="0"/>
              <w:jc w:val="both"/>
            </w:pPr>
            <w:r>
              <w:t xml:space="preserve">Tonga’s high labor mobility and reliance on overseas employment present both opportunities and challenges to sustaining domestic employment gains. While the SET project aimed to strengthen pathways to migration for a significant portion of the workforce seeking opportunities abroad, particularly in Australia and New Zealand. There is a risk that skills developed through SET may not return to Tonga’s domestic labor market, potentially limiting the long-term economic benefits for local employers and communities. </w:t>
            </w:r>
          </w:p>
          <w:p w14:paraId="1B83DA44" w14:textId="77777777" w:rsidR="00F430B1" w:rsidRDefault="00F430B1" w:rsidP="005768B0">
            <w:pPr>
              <w:spacing w:line="259" w:lineRule="auto"/>
              <w:jc w:val="both"/>
            </w:pPr>
          </w:p>
          <w:p w14:paraId="16294C95" w14:textId="2C593367" w:rsidR="00F430B1" w:rsidRPr="004927BC" w:rsidRDefault="00F430B1" w:rsidP="005768B0">
            <w:pPr>
              <w:pStyle w:val="ListParagraph"/>
              <w:numPr>
                <w:ilvl w:val="0"/>
                <w:numId w:val="10"/>
              </w:numPr>
              <w:spacing w:line="259" w:lineRule="auto"/>
              <w:ind w:left="0" w:firstLine="0"/>
              <w:jc w:val="both"/>
            </w:pPr>
            <w:r>
              <w:t xml:space="preserve">Furthermore, macroeconomic shocks, inflation, and climate-related risks pose a growing threat to economic stability and employment outcomes. Tonga’s small, open economy is highly vulnerable to external shocks, including </w:t>
            </w:r>
            <w:r>
              <w:lastRenderedPageBreak/>
              <w:t>inflationary pressures, remittance fluctuations, and global economic downturns, all of which can weaken the purchasing power of households and reduce demand for local employment.   Additionally, the increasing frequency and severity of climate-related events—such as cyclones and rising sea levels—can disrupt economic activities and displace workers. Without adequate resilience measures, these shocks may erode the gains achieved through the SET project, particularly for the most vulnerable populations.</w:t>
            </w:r>
          </w:p>
        </w:tc>
      </w:tr>
    </w:tbl>
    <w:p w14:paraId="6A712BC4" w14:textId="77777777" w:rsidR="003E2722" w:rsidRDefault="003E2722" w:rsidP="005768B0">
      <w:pPr>
        <w:jc w:val="both"/>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732A0785" w14:textId="77777777" w:rsidTr="10ABB9FD">
        <w:trPr>
          <w:trHeight w:val="403"/>
        </w:trPr>
        <w:tc>
          <w:tcPr>
            <w:tcW w:w="10980" w:type="dxa"/>
            <w:shd w:val="clear" w:color="auto" w:fill="F2F7FC"/>
            <w:vAlign w:val="center"/>
          </w:tcPr>
          <w:p w14:paraId="12A8DCC4" w14:textId="77777777" w:rsidR="00447EA0" w:rsidRPr="00DD5666" w:rsidRDefault="6A6FD0CA" w:rsidP="005768B0">
            <w:pPr>
              <w:pStyle w:val="Heading3"/>
              <w:keepNext w:val="0"/>
              <w:keepLines w:val="0"/>
              <w:numPr>
                <w:ilvl w:val="0"/>
                <w:numId w:val="2"/>
              </w:numPr>
              <w:ind w:left="0" w:hanging="187"/>
              <w:jc w:val="both"/>
              <w:rPr>
                <w:noProof/>
              </w:rPr>
            </w:pPr>
            <w:bookmarkStart w:id="20" w:name="_Toc78351305_2"/>
            <w:bookmarkStart w:id="21" w:name="_Toc198922299"/>
            <w:bookmarkStart w:id="22" w:name="_Hlk78994324_2"/>
            <w:r w:rsidRPr="10ABB9FD">
              <w:rPr>
                <w:rFonts w:eastAsia="Times New Roman"/>
              </w:rPr>
              <w:t>LESSONS AND RECOMMENDATIONS</w:t>
            </w:r>
            <w:bookmarkEnd w:id="20"/>
            <w:bookmarkEnd w:id="21"/>
          </w:p>
        </w:tc>
      </w:tr>
      <w:bookmarkEnd w:id="22"/>
    </w:tbl>
    <w:p w14:paraId="2E6F5BA0" w14:textId="77777777" w:rsidR="00557395" w:rsidRDefault="00557395" w:rsidP="005768B0">
      <w:pPr>
        <w:jc w:val="both"/>
      </w:pPr>
    </w:p>
    <w:p w14:paraId="7FDD7399" w14:textId="057D0B29" w:rsidR="00082BAE" w:rsidRDefault="00082BAE" w:rsidP="0654BEA2">
      <w:pPr>
        <w:pStyle w:val="ListParagraph"/>
        <w:numPr>
          <w:ilvl w:val="0"/>
          <w:numId w:val="10"/>
        </w:numPr>
        <w:tabs>
          <w:tab w:val="left" w:pos="540"/>
        </w:tabs>
        <w:spacing w:line="240" w:lineRule="auto"/>
        <w:ind w:left="0" w:firstLine="0"/>
        <w:jc w:val="both"/>
      </w:pPr>
      <w:r>
        <w:t xml:space="preserve">The project </w:t>
      </w:r>
      <w:r w:rsidR="00DE1E00">
        <w:t xml:space="preserve">could </w:t>
      </w:r>
      <w:r>
        <w:t xml:space="preserve">have benefited from establishing closer linkages between CCT beneficiaries and domestic labor market demand, which in turn could have contributed to </w:t>
      </w:r>
      <w:r w:rsidR="00503B22">
        <w:t>more</w:t>
      </w:r>
      <w:r>
        <w:t xml:space="preserve"> </w:t>
      </w:r>
      <w:r w:rsidR="00503B22">
        <w:t>sustainable outcomes</w:t>
      </w:r>
      <w:r>
        <w:t xml:space="preserve">. Given the high rates of outmigration driven by labor mobility programs, </w:t>
      </w:r>
      <w:r w:rsidR="00982F89">
        <w:t xml:space="preserve">and limited demand of jobs in the domestic labor market, </w:t>
      </w:r>
      <w:r>
        <w:t xml:space="preserve">the project could only achieve limited contributions to the </w:t>
      </w:r>
      <w:r w:rsidR="00503B22">
        <w:t>domestic labor market</w:t>
      </w:r>
      <w:r>
        <w:t>.</w:t>
      </w:r>
      <w:r w:rsidR="00503B22">
        <w:t xml:space="preserve"> Closer links to the return and reintegration policies for seasonal workers </w:t>
      </w:r>
      <w:r w:rsidR="00982F89">
        <w:t>potentially could</w:t>
      </w:r>
      <w:r w:rsidR="00503B22">
        <w:t xml:space="preserve"> have strengthen</w:t>
      </w:r>
      <w:r w:rsidR="00986814">
        <w:t>ed effects in</w:t>
      </w:r>
      <w:r w:rsidR="00503B22">
        <w:t xml:space="preserve"> the domestic economy.</w:t>
      </w:r>
      <w:r>
        <w:t xml:space="preserve"> In an attempt to remedy this and to ensure smooth transition for beneficiaries of the CCT program, the government has requested Bank financing for a project titled “Pathways to Employment and Resilience” (P181000) which was developed but </w:t>
      </w:r>
      <w:r w:rsidR="5EB9FD35">
        <w:t xml:space="preserve">due to competing priorities and the need for selectivity and consolidation of the IDA allocation, the </w:t>
      </w:r>
      <w:r w:rsidR="4A8B723B">
        <w:t xml:space="preserve">Government </w:t>
      </w:r>
      <w:r w:rsidR="70228110">
        <w:t xml:space="preserve">and the Bank decided </w:t>
      </w:r>
      <w:r w:rsidR="026BCACB">
        <w:t>to discontinue the preparation of this project</w:t>
      </w:r>
      <w:r>
        <w:t>.</w:t>
      </w:r>
    </w:p>
    <w:p w14:paraId="0695F48F" w14:textId="77777777" w:rsidR="00082BAE" w:rsidRPr="00082BAE" w:rsidRDefault="00082BAE" w:rsidP="005768B0">
      <w:pPr>
        <w:pStyle w:val="ListParagraph"/>
        <w:spacing w:line="240" w:lineRule="auto"/>
        <w:ind w:left="0"/>
        <w:jc w:val="both"/>
        <w:rPr>
          <w:szCs w:val="22"/>
        </w:rPr>
      </w:pPr>
    </w:p>
    <w:p w14:paraId="07386009" w14:textId="7E00617D" w:rsidR="00F430B1" w:rsidRDefault="00F430B1" w:rsidP="007F0BED">
      <w:pPr>
        <w:pStyle w:val="ListParagraph"/>
        <w:numPr>
          <w:ilvl w:val="0"/>
          <w:numId w:val="10"/>
        </w:numPr>
        <w:spacing w:line="240" w:lineRule="auto"/>
        <w:ind w:left="0" w:firstLine="0"/>
        <w:jc w:val="both"/>
        <w:rPr>
          <w:szCs w:val="22"/>
        </w:rPr>
      </w:pPr>
      <w:r>
        <w:t xml:space="preserve">As is evident through this ICR, the CSU’s link to the Project’s PDO is unclear. Based on interviews with stakeholders, ideally, the CSU should either be a standalone assistance or included in a Project where it fits well with the PDO. In case of SET – where the CSU is quite a significant component, both in terms of the proportion of total Project financing allocated toward it and its contribution to implementation – at the very least, it should have been linked to the PDO. The Project attempted to measure the CSU’s effectiveness by including indicators at outcome level, thus trying to ascertain its contribution to capacity building. As elaborated in the efficacy section, </w:t>
      </w:r>
      <w:r w:rsidR="00245FDB" w:rsidRPr="007052DC">
        <w:t>CSU</w:t>
      </w:r>
      <w:r w:rsidRPr="007052DC">
        <w:t xml:space="preserve"> surpassed its target </w:t>
      </w:r>
      <w:r>
        <w:t>indicators</w:t>
      </w:r>
      <w:r w:rsidRPr="007052DC">
        <w:t>.</w:t>
      </w:r>
      <w:r>
        <w:t xml:space="preserve">   In future operations, it would be preferred for any general service provision unit to have a dedicated operation, rather than incorporating into a sectoral operation. </w:t>
      </w:r>
    </w:p>
    <w:p w14:paraId="18C8FE5B" w14:textId="77777777" w:rsidR="00F430B1" w:rsidRPr="00D27352" w:rsidRDefault="00F430B1" w:rsidP="005768B0">
      <w:pPr>
        <w:spacing w:line="240" w:lineRule="auto"/>
        <w:jc w:val="both"/>
      </w:pPr>
    </w:p>
    <w:p w14:paraId="71D2AEAA" w14:textId="77777777" w:rsidR="00F430B1" w:rsidRDefault="00F430B1" w:rsidP="007F0BED">
      <w:pPr>
        <w:pStyle w:val="ListParagraph"/>
        <w:numPr>
          <w:ilvl w:val="0"/>
          <w:numId w:val="10"/>
        </w:numPr>
        <w:spacing w:line="240" w:lineRule="auto"/>
        <w:ind w:left="0" w:firstLine="0"/>
        <w:jc w:val="both"/>
      </w:pPr>
      <w:r>
        <w:t xml:space="preserve">The SET Project – one of the very first and few World Bank lending operations with migration as a separate Project component – serves as a good example for making labor mobility a deliberate part of a country’s development strategy. By embracing the push and pull factors associated with outmigration among Tongans, the Project team managed migration in several ways that provide useful lessons for other countries (especially small nations): </w:t>
      </w:r>
    </w:p>
    <w:p w14:paraId="3A83A625" w14:textId="372D5D77" w:rsidR="00F430B1" w:rsidRDefault="00F430B1" w:rsidP="007F0BED">
      <w:pPr>
        <w:pStyle w:val="ListParagraph"/>
        <w:numPr>
          <w:ilvl w:val="0"/>
          <w:numId w:val="12"/>
        </w:numPr>
        <w:spacing w:line="240" w:lineRule="auto"/>
        <w:ind w:left="0" w:firstLine="0"/>
        <w:jc w:val="both"/>
      </w:pPr>
      <w:r>
        <w:t xml:space="preserve">The team identified high-demand sectors both in Tonga and abroad (Australia and New Zealand), and trained Project beneficiaries in those sectors through TVET programs. By this way, the training was </w:t>
      </w:r>
      <w:r w:rsidRPr="00201DF7">
        <w:rPr>
          <w:u w:val="single"/>
        </w:rPr>
        <w:t>market-led</w:t>
      </w:r>
      <w:r>
        <w:t xml:space="preserve"> and focused on low- to mid-level skills in sectors including </w:t>
      </w:r>
      <w:r w:rsidRPr="00222E25">
        <w:t>elder-care, meat packaging, electrical, etc</w:t>
      </w:r>
      <w:r>
        <w:t xml:space="preserve">. </w:t>
      </w:r>
      <w:r w:rsidRPr="00B943C2">
        <w:t>For example, butchery was a new course introduced by the Project since it was in high</w:t>
      </w:r>
      <w:r w:rsidR="00E84E70">
        <w:t xml:space="preserve"> </w:t>
      </w:r>
      <w:r w:rsidRPr="00B943C2">
        <w:t>demand among employers in New Zealand and Australia.</w:t>
      </w:r>
    </w:p>
    <w:p w14:paraId="28A42359" w14:textId="0806702B" w:rsidR="00F430B1" w:rsidRPr="00BE6CD5" w:rsidRDefault="00F430B1" w:rsidP="007F0BED">
      <w:pPr>
        <w:pStyle w:val="ListParagraph"/>
        <w:numPr>
          <w:ilvl w:val="0"/>
          <w:numId w:val="12"/>
        </w:numPr>
        <w:spacing w:line="240" w:lineRule="auto"/>
        <w:ind w:left="0" w:firstLine="0"/>
        <w:jc w:val="both"/>
      </w:pPr>
      <w:r>
        <w:t xml:space="preserve">Even though Tonga was not formally party of the bilateral agreements with Australia and New Zealand at the time of Project preparation, the team identified an opportunity for potential surplus demand in destination countries that trained Tongans could fill. Combined with equipping migrants with soft skills that would aid integration, the Project was </w:t>
      </w:r>
      <w:r w:rsidRPr="00201DF7">
        <w:rPr>
          <w:u w:val="single"/>
        </w:rPr>
        <w:t>proactive</w:t>
      </w:r>
      <w:r>
        <w:t xml:space="preserve"> in managing migration. </w:t>
      </w:r>
    </w:p>
    <w:p w14:paraId="3BECD0D8" w14:textId="77777777" w:rsidR="00F430B1" w:rsidRDefault="00F430B1" w:rsidP="005768B0">
      <w:pPr>
        <w:spacing w:line="240" w:lineRule="auto"/>
        <w:jc w:val="both"/>
      </w:pPr>
      <w:r>
        <w:t>Through these efforts, SET put in place the building blocks of a Global Skills Partnership.</w:t>
      </w:r>
      <w:r>
        <w:rPr>
          <w:rStyle w:val="FootnoteReference"/>
        </w:rPr>
        <w:footnoteReference w:id="15"/>
      </w:r>
      <w:r>
        <w:t xml:space="preserve"> Moreover, the Project operationalized some of the key policy recommendations for managing migration in a “strong match” scenario wherein migrants’ skills are in demand, per the World Development Report 2023. </w:t>
      </w:r>
    </w:p>
    <w:p w14:paraId="0714BB33" w14:textId="77777777" w:rsidR="00F430B1" w:rsidRDefault="00F430B1" w:rsidP="005768B0">
      <w:pPr>
        <w:spacing w:line="240" w:lineRule="auto"/>
        <w:jc w:val="both"/>
      </w:pPr>
    </w:p>
    <w:p w14:paraId="6E2B34FE" w14:textId="719DA454" w:rsidR="00F430B1" w:rsidRPr="00F430B1" w:rsidRDefault="00F430B1" w:rsidP="007F0BED">
      <w:pPr>
        <w:pStyle w:val="ListParagraph"/>
        <w:numPr>
          <w:ilvl w:val="0"/>
          <w:numId w:val="10"/>
        </w:numPr>
        <w:spacing w:line="240" w:lineRule="auto"/>
        <w:ind w:left="0" w:firstLine="0"/>
        <w:jc w:val="both"/>
        <w:rPr>
          <w:szCs w:val="22"/>
        </w:rPr>
      </w:pPr>
      <w:r>
        <w:lastRenderedPageBreak/>
        <w:t xml:space="preserve">The SET Project’s implementation challenges bring to light the old but important question of the World Bank’s role in implementation of a Project, especially in low-capacity contexts. The Project team provided hands-on support throughout implementation, with a view to strengthening implementation capacity. As is the case of every project, these support elements are always subject to resources available, though conversely, the availability of implementation support is often curtailed by resource constraints. This has been particularly true in the Pacific region, where operations are expensive and difficult to coordinate with other tasks, and virtual implementation support or supervision is rarely effective. In case of this </w:t>
      </w:r>
      <w:proofErr w:type="gramStart"/>
      <w:r>
        <w:t>particular operation</w:t>
      </w:r>
      <w:proofErr w:type="gramEnd"/>
      <w:r>
        <w:t>, the fact that the project sought to cover multiple differing objectives – including financing the provision of general services to other projects through the CSU – has added a further layer of challenge to effective implementation support. General lessons for future operations in similar contexts are (i) to secure sufficient implementation support resources for the team throughout the implementation period, and (ii) to plan simpler, more streamlined operations with a more targeted scope of activities</w:t>
      </w:r>
      <w:r w:rsidR="00141595">
        <w:t>, b</w:t>
      </w:r>
      <w:r>
        <w:t xml:space="preserve">y not incorporating a centralized service provision modality into a sectoral operation, as discussed above. </w:t>
      </w:r>
    </w:p>
    <w:p w14:paraId="3F705FB1" w14:textId="77777777" w:rsidR="00F430B1" w:rsidRPr="00F430B1" w:rsidRDefault="00F430B1" w:rsidP="005768B0">
      <w:pPr>
        <w:pStyle w:val="ListParagraph"/>
        <w:spacing w:line="240" w:lineRule="auto"/>
        <w:ind w:left="0"/>
        <w:jc w:val="both"/>
        <w:rPr>
          <w:szCs w:val="22"/>
        </w:rPr>
      </w:pPr>
    </w:p>
    <w:p w14:paraId="011AC898" w14:textId="7AA2BC28" w:rsidR="008D0608" w:rsidRPr="00F430B1" w:rsidRDefault="00324BF5" w:rsidP="007F0BED">
      <w:pPr>
        <w:pStyle w:val="ListParagraph"/>
        <w:numPr>
          <w:ilvl w:val="0"/>
          <w:numId w:val="10"/>
        </w:numPr>
        <w:spacing w:line="240" w:lineRule="auto"/>
        <w:ind w:left="0" w:firstLine="0"/>
        <w:jc w:val="both"/>
        <w:rPr>
          <w:szCs w:val="22"/>
        </w:rPr>
      </w:pPr>
      <w:r w:rsidRPr="00324BF5">
        <w:t xml:space="preserve">Component 1, which implemented the first CCT in the Pacific, demonstrates that CCTs can be successfully implemented even in low-capacity environments and despite </w:t>
      </w:r>
      <w:r>
        <w:t>multi-</w:t>
      </w:r>
      <w:r w:rsidRPr="00324BF5">
        <w:t xml:space="preserve">sector complexities. The outcomes of </w:t>
      </w:r>
      <w:r>
        <w:t>c</w:t>
      </w:r>
      <w:r w:rsidRPr="00324BF5">
        <w:t>omponent 1 provide evidence of the activity's</w:t>
      </w:r>
      <w:r>
        <w:t xml:space="preserve"> </w:t>
      </w:r>
      <w:r w:rsidRPr="00324BF5">
        <w:t>success</w:t>
      </w:r>
      <w:r>
        <w:t xml:space="preserve">. </w:t>
      </w:r>
      <w:r w:rsidR="00F430B1">
        <w:t>The performance-based aspect</w:t>
      </w:r>
      <w:r w:rsidR="00F430B1" w:rsidRPr="00E112DD">
        <w:t xml:space="preserve"> worked well in the implementation of the QIG</w:t>
      </w:r>
      <w:r w:rsidR="00F430B1">
        <w:t>s</w:t>
      </w:r>
      <w:r w:rsidR="00F430B1" w:rsidRPr="00E112DD">
        <w:t>.</w:t>
      </w:r>
      <w:r w:rsidR="00F430B1">
        <w:t xml:space="preserve"> </w:t>
      </w:r>
      <w:r w:rsidR="00F430B1" w:rsidRPr="00B00D56">
        <w:t>At the end of this program implementation, 13 selected TVET programs (the expected final target was 8) delivered by both nonpublic and public institutions had their quality improved (e.g., through training of teachers and revised curricula). Moreover, the capacity of the beneficiary institutions generally enhanced through this program</w:t>
      </w:r>
      <w:r w:rsidR="00F430B1">
        <w:t>, as reported by stakeholders</w:t>
      </w:r>
      <w:r w:rsidR="00F430B1" w:rsidRPr="00B00D56">
        <w:t>.</w:t>
      </w:r>
      <w:r w:rsidR="00F430B1">
        <w:t xml:space="preserve"> As a result of these positive changes, the GoT</w:t>
      </w:r>
      <w:r w:rsidR="00F430B1" w:rsidRPr="00C0273A">
        <w:t xml:space="preserve"> is </w:t>
      </w:r>
      <w:r w:rsidR="00F430B1">
        <w:t xml:space="preserve">now </w:t>
      </w:r>
      <w:r w:rsidR="00F430B1" w:rsidRPr="00C0273A">
        <w:t>much more supportive of TVET</w:t>
      </w:r>
      <w:r w:rsidR="00F430B1">
        <w:t xml:space="preserve">, by way of </w:t>
      </w:r>
      <w:r w:rsidR="00F430B1" w:rsidRPr="00C0273A">
        <w:t>actively promot</w:t>
      </w:r>
      <w:r w:rsidR="00F430B1">
        <w:t>ing</w:t>
      </w:r>
      <w:r w:rsidR="00F430B1" w:rsidRPr="00C0273A">
        <w:t xml:space="preserve"> TVET</w:t>
      </w:r>
      <w:r w:rsidR="00F430B1">
        <w:t xml:space="preserve">, </w:t>
      </w:r>
      <w:r w:rsidR="00F430B1" w:rsidRPr="00C0273A">
        <w:t>encourag</w:t>
      </w:r>
      <w:r w:rsidR="00F430B1">
        <w:t>ing</w:t>
      </w:r>
      <w:r w:rsidR="00F430B1" w:rsidRPr="00C0273A">
        <w:t xml:space="preserve"> </w:t>
      </w:r>
      <w:r w:rsidR="00F430B1">
        <w:t>institutes</w:t>
      </w:r>
      <w:r w:rsidR="00F430B1" w:rsidRPr="00C0273A">
        <w:t xml:space="preserve"> to increase its enrolments</w:t>
      </w:r>
      <w:r w:rsidR="00F430B1">
        <w:t>, and establishing a TVET unit within MET. This indicates that using a performance-based model can be beneficial not just to ensuring achievement of targets, but also to enhancing capacity of and empowering the beneficiaries (TVETs)</w:t>
      </w:r>
      <w:r w:rsidR="00F430B1" w:rsidRPr="00B00D56">
        <w:t>.</w:t>
      </w:r>
    </w:p>
    <w:p w14:paraId="7B8E1CEC" w14:textId="77777777" w:rsidR="008D0608" w:rsidRDefault="008D0608" w:rsidP="005768B0">
      <w:pPr>
        <w:jc w:val="both"/>
      </w:pPr>
    </w:p>
    <w:p w14:paraId="15F8824C" w14:textId="77777777" w:rsidR="008D0608" w:rsidRDefault="008D0608" w:rsidP="005768B0">
      <w:pPr>
        <w:jc w:val="both"/>
      </w:pPr>
    </w:p>
    <w:p w14:paraId="79AB66A9" w14:textId="77777777" w:rsidR="008D0608" w:rsidRDefault="008D0608" w:rsidP="005768B0">
      <w:pPr>
        <w:jc w:val="both"/>
      </w:pPr>
    </w:p>
    <w:p w14:paraId="3F8E656B" w14:textId="77777777" w:rsidR="007B43A6" w:rsidRDefault="007B43A6" w:rsidP="005768B0">
      <w:pPr>
        <w:pStyle w:val="Normal5"/>
        <w:spacing w:after="0" w:line="240" w:lineRule="auto"/>
        <w:jc w:val="both"/>
        <w:rPr>
          <w:bCs/>
        </w:rPr>
      </w:pPr>
    </w:p>
    <w:p w14:paraId="54D595CF" w14:textId="77777777" w:rsidR="0079206E" w:rsidRPr="0079206E" w:rsidRDefault="0079206E" w:rsidP="0079206E">
      <w:pPr>
        <w:spacing w:line="240" w:lineRule="auto"/>
        <w:ind w:left="86"/>
        <w:rPr>
          <w:bCs/>
          <w:szCs w:val="22"/>
        </w:rPr>
        <w:sectPr w:rsidR="0079206E" w:rsidRPr="0079206E" w:rsidSect="00F30F28">
          <w:footerReference w:type="default" r:id="rId19"/>
          <w:pgSz w:w="12240" w:h="15840"/>
          <w:pgMar w:top="1440" w:right="720" w:bottom="1440" w:left="720" w:header="720" w:footer="720" w:gutter="0"/>
          <w:pgNumType w:start="1"/>
          <w:cols w:space="720"/>
          <w:docGrid w:linePitch="299"/>
        </w:sectPr>
      </w:pPr>
    </w:p>
    <w:tbl>
      <w:tblPr>
        <w:tblStyle w:val="TableGrid"/>
        <w:tblW w:w="14130" w:type="dxa"/>
        <w:tblLook w:val="04A0" w:firstRow="1" w:lastRow="0" w:firstColumn="1" w:lastColumn="0" w:noHBand="0" w:noVBand="1"/>
      </w:tblPr>
      <w:tblGrid>
        <w:gridCol w:w="14130"/>
      </w:tblGrid>
      <w:tr w:rsidR="00DD6229" w14:paraId="721079B5" w14:textId="77777777" w:rsidTr="007B2CC0">
        <w:tc>
          <w:tcPr>
            <w:tcW w:w="14130" w:type="dxa"/>
            <w:tcBorders>
              <w:top w:val="nil"/>
              <w:left w:val="nil"/>
              <w:bottom w:val="nil"/>
              <w:right w:val="nil"/>
            </w:tcBorders>
            <w:shd w:val="clear" w:color="auto" w:fill="F2F7FC"/>
          </w:tcPr>
          <w:p w14:paraId="20E0FB2C" w14:textId="77777777" w:rsidR="001A6E99" w:rsidRPr="00BF5439" w:rsidRDefault="00D310E2" w:rsidP="007B2CC0">
            <w:pPr>
              <w:tabs>
                <w:tab w:val="left" w:pos="700"/>
                <w:tab w:val="center" w:pos="880"/>
              </w:tabs>
              <w:spacing w:before="40"/>
              <w:jc w:val="center"/>
              <w:outlineLvl w:val="2"/>
              <w:rPr>
                <w:rFonts w:cstheme="minorHAnsi"/>
                <w:b/>
                <w:bCs/>
              </w:rPr>
            </w:pPr>
            <w:bookmarkStart w:id="23" w:name="_Toc78351310"/>
            <w:bookmarkStart w:id="24" w:name="_Toc198922300"/>
            <w:r w:rsidRPr="00BF5439">
              <w:rPr>
                <w:rFonts w:cstheme="minorHAnsi"/>
                <w:b/>
                <w:bCs/>
              </w:rPr>
              <w:lastRenderedPageBreak/>
              <w:t>ANNEX 1. RESULTS FRAMEWORK AND KEY OUTPUTS</w:t>
            </w:r>
            <w:bookmarkEnd w:id="23"/>
            <w:bookmarkEnd w:id="24"/>
          </w:p>
        </w:tc>
      </w:tr>
    </w:tbl>
    <w:p w14:paraId="4672ADF4" w14:textId="0BB78C2B" w:rsidR="001A6E99" w:rsidRDefault="00D310E2" w:rsidP="001A6E99">
      <w:pPr>
        <w:tabs>
          <w:tab w:val="left" w:pos="13370"/>
        </w:tabs>
        <w:spacing w:line="240" w:lineRule="auto"/>
      </w:pPr>
      <w:r w:rsidRPr="008D6737">
        <w:rPr>
          <w:rFonts w:ascii="Arial" w:hAnsi="Arial" w:cs="Arial"/>
          <w:noProof/>
          <w:color w:val="000000"/>
          <w:sz w:val="24"/>
          <w:szCs w:val="24"/>
        </w:rPr>
        <mc:AlternateContent>
          <mc:Choice Requires="wps">
            <w:drawing>
              <wp:anchor distT="0" distB="0" distL="114300" distR="114300" simplePos="0" relativeHeight="251658244" behindDoc="0" locked="0" layoutInCell="1" allowOverlap="1" wp14:anchorId="10EF8C64" wp14:editId="50E99D7C">
                <wp:simplePos x="0" y="0"/>
                <wp:positionH relativeFrom="column">
                  <wp:posOffset>-571500</wp:posOffset>
                </wp:positionH>
                <wp:positionV relativeFrom="paragraph">
                  <wp:posOffset>169545</wp:posOffset>
                </wp:positionV>
                <wp:extent cx="10113645" cy="0"/>
                <wp:effectExtent l="0" t="0" r="1905" b="19050"/>
                <wp:wrapNone/>
                <wp:docPr id="228" name="Straight Connector 228"/>
                <wp:cNvGraphicFramePr/>
                <a:graphic xmlns:a="http://schemas.openxmlformats.org/drawingml/2006/main">
                  <a:graphicData uri="http://schemas.microsoft.com/office/word/2010/wordprocessingShape">
                    <wps:wsp>
                      <wps:cNvCnPr/>
                      <wps:spPr>
                        <a:xfrm>
                          <a:off x="0" y="0"/>
                          <a:ext cx="10113645" cy="0"/>
                        </a:xfrm>
                        <a:prstGeom prst="line">
                          <a:avLst/>
                        </a:prstGeom>
                        <a:noFill/>
                        <a:ln w="9525">
                          <a:solidFill>
                            <a:sysClr val="windowText" lastClr="000000">
                              <a:lumMod val="50000"/>
                              <a:lumOff val="50000"/>
                              <a:alpha val="40000"/>
                            </a:sysClr>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A508FD" id="Straight Connector 228"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35pt" to="751.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" strokecolor="#7f7f7f">
                <v:stroke dashstyle="dash" opacity="26214f" joinstyle="miter"/>
              </v:line>
            </w:pict>
          </mc:Fallback>
        </mc:AlternateContent>
      </w:r>
    </w:p>
    <w:p w14:paraId="3888394A" w14:textId="77777777" w:rsidR="001A6E99" w:rsidRDefault="001A6E99" w:rsidP="003E2F8F">
      <w:pPr>
        <w:pStyle w:val="Heading30"/>
        <w:rPr>
          <w:b w:val="0"/>
          <w:bCs/>
        </w:rPr>
      </w:pPr>
    </w:p>
    <w:sdt>
      <w:sdtPr>
        <w:id w:val="1426625844"/>
        <w:lock w:val="sdtContentLocked"/>
        <w:group/>
      </w:sdtPr>
      <w:sdtContent>
        <w:tbl>
          <w:tblPr>
            <w:tblStyle w:val="TableGrid"/>
            <w:tblW w:w="14135" w:type="dxa"/>
            <w:tblInd w:w="29" w:type="dxa"/>
            <w:tblLook w:val="04A0" w:firstRow="1" w:lastRow="0" w:firstColumn="1" w:lastColumn="0" w:noHBand="0" w:noVBand="1"/>
          </w:tblPr>
          <w:tblGrid>
            <w:gridCol w:w="14135"/>
          </w:tblGrid>
          <w:tr w:rsidR="00DD6229" w14:paraId="7D001651" w14:textId="77777777" w:rsidTr="00993CEF">
            <w:trPr>
              <w:trHeight w:val="322"/>
            </w:trPr>
            <w:tc>
              <w:tcPr>
                <w:tcW w:w="14135" w:type="dxa"/>
                <w:tcBorders>
                  <w:top w:val="nil"/>
                  <w:left w:val="nil"/>
                  <w:bottom w:val="nil"/>
                  <w:right w:val="nil"/>
                </w:tcBorders>
                <w:shd w:val="clear" w:color="auto" w:fill="F7F7F7"/>
              </w:tcPr>
              <w:p w14:paraId="5D0AA8F1" w14:textId="77777777" w:rsidR="00165947" w:rsidRPr="00F86686" w:rsidRDefault="00D310E2" w:rsidP="00993CEF">
                <w:pPr>
                  <w:tabs>
                    <w:tab w:val="left" w:pos="11445"/>
                  </w:tabs>
                  <w:ind w:right="29"/>
                  <w:rPr>
                    <w:color w:val="F7F7F7"/>
                  </w:rPr>
                </w:pPr>
                <w:r w:rsidRPr="00F86686">
                  <w:rPr>
                    <w:color w:val="F7F7F7"/>
                  </w:rPr>
                  <w:t>@#&amp;OPS~Doctype~OPS^dynamics@</w:t>
                </w:r>
                <w:r w:rsidR="00F86686" w:rsidRPr="00F86686">
                  <w:rPr>
                    <w:color w:val="F7F7F7"/>
                  </w:rPr>
                  <w:t>icrresultframework</w:t>
                </w:r>
                <w:r w:rsidRPr="00F86686">
                  <w:rPr>
                    <w:color w:val="F7F7F7"/>
                  </w:rPr>
                  <w:t>#doctemplate</w:t>
                </w:r>
              </w:p>
            </w:tc>
          </w:tr>
          <w:tr w:rsidR="00DD6229" w14:paraId="12A25E0B" w14:textId="77777777" w:rsidTr="00993CEF">
            <w:trPr>
              <w:trHeight w:val="450"/>
            </w:trPr>
            <w:tc>
              <w:tcPr>
                <w:tcW w:w="14135" w:type="dxa"/>
                <w:tcBorders>
                  <w:top w:val="nil"/>
                  <w:left w:val="nil"/>
                  <w:bottom w:val="nil"/>
                  <w:right w:val="nil"/>
                </w:tcBorders>
                <w:shd w:val="clear" w:color="auto" w:fill="F7F7F7"/>
                <w:tcMar>
                  <w:left w:w="0" w:type="dxa"/>
                  <w:right w:w="0" w:type="dxa"/>
                </w:tcMar>
              </w:tcPr>
              <w:p w14:paraId="0765096E" w14:textId="77777777" w:rsidR="00165947" w:rsidRDefault="00165947" w:rsidP="004A0E70">
                <w:pPr>
                  <w:shd w:val="clear" w:color="auto" w:fill="F7F7F7"/>
                  <w:spacing w:line="14" w:lineRule="exact"/>
                  <w:ind w:left="29" w:right="29"/>
                </w:pP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ook w:val="04A0" w:firstRow="1" w:lastRow="0" w:firstColumn="1" w:lastColumn="0" w:noHBand="0" w:noVBand="1"/>
                </w:tblPr>
                <w:tblGrid>
                  <w:gridCol w:w="14130"/>
                </w:tblGrid>
                <w:tr w:rsidR="00DD6229" w14:paraId="67573699" w14:textId="77777777" w:rsidTr="00993CEF">
                  <w:trPr>
                    <w:trHeight w:val="403"/>
                  </w:trPr>
                  <w:tc>
                    <w:tcPr>
                      <w:tcW w:w="14130" w:type="dxa"/>
                      <w:shd w:val="clear" w:color="auto" w:fill="auto"/>
                      <w:vAlign w:val="center"/>
                    </w:tcPr>
                    <w:p w14:paraId="4A2778EF" w14:textId="77777777" w:rsidR="007651DC" w:rsidRPr="00E65307" w:rsidRDefault="00D310E2" w:rsidP="00A15F63">
                      <w:pPr>
                        <w:pStyle w:val="Normal8"/>
                        <w:numPr>
                          <w:ilvl w:val="0"/>
                          <w:numId w:val="7"/>
                        </w:numPr>
                        <w:ind w:left="405"/>
                      </w:pPr>
                      <w:bookmarkStart w:id="25" w:name="_Toc78351311"/>
                      <w:bookmarkStart w:id="26" w:name="_Hlk78994478_3"/>
                      <w:r w:rsidRPr="00E65307">
                        <w:t>RESULTS FRAMEWORK</w:t>
                      </w:r>
                      <w:bookmarkEnd w:id="25"/>
                    </w:p>
                  </w:tc>
                </w:tr>
                <w:bookmarkEnd w:id="26"/>
              </w:tbl>
              <w:p w14:paraId="17D67A41" w14:textId="77777777" w:rsidR="007651DC" w:rsidRDefault="007651DC" w:rsidP="00993CEF">
                <w:pPr>
                  <w:ind w:right="29"/>
                </w:pPr>
              </w:p>
              <w:tbl>
                <w:tblPr>
                  <w:tblStyle w:val="TableGrid6"/>
                  <w:tblW w:w="14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6"/>
                </w:tblGrid>
                <w:tr w:rsidR="00DD6229" w14:paraId="5E15E846" w14:textId="77777777" w:rsidTr="00993CEF">
                  <w:trPr>
                    <w:trHeight w:val="432"/>
                  </w:trPr>
                  <w:tc>
                    <w:tcPr>
                      <w:tcW w:w="14126" w:type="dxa"/>
                      <w:shd w:val="clear" w:color="auto" w:fill="F7F7F7"/>
                      <w:vAlign w:val="center"/>
                      <w:hideMark/>
                    </w:tcPr>
                    <w:p w14:paraId="1A1CCDF5" w14:textId="77777777" w:rsidR="007651DC" w:rsidRPr="00AB0314" w:rsidRDefault="00D310E2" w:rsidP="007651DC">
                      <w:pPr>
                        <w:keepNext/>
                        <w:rPr>
                          <w:rFonts w:ascii="Calibri" w:hAnsi="Calibri" w:cs="Times New Roman"/>
                          <w:b/>
                          <w:color w:val="172D5F"/>
                        </w:rPr>
                      </w:pPr>
                      <w:r w:rsidRPr="00BB79EA">
                        <w:rPr>
                          <w:rFonts w:ascii="Calibri" w:hAnsi="Calibri" w:cs="Times New Roman"/>
                          <w:b/>
                          <w:color w:val="172D5F"/>
                        </w:rPr>
                        <w:t xml:space="preserve">PDO Indicators by </w:t>
                      </w:r>
                      <w:r>
                        <w:rPr>
                          <w:rFonts w:ascii="Calibri" w:hAnsi="Calibri" w:cs="Times New Roman"/>
                          <w:b/>
                          <w:color w:val="172D5F"/>
                        </w:rPr>
                        <w:t>Outcomes</w:t>
                      </w:r>
                    </w:p>
                  </w:tc>
                </w:tr>
              </w:tbl>
              <w:p w14:paraId="097CAF15" w14:textId="77777777" w:rsidR="007651DC" w:rsidRDefault="007651DC" w:rsidP="00993CEF">
                <w:pPr>
                  <w:ind w:right="29"/>
                </w:pPr>
              </w:p>
              <w:tbl>
                <w:tblPr>
                  <w:tblW w:w="14130" w:type="dxa"/>
                  <w:shd w:val="clear" w:color="auto" w:fill="F7F7F7"/>
                  <w:tblCellMar>
                    <w:left w:w="0" w:type="dxa"/>
                    <w:right w:w="0" w:type="dxa"/>
                  </w:tblCellMar>
                  <w:tblLook w:val="04A0" w:firstRow="1" w:lastRow="0" w:firstColumn="1" w:lastColumn="0" w:noHBand="0" w:noVBand="1"/>
                </w:tblPr>
                <w:tblGrid>
                  <w:gridCol w:w="14130"/>
                </w:tblGrid>
                <w:tr w:rsidR="00DD6229" w14:paraId="2EA9EAD4" w14:textId="77777777" w:rsidTr="00993CEF">
                  <w:trPr>
                    <w:trHeight w:val="20"/>
                  </w:trPr>
                  <w:tc>
                    <w:tcPr>
                      <w:tcW w:w="14130" w:type="dxa"/>
                      <w:shd w:val="clear" w:color="auto" w:fill="F7F7F7"/>
                      <w:tcMar>
                        <w:top w:w="0" w:type="dxa"/>
                        <w:left w:w="0" w:type="dxa"/>
                        <w:bottom w:w="72" w:type="dxa"/>
                        <w:right w:w="0" w:type="dxa"/>
                      </w:tcMar>
                      <w:vAlign w:val="center"/>
                    </w:tcPr>
                    <w:tbl>
                      <w:tblPr>
                        <w:tblStyle w:val="unVaodaynghebainaydibanhttpnhatquanglanxlphpnet1"/>
                        <w:tblW w:w="4950" w:type="pct"/>
                        <w:tblInd w:w="55" w:type="dxa"/>
                        <w:shd w:val="clear" w:color="auto" w:fill="FFFFFF"/>
                        <w:tblCellMar>
                          <w:left w:w="0" w:type="dxa"/>
                          <w:right w:w="0" w:type="dxa"/>
                        </w:tblCellMar>
                        <w:tblLook w:val="05E0" w:firstRow="1" w:lastRow="1" w:firstColumn="1" w:lastColumn="1" w:noHBand="0" w:noVBand="1"/>
                      </w:tblPr>
                      <w:tblGrid>
                        <w:gridCol w:w="2793"/>
                        <w:gridCol w:w="1537"/>
                        <w:gridCol w:w="1257"/>
                        <w:gridCol w:w="1537"/>
                        <w:gridCol w:w="1257"/>
                        <w:gridCol w:w="1537"/>
                        <w:gridCol w:w="1257"/>
                        <w:gridCol w:w="1537"/>
                        <w:gridCol w:w="1257"/>
                      </w:tblGrid>
                      <w:tr w:rsidR="00DD6229" w14:paraId="5BC7D1FA"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0F557074" w14:textId="77777777" w:rsidR="00DD6229" w:rsidRPr="00AB0314" w:rsidRDefault="00D310E2" w:rsidP="007651DC">
                            <w:pPr>
                              <w:pStyle w:val="MsoNormal0"/>
                              <w:spacing w:after="0"/>
                              <w:rPr>
                                <w:noProof/>
                              </w:rPr>
                            </w:pPr>
                            <w:r w:rsidRPr="00AB0314">
                              <w:rPr>
                                <w:b/>
                                <w:bCs/>
                                <w:noProof/>
                                <w:color w:val="000000"/>
                                <w:sz w:val="18"/>
                                <w:szCs w:val="18"/>
                              </w:rPr>
                              <w:t xml:space="preserve">Improved secondary school progression and completion rates for poor Tongans </w:t>
                            </w:r>
                          </w:p>
                        </w:tc>
                      </w:tr>
                      <w:tr w:rsidR="00DD6229" w14:paraId="48A1F80D"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1BCF5ABC" w14:textId="77777777" w:rsidR="00DD6229" w:rsidRPr="00AB0314" w:rsidRDefault="00D310E2" w:rsidP="007651DC">
                            <w:pPr>
                              <w:pStyle w:val="MsoNormal0"/>
                              <w:spacing w:after="0"/>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CD89BE2" w14:textId="77777777" w:rsidR="00DD6229" w:rsidRPr="00AB0314" w:rsidRDefault="00D310E2" w:rsidP="007651DC">
                            <w:pPr>
                              <w:pStyle w:val="MsoNormal0"/>
                              <w:spacing w:after="0"/>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1CE13925" w14:textId="77777777" w:rsidR="00DD6229" w:rsidRPr="00AB0314" w:rsidRDefault="00D310E2" w:rsidP="007651DC">
                            <w:pPr>
                              <w:pStyle w:val="MsoNormal0"/>
                              <w:spacing w:after="0"/>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075A06A7" w14:textId="77777777" w:rsidR="00DD6229" w:rsidRPr="00AB0314" w:rsidRDefault="00D310E2" w:rsidP="007651DC">
                            <w:pPr>
                              <w:pStyle w:val="MsoNormal0"/>
                              <w:spacing w:after="0"/>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3BDEFB7" w14:textId="77777777" w:rsidR="00DD6229" w:rsidRPr="00AB0314" w:rsidRDefault="00D310E2" w:rsidP="007651DC">
                            <w:pPr>
                              <w:pStyle w:val="MsoNormal0"/>
                              <w:spacing w:after="0"/>
                              <w:jc w:val="center"/>
                              <w:rPr>
                                <w:noProof/>
                              </w:rPr>
                            </w:pPr>
                            <w:r w:rsidRPr="00AB0314">
                              <w:rPr>
                                <w:noProof/>
                                <w:sz w:val="18"/>
                                <w:szCs w:val="18"/>
                              </w:rPr>
                              <w:t>Actual Achieved at Completion</w:t>
                            </w:r>
                          </w:p>
                        </w:tc>
                      </w:tr>
                      <w:tr w:rsidR="00DD6229" w14:paraId="2ECD049D"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08B5E9E3"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5DA50CD" w14:textId="77777777" w:rsidR="00DD6229" w:rsidRPr="00AB0314" w:rsidRDefault="00D310E2" w:rsidP="007651DC">
                            <w:pPr>
                              <w:pStyle w:val="MsoNormal0"/>
                              <w:spacing w:after="0"/>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635AB02C" w14:textId="77777777" w:rsidR="00DD6229" w:rsidRPr="00AB0314" w:rsidRDefault="00D310E2" w:rsidP="007651DC">
                            <w:pPr>
                              <w:pStyle w:val="MsoNormal0"/>
                              <w:spacing w:after="0"/>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92570D0" w14:textId="77777777" w:rsidR="00DD6229" w:rsidRPr="00AB0314" w:rsidRDefault="00D310E2" w:rsidP="007651DC">
                            <w:pPr>
                              <w:pStyle w:val="MsoNormal0"/>
                              <w:spacing w:after="0"/>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1C659376" w14:textId="77777777" w:rsidR="00DD6229" w:rsidRPr="00AB0314" w:rsidRDefault="00D310E2" w:rsidP="007651DC">
                            <w:pPr>
                              <w:pStyle w:val="MsoNormal0"/>
                              <w:spacing w:after="0"/>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7FD6DCAC" w14:textId="77777777" w:rsidR="00DD6229" w:rsidRPr="00AB0314" w:rsidRDefault="00D310E2" w:rsidP="007651DC">
                            <w:pPr>
                              <w:pStyle w:val="MsoNormal0"/>
                              <w:spacing w:after="0"/>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70DCA546" w14:textId="77777777" w:rsidR="00DD6229" w:rsidRPr="00AB0314" w:rsidRDefault="00D310E2" w:rsidP="007651DC">
                            <w:pPr>
                              <w:pStyle w:val="MsoNormal0"/>
                              <w:spacing w:after="0"/>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5BBD52C2" w14:textId="77777777" w:rsidR="00DD6229" w:rsidRPr="00AB0314" w:rsidRDefault="00D310E2" w:rsidP="007651DC">
                            <w:pPr>
                              <w:pStyle w:val="MsoNormal0"/>
                              <w:spacing w:after="0"/>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091CBEB6" w14:textId="77777777" w:rsidR="00DD6229" w:rsidRPr="00AB0314" w:rsidRDefault="00D310E2" w:rsidP="007651DC">
                            <w:pPr>
                              <w:pStyle w:val="MsoNormal0"/>
                              <w:spacing w:after="0"/>
                              <w:jc w:val="center"/>
                              <w:rPr>
                                <w:noProof/>
                              </w:rPr>
                            </w:pPr>
                            <w:r w:rsidRPr="00AB0314">
                              <w:rPr>
                                <w:noProof/>
                                <w:color w:val="000000"/>
                                <w:sz w:val="18"/>
                                <w:szCs w:val="18"/>
                              </w:rPr>
                              <w:t>Month/Year</w:t>
                            </w:r>
                          </w:p>
                        </w:tc>
                      </w:tr>
                      <w:tr w:rsidR="00DD6229" w14:paraId="352FBD18"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A36D33B" w14:textId="77777777" w:rsidR="00DD6229" w:rsidRPr="00AB0314" w:rsidRDefault="00D310E2" w:rsidP="007651DC">
                            <w:pPr>
                              <w:pStyle w:val="MsoNormal0"/>
                              <w:spacing w:after="0"/>
                              <w:rPr>
                                <w:noProof/>
                              </w:rPr>
                            </w:pPr>
                            <w:r w:rsidRPr="00AB0314">
                              <w:rPr>
                                <w:noProof/>
                                <w:sz w:val="18"/>
                                <w:szCs w:val="18"/>
                              </w:rPr>
                              <w:t xml:space="preserve">Share of CCT students that completed the grade over all CCT students enrolled in that grade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45229E4" w14:textId="77777777" w:rsidR="00DD6229" w:rsidRPr="00AB0314" w:rsidRDefault="00D310E2" w:rsidP="007651DC">
                            <w:pPr>
                              <w:pStyle w:val="MsoNormal0"/>
                              <w:spacing w:after="0"/>
                              <w:jc w:val="center"/>
                              <w:rPr>
                                <w:noProof/>
                              </w:rPr>
                            </w:pPr>
                            <w:r w:rsidRPr="00AB0314">
                              <w:rPr>
                                <w:noProof/>
                                <w:sz w:val="18"/>
                                <w:szCs w:val="18"/>
                              </w:rPr>
                              <w:t>44.10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F1DF728" w14:textId="77777777" w:rsidR="00DD6229" w:rsidRPr="00AB0314" w:rsidRDefault="00D310E2" w:rsidP="007651DC">
                            <w:pPr>
                              <w:pStyle w:val="MsoNormal0"/>
                              <w:spacing w:after="0"/>
                              <w:jc w:val="center"/>
                              <w:rPr>
                                <w:noProof/>
                              </w:rPr>
                            </w:pPr>
                            <w:r w:rsidRPr="00AB0314">
                              <w:rPr>
                                <w:noProof/>
                                <w:sz w:val="18"/>
                                <w:szCs w:val="18"/>
                              </w:rPr>
                              <w:t>Mar/2019</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B9F7F98"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0EE9754"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C303254" w14:textId="77777777" w:rsidR="00DD6229" w:rsidRPr="00AB0314" w:rsidRDefault="00D310E2" w:rsidP="007651DC">
                            <w:pPr>
                              <w:pStyle w:val="MsoNormal0"/>
                              <w:spacing w:after="0"/>
                              <w:jc w:val="center"/>
                              <w:rPr>
                                <w:noProof/>
                              </w:rPr>
                            </w:pPr>
                            <w:r w:rsidRPr="00AB0314">
                              <w:rPr>
                                <w:noProof/>
                                <w:sz w:val="18"/>
                                <w:szCs w:val="18"/>
                              </w:rPr>
                              <w:t>80.00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0079EED" w14:textId="77777777" w:rsidR="00DD6229" w:rsidRPr="00AB0314" w:rsidRDefault="00D310E2" w:rsidP="007651DC">
                            <w:pPr>
                              <w:pStyle w:val="MsoNormal0"/>
                              <w:spacing w:after="0"/>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F68CA4D" w14:textId="77777777" w:rsidR="00DD6229" w:rsidRPr="00AB0314" w:rsidRDefault="00D310E2" w:rsidP="007651DC">
                            <w:pPr>
                              <w:pStyle w:val="MsoNormal0"/>
                              <w:spacing w:after="0"/>
                              <w:jc w:val="center"/>
                              <w:rPr>
                                <w:noProof/>
                              </w:rPr>
                            </w:pPr>
                            <w:r w:rsidRPr="00AB0314">
                              <w:rPr>
                                <w:noProof/>
                                <w:sz w:val="18"/>
                                <w:szCs w:val="18"/>
                              </w:rPr>
                              <w:t>94.00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225F4DD" w14:textId="77777777" w:rsidR="00DD6229" w:rsidRPr="00AB0314" w:rsidRDefault="00D310E2" w:rsidP="007651DC">
                            <w:pPr>
                              <w:pStyle w:val="MsoNormal0"/>
                              <w:spacing w:after="0"/>
                              <w:jc w:val="center"/>
                              <w:rPr>
                                <w:noProof/>
                              </w:rPr>
                            </w:pPr>
                            <w:r w:rsidRPr="00AB0314">
                              <w:rPr>
                                <w:noProof/>
                                <w:sz w:val="18"/>
                                <w:szCs w:val="18"/>
                              </w:rPr>
                              <w:t>Nov/2024</w:t>
                            </w:r>
                          </w:p>
                        </w:tc>
                      </w:tr>
                      <w:tr w:rsidR="00DD6229" w14:paraId="2FC21F63"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03761079"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6362A1C2"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59E48B55" w14:textId="77777777" w:rsidR="00DD6229" w:rsidRPr="00AB0314" w:rsidRDefault="00D310E2" w:rsidP="007651DC">
                            <w:pPr>
                              <w:pStyle w:val="MsoNormal0"/>
                              <w:spacing w:after="0"/>
                              <w:ind w:left="144"/>
                              <w:rPr>
                                <w:noProof/>
                              </w:rPr>
                            </w:pPr>
                            <w:r w:rsidRPr="00AB0314">
                              <w:rPr>
                                <w:noProof/>
                                <w:color w:val="000000"/>
                                <w:sz w:val="18"/>
                                <w:szCs w:val="18"/>
                              </w:rPr>
                              <w:t>As per extension processed in 2024, the closing period is 31 December 2024.</w:t>
                            </w:r>
                          </w:p>
                        </w:tc>
                      </w:tr>
                      <w:tr w:rsidR="00DD6229" w14:paraId="57107540"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453AD4D5" w14:textId="77777777" w:rsidR="00DD6229" w:rsidRPr="00AB0314" w:rsidRDefault="00D310E2" w:rsidP="007651DC">
                            <w:pPr>
                              <w:pStyle w:val="MsoNormal0"/>
                              <w:spacing w:after="0"/>
                              <w:ind w:left="517"/>
                              <w:rPr>
                                <w:noProof/>
                              </w:rPr>
                            </w:pPr>
                            <w:r w:rsidRPr="00AB0314">
                              <w:rPr>
                                <w:noProof/>
                                <w:sz w:val="18"/>
                                <w:szCs w:val="18"/>
                              </w:rPr>
                              <w:t xml:space="preserve">Share of CCT students that completed the grade over all CCT students enrolled in that grade - Female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D03CE3C" w14:textId="77777777" w:rsidR="00DD6229" w:rsidRPr="00AB0314" w:rsidRDefault="00D310E2" w:rsidP="007651DC">
                            <w:pPr>
                              <w:pStyle w:val="MsoNormal0"/>
                              <w:spacing w:after="0"/>
                              <w:jc w:val="center"/>
                              <w:rPr>
                                <w:noProof/>
                              </w:rPr>
                            </w:pPr>
                            <w:r w:rsidRPr="00AB0314">
                              <w:rPr>
                                <w:noProof/>
                                <w:sz w:val="18"/>
                                <w:szCs w:val="18"/>
                              </w:rPr>
                              <w:t>48.90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60BD25B" w14:textId="77777777" w:rsidR="00DD6229" w:rsidRPr="00AB0314" w:rsidRDefault="00D310E2" w:rsidP="007651DC">
                            <w:pPr>
                              <w:pStyle w:val="MsoNormal0"/>
                              <w:spacing w:after="0"/>
                              <w:jc w:val="center"/>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E919897"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297C727"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3BFE507" w14:textId="77777777" w:rsidR="00DD6229" w:rsidRPr="00AB0314" w:rsidRDefault="00D310E2" w:rsidP="007651DC">
                            <w:pPr>
                              <w:pStyle w:val="MsoNormal0"/>
                              <w:spacing w:after="0"/>
                              <w:jc w:val="center"/>
                              <w:rPr>
                                <w:noProof/>
                              </w:rPr>
                            </w:pPr>
                            <w:r w:rsidRPr="00AB0314">
                              <w:rPr>
                                <w:noProof/>
                                <w:sz w:val="18"/>
                                <w:szCs w:val="18"/>
                              </w:rPr>
                              <w:t>80.00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3C230C8" w14:textId="77777777" w:rsidR="00DD6229" w:rsidRPr="00AB0314" w:rsidRDefault="00D310E2" w:rsidP="007651DC">
                            <w:pPr>
                              <w:pStyle w:val="MsoNormal0"/>
                              <w:spacing w:after="0"/>
                              <w:jc w:val="center"/>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BD6506E" w14:textId="77777777" w:rsidR="00DD6229" w:rsidRPr="00AB0314" w:rsidRDefault="00D310E2" w:rsidP="007651DC">
                            <w:pPr>
                              <w:pStyle w:val="MsoNormal0"/>
                              <w:spacing w:after="0"/>
                              <w:jc w:val="center"/>
                              <w:rPr>
                                <w:noProof/>
                              </w:rPr>
                            </w:pPr>
                            <w:r w:rsidRPr="00AB0314">
                              <w:rPr>
                                <w:noProof/>
                                <w:sz w:val="18"/>
                                <w:szCs w:val="18"/>
                              </w:rPr>
                              <w:t>95.00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7D87BC1" w14:textId="77777777" w:rsidR="00DD6229" w:rsidRPr="00AB0314" w:rsidRDefault="00D310E2" w:rsidP="007651DC">
                            <w:pPr>
                              <w:pStyle w:val="MsoNormal0"/>
                              <w:spacing w:after="0"/>
                              <w:jc w:val="center"/>
                              <w:rPr>
                                <w:noProof/>
                              </w:rPr>
                            </w:pPr>
                            <w:r w:rsidRPr="00AB0314">
                              <w:rPr>
                                <w:noProof/>
                                <w:sz w:val="18"/>
                                <w:szCs w:val="18"/>
                              </w:rPr>
                              <w:t> </w:t>
                            </w:r>
                          </w:p>
                        </w:tc>
                      </w:tr>
                      <w:tr w:rsidR="00DD6229" w14:paraId="66D55360"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2D6F05CC"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173E2C04"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472B652D" w14:textId="77777777" w:rsidR="00DD6229" w:rsidRPr="00AB0314" w:rsidRDefault="00D310E2" w:rsidP="007651DC">
                            <w:pPr>
                              <w:pStyle w:val="MsoNormal0"/>
                              <w:spacing w:after="0"/>
                              <w:ind w:left="144"/>
                              <w:rPr>
                                <w:noProof/>
                              </w:rPr>
                            </w:pPr>
                            <w:r w:rsidRPr="00AB0314">
                              <w:rPr>
                                <w:noProof/>
                                <w:color w:val="000000"/>
                                <w:sz w:val="18"/>
                                <w:szCs w:val="18"/>
                              </w:rPr>
                              <w:t>same as above</w:t>
                            </w:r>
                          </w:p>
                        </w:tc>
                      </w:tr>
                      <w:tr w:rsidR="00DD6229" w14:paraId="165E285D"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20EC7686" w14:textId="77777777" w:rsidR="00DD6229" w:rsidRPr="00AB0314" w:rsidRDefault="00D310E2" w:rsidP="007651DC">
                            <w:pPr>
                              <w:pStyle w:val="MsoNormal0"/>
                              <w:spacing w:after="0"/>
                              <w:rPr>
                                <w:noProof/>
                              </w:rPr>
                            </w:pPr>
                            <w:r w:rsidRPr="00AB0314">
                              <w:rPr>
                                <w:noProof/>
                                <w:sz w:val="18"/>
                                <w:szCs w:val="18"/>
                              </w:rPr>
                              <w:t xml:space="preserve">Share of CCT students that transitioned to the next grade OR to a TVET program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A8BB4B1" w14:textId="77777777" w:rsidR="00DD6229" w:rsidRPr="00AB0314" w:rsidRDefault="00D310E2" w:rsidP="007651DC">
                            <w:pPr>
                              <w:pStyle w:val="MsoNormal0"/>
                              <w:spacing w:after="0"/>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C9FC51D" w14:textId="77777777" w:rsidR="00DD6229" w:rsidRPr="00AB0314" w:rsidRDefault="00D310E2" w:rsidP="007651DC">
                            <w:pPr>
                              <w:pStyle w:val="MsoNormal0"/>
                              <w:spacing w:after="0"/>
                              <w:jc w:val="center"/>
                              <w:rPr>
                                <w:noProof/>
                              </w:rPr>
                            </w:pPr>
                            <w:r w:rsidRPr="00AB0314">
                              <w:rPr>
                                <w:noProof/>
                                <w:sz w:val="18"/>
                                <w:szCs w:val="18"/>
                              </w:rPr>
                              <w:t>May/2020</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859C912"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78381B9"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B1442F1" w14:textId="77777777" w:rsidR="00DD6229" w:rsidRPr="00AB0314" w:rsidRDefault="00D310E2" w:rsidP="007651DC">
                            <w:pPr>
                              <w:pStyle w:val="MsoNormal0"/>
                              <w:spacing w:after="0"/>
                              <w:jc w:val="center"/>
                              <w:rPr>
                                <w:noProof/>
                              </w:rPr>
                            </w:pPr>
                            <w:r w:rsidRPr="00AB0314">
                              <w:rPr>
                                <w:noProof/>
                                <w:sz w:val="18"/>
                                <w:szCs w:val="18"/>
                              </w:rPr>
                              <w:t>70.00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358DBE3" w14:textId="77777777" w:rsidR="00DD6229" w:rsidRPr="00AB0314" w:rsidRDefault="00D310E2" w:rsidP="007651DC">
                            <w:pPr>
                              <w:pStyle w:val="MsoNormal0"/>
                              <w:spacing w:after="0"/>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2F8601E" w14:textId="77777777" w:rsidR="00DD6229" w:rsidRPr="00AB0314" w:rsidRDefault="00D310E2" w:rsidP="007651DC">
                            <w:pPr>
                              <w:pStyle w:val="MsoNormal0"/>
                              <w:spacing w:after="0"/>
                              <w:jc w:val="center"/>
                              <w:rPr>
                                <w:noProof/>
                              </w:rPr>
                            </w:pPr>
                            <w:r w:rsidRPr="00AB0314">
                              <w:rPr>
                                <w:noProof/>
                                <w:sz w:val="18"/>
                                <w:szCs w:val="18"/>
                              </w:rPr>
                              <w:t>80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D8C31C5" w14:textId="77777777" w:rsidR="00DD6229" w:rsidRPr="00AB0314" w:rsidRDefault="00D310E2" w:rsidP="007651DC">
                            <w:pPr>
                              <w:pStyle w:val="MsoNormal0"/>
                              <w:spacing w:after="0"/>
                              <w:jc w:val="center"/>
                              <w:rPr>
                                <w:noProof/>
                              </w:rPr>
                            </w:pPr>
                            <w:r w:rsidRPr="00AB0314">
                              <w:rPr>
                                <w:noProof/>
                                <w:sz w:val="18"/>
                                <w:szCs w:val="18"/>
                              </w:rPr>
                              <w:t>Nov/2024</w:t>
                            </w:r>
                          </w:p>
                        </w:tc>
                      </w:tr>
                      <w:tr w:rsidR="00DD6229" w14:paraId="6226F9AD"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353F2A70"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534BDC6F"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20546EAF" w14:textId="77777777" w:rsidR="00DD6229" w:rsidRPr="00AB0314" w:rsidRDefault="00D310E2" w:rsidP="007651DC">
                            <w:pPr>
                              <w:pStyle w:val="MsoNormal0"/>
                              <w:spacing w:after="0"/>
                              <w:ind w:left="144"/>
                              <w:rPr>
                                <w:noProof/>
                              </w:rPr>
                            </w:pPr>
                            <w:r w:rsidRPr="00AB0314">
                              <w:rPr>
                                <w:noProof/>
                                <w:color w:val="000000"/>
                                <w:sz w:val="18"/>
                                <w:szCs w:val="18"/>
                              </w:rPr>
                              <w:t>same as above</w:t>
                            </w:r>
                          </w:p>
                        </w:tc>
                      </w:tr>
                      <w:tr w:rsidR="00DD6229" w14:paraId="6166C206"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C455457" w14:textId="77777777" w:rsidR="00DD6229" w:rsidRPr="00AB0314" w:rsidRDefault="00D310E2" w:rsidP="007651DC">
                            <w:pPr>
                              <w:pStyle w:val="MsoNormal0"/>
                              <w:spacing w:after="0"/>
                              <w:ind w:left="517"/>
                              <w:rPr>
                                <w:noProof/>
                              </w:rPr>
                            </w:pPr>
                            <w:r w:rsidRPr="00AB0314">
                              <w:rPr>
                                <w:noProof/>
                                <w:sz w:val="18"/>
                                <w:szCs w:val="18"/>
                              </w:rPr>
                              <w:t xml:space="preserve">Share of CCT students that transitioned to the next grade OR to a TVET program - female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AC1560F" w14:textId="77777777" w:rsidR="00DD6229" w:rsidRPr="00AB0314" w:rsidRDefault="00D310E2" w:rsidP="007651DC">
                            <w:pPr>
                              <w:pStyle w:val="MsoNormal0"/>
                              <w:spacing w:after="0"/>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60F7017" w14:textId="77777777" w:rsidR="00DD6229" w:rsidRPr="00AB0314" w:rsidRDefault="00D310E2" w:rsidP="007651DC">
                            <w:pPr>
                              <w:pStyle w:val="MsoNormal0"/>
                              <w:spacing w:after="0"/>
                              <w:jc w:val="center"/>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94BF8BF"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292A1C9"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E557329" w14:textId="77777777" w:rsidR="00DD6229" w:rsidRPr="00AB0314" w:rsidRDefault="00D310E2" w:rsidP="007651DC">
                            <w:pPr>
                              <w:pStyle w:val="MsoNormal0"/>
                              <w:spacing w:after="0"/>
                              <w:jc w:val="center"/>
                              <w:rPr>
                                <w:noProof/>
                              </w:rPr>
                            </w:pPr>
                            <w:r w:rsidRPr="00AB0314">
                              <w:rPr>
                                <w:noProof/>
                                <w:sz w:val="18"/>
                                <w:szCs w:val="18"/>
                              </w:rPr>
                              <w:t>70.00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F2FCF41" w14:textId="77777777" w:rsidR="00DD6229" w:rsidRPr="00AB0314" w:rsidRDefault="00D310E2" w:rsidP="007651DC">
                            <w:pPr>
                              <w:pStyle w:val="MsoNormal0"/>
                              <w:spacing w:after="0"/>
                              <w:jc w:val="center"/>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82E9E8C" w14:textId="77777777" w:rsidR="00DD6229" w:rsidRPr="00AB0314" w:rsidRDefault="00D310E2" w:rsidP="007651DC">
                            <w:pPr>
                              <w:pStyle w:val="MsoNormal0"/>
                              <w:spacing w:after="0"/>
                              <w:jc w:val="center"/>
                              <w:rPr>
                                <w:noProof/>
                              </w:rPr>
                            </w:pPr>
                            <w:r w:rsidRPr="00AB0314">
                              <w:rPr>
                                <w:noProof/>
                                <w:sz w:val="18"/>
                                <w:szCs w:val="18"/>
                              </w:rPr>
                              <w:t>81</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F852198" w14:textId="77777777" w:rsidR="00DD6229" w:rsidRPr="00AB0314" w:rsidRDefault="00D310E2" w:rsidP="007651DC">
                            <w:pPr>
                              <w:pStyle w:val="MsoNormal0"/>
                              <w:spacing w:after="0"/>
                              <w:jc w:val="center"/>
                              <w:rPr>
                                <w:noProof/>
                              </w:rPr>
                            </w:pPr>
                            <w:r w:rsidRPr="00AB0314">
                              <w:rPr>
                                <w:noProof/>
                                <w:sz w:val="18"/>
                                <w:szCs w:val="18"/>
                              </w:rPr>
                              <w:t> </w:t>
                            </w:r>
                          </w:p>
                        </w:tc>
                      </w:tr>
                      <w:tr w:rsidR="00DD6229" w14:paraId="10F38345"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3E2E391F"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0E52250B"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0063D51E" w14:textId="77777777" w:rsidR="00DD6229" w:rsidRPr="00AB0314" w:rsidRDefault="00D310E2" w:rsidP="007651DC">
                            <w:pPr>
                              <w:pStyle w:val="MsoNormal0"/>
                              <w:spacing w:after="0"/>
                              <w:ind w:left="144"/>
                              <w:rPr>
                                <w:noProof/>
                              </w:rPr>
                            </w:pPr>
                            <w:r w:rsidRPr="00AB0314">
                              <w:rPr>
                                <w:noProof/>
                                <w:color w:val="000000"/>
                                <w:sz w:val="18"/>
                                <w:szCs w:val="18"/>
                              </w:rPr>
                              <w:t>same as above</w:t>
                            </w:r>
                          </w:p>
                        </w:tc>
                      </w:tr>
                      <w:tr w:rsidR="00DD6229" w14:paraId="305E4320"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68FF975A" w14:textId="77777777" w:rsidR="00DD6229" w:rsidRPr="00AB0314" w:rsidRDefault="00D310E2" w:rsidP="007651DC">
                            <w:pPr>
                              <w:pStyle w:val="MsoNormal0"/>
                              <w:spacing w:after="0"/>
                              <w:rPr>
                                <w:noProof/>
                              </w:rPr>
                            </w:pPr>
                            <w:r w:rsidRPr="00AB0314">
                              <w:rPr>
                                <w:b/>
                                <w:bCs/>
                                <w:noProof/>
                                <w:color w:val="000000"/>
                                <w:sz w:val="18"/>
                                <w:szCs w:val="18"/>
                              </w:rPr>
                              <w:t xml:space="preserve">Improved employment outcomes for poor Tongans </w:t>
                            </w:r>
                          </w:p>
                        </w:tc>
                      </w:tr>
                      <w:tr w:rsidR="00DD6229" w14:paraId="04D2F39D"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2B41F01A" w14:textId="77777777" w:rsidR="00DD6229" w:rsidRPr="00AB0314" w:rsidRDefault="00D310E2" w:rsidP="007651DC">
                            <w:pPr>
                              <w:pStyle w:val="MsoNormal0"/>
                              <w:spacing w:after="0"/>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1BA4E83E" w14:textId="77777777" w:rsidR="00DD6229" w:rsidRPr="00AB0314" w:rsidRDefault="00D310E2" w:rsidP="007651DC">
                            <w:pPr>
                              <w:pStyle w:val="MsoNormal0"/>
                              <w:spacing w:after="0"/>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06E615A" w14:textId="77777777" w:rsidR="00DD6229" w:rsidRPr="00AB0314" w:rsidRDefault="00D310E2" w:rsidP="007651DC">
                            <w:pPr>
                              <w:pStyle w:val="MsoNormal0"/>
                              <w:spacing w:after="0"/>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5997078" w14:textId="77777777" w:rsidR="00DD6229" w:rsidRPr="00AB0314" w:rsidRDefault="00D310E2" w:rsidP="007651DC">
                            <w:pPr>
                              <w:pStyle w:val="MsoNormal0"/>
                              <w:spacing w:after="0"/>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A7C7CF8" w14:textId="77777777" w:rsidR="00DD6229" w:rsidRPr="00AB0314" w:rsidRDefault="00D310E2" w:rsidP="007651DC">
                            <w:pPr>
                              <w:pStyle w:val="MsoNormal0"/>
                              <w:spacing w:after="0"/>
                              <w:jc w:val="center"/>
                              <w:rPr>
                                <w:noProof/>
                              </w:rPr>
                            </w:pPr>
                            <w:r w:rsidRPr="00AB0314">
                              <w:rPr>
                                <w:noProof/>
                                <w:sz w:val="18"/>
                                <w:szCs w:val="18"/>
                              </w:rPr>
                              <w:t>Actual Achieved at Completion</w:t>
                            </w:r>
                          </w:p>
                        </w:tc>
                      </w:tr>
                      <w:tr w:rsidR="00DD6229" w14:paraId="1FB794BF"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2BD88662"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CA827DB" w14:textId="77777777" w:rsidR="00DD6229" w:rsidRPr="00AB0314" w:rsidRDefault="00D310E2" w:rsidP="007651DC">
                            <w:pPr>
                              <w:pStyle w:val="MsoNormal0"/>
                              <w:spacing w:after="0"/>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4A0DD69F" w14:textId="77777777" w:rsidR="00DD6229" w:rsidRPr="00AB0314" w:rsidRDefault="00D310E2" w:rsidP="007651DC">
                            <w:pPr>
                              <w:pStyle w:val="MsoNormal0"/>
                              <w:spacing w:after="0"/>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0FEF7858" w14:textId="77777777" w:rsidR="00DD6229" w:rsidRPr="00AB0314" w:rsidRDefault="00D310E2" w:rsidP="007651DC">
                            <w:pPr>
                              <w:pStyle w:val="MsoNormal0"/>
                              <w:spacing w:after="0"/>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0E86EA1" w14:textId="77777777" w:rsidR="00DD6229" w:rsidRPr="00AB0314" w:rsidRDefault="00D310E2" w:rsidP="007651DC">
                            <w:pPr>
                              <w:pStyle w:val="MsoNormal0"/>
                              <w:spacing w:after="0"/>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1FE90C34" w14:textId="77777777" w:rsidR="00DD6229" w:rsidRPr="00AB0314" w:rsidRDefault="00D310E2" w:rsidP="007651DC">
                            <w:pPr>
                              <w:pStyle w:val="MsoNormal0"/>
                              <w:spacing w:after="0"/>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4A85E827" w14:textId="77777777" w:rsidR="00DD6229" w:rsidRPr="00AB0314" w:rsidRDefault="00D310E2" w:rsidP="007651DC">
                            <w:pPr>
                              <w:pStyle w:val="MsoNormal0"/>
                              <w:spacing w:after="0"/>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0E280207" w14:textId="77777777" w:rsidR="00DD6229" w:rsidRPr="00AB0314" w:rsidRDefault="00D310E2" w:rsidP="007651DC">
                            <w:pPr>
                              <w:pStyle w:val="MsoNormal0"/>
                              <w:spacing w:after="0"/>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2FE28290" w14:textId="77777777" w:rsidR="00DD6229" w:rsidRPr="00AB0314" w:rsidRDefault="00D310E2" w:rsidP="007651DC">
                            <w:pPr>
                              <w:pStyle w:val="MsoNormal0"/>
                              <w:spacing w:after="0"/>
                              <w:jc w:val="center"/>
                              <w:rPr>
                                <w:noProof/>
                              </w:rPr>
                            </w:pPr>
                            <w:r w:rsidRPr="00AB0314">
                              <w:rPr>
                                <w:noProof/>
                                <w:color w:val="000000"/>
                                <w:sz w:val="18"/>
                                <w:szCs w:val="18"/>
                              </w:rPr>
                              <w:t>Month/Year</w:t>
                            </w:r>
                          </w:p>
                        </w:tc>
                      </w:tr>
                      <w:tr w:rsidR="00DD6229" w14:paraId="3DDDFB66"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60D23355" w14:textId="77777777" w:rsidR="00DD6229" w:rsidRPr="00AB0314" w:rsidRDefault="00D310E2" w:rsidP="007651DC">
                            <w:pPr>
                              <w:pStyle w:val="MsoNormal0"/>
                              <w:spacing w:after="0"/>
                              <w:rPr>
                                <w:noProof/>
                              </w:rPr>
                            </w:pPr>
                            <w:r w:rsidRPr="00AB0314">
                              <w:rPr>
                                <w:noProof/>
                                <w:sz w:val="18"/>
                                <w:szCs w:val="18"/>
                              </w:rPr>
                              <w:t xml:space="preserve">Average completion rate of project-supported TVET programs (overall)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B083CCF" w14:textId="77777777" w:rsidR="00DD6229" w:rsidRPr="00AB0314" w:rsidRDefault="00D310E2" w:rsidP="007651DC">
                            <w:pPr>
                              <w:pStyle w:val="MsoNormal0"/>
                              <w:spacing w:after="0"/>
                              <w:jc w:val="center"/>
                              <w:rPr>
                                <w:noProof/>
                              </w:rPr>
                            </w:pPr>
                            <w:r w:rsidRPr="00AB0314">
                              <w:rPr>
                                <w:noProof/>
                                <w:sz w:val="18"/>
                                <w:szCs w:val="18"/>
                              </w:rPr>
                              <w:t>67.00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611D7D9" w14:textId="77777777" w:rsidR="00DD6229" w:rsidRPr="00AB0314" w:rsidRDefault="00D310E2" w:rsidP="007651DC">
                            <w:pPr>
                              <w:pStyle w:val="MsoNormal0"/>
                              <w:spacing w:after="0"/>
                              <w:jc w:val="center"/>
                              <w:rPr>
                                <w:noProof/>
                              </w:rPr>
                            </w:pPr>
                            <w:r w:rsidRPr="00AB0314">
                              <w:rPr>
                                <w:noProof/>
                                <w:sz w:val="18"/>
                                <w:szCs w:val="18"/>
                              </w:rPr>
                              <w:t>Nov/2022</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592630A"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BEE7437"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5ED25F0" w14:textId="77777777" w:rsidR="00DD6229" w:rsidRPr="00AB0314" w:rsidRDefault="00D310E2" w:rsidP="007651DC">
                            <w:pPr>
                              <w:pStyle w:val="MsoNormal0"/>
                              <w:spacing w:after="0"/>
                              <w:jc w:val="center"/>
                              <w:rPr>
                                <w:noProof/>
                              </w:rPr>
                            </w:pPr>
                            <w:r w:rsidRPr="00AB0314">
                              <w:rPr>
                                <w:noProof/>
                                <w:sz w:val="18"/>
                                <w:szCs w:val="18"/>
                              </w:rPr>
                              <w:t>77.00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5D55EBA" w14:textId="77777777" w:rsidR="00DD6229" w:rsidRPr="00AB0314" w:rsidRDefault="00D310E2" w:rsidP="007651DC">
                            <w:pPr>
                              <w:pStyle w:val="MsoNormal0"/>
                              <w:spacing w:after="0"/>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59FC6AE" w14:textId="77777777" w:rsidR="00DD6229" w:rsidRPr="00AB0314" w:rsidRDefault="00D310E2" w:rsidP="007651DC">
                            <w:pPr>
                              <w:pStyle w:val="MsoNormal0"/>
                              <w:spacing w:after="0"/>
                              <w:jc w:val="center"/>
                              <w:rPr>
                                <w:noProof/>
                              </w:rPr>
                            </w:pPr>
                            <w:r w:rsidRPr="00AB0314">
                              <w:rPr>
                                <w:noProof/>
                                <w:sz w:val="18"/>
                                <w:szCs w:val="18"/>
                              </w:rPr>
                              <w:t>79.00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D95FB7F" w14:textId="77777777" w:rsidR="00DD6229" w:rsidRPr="00AB0314" w:rsidRDefault="00D310E2" w:rsidP="007651DC">
                            <w:pPr>
                              <w:pStyle w:val="MsoNormal0"/>
                              <w:spacing w:after="0"/>
                              <w:jc w:val="center"/>
                              <w:rPr>
                                <w:noProof/>
                              </w:rPr>
                            </w:pPr>
                            <w:r w:rsidRPr="00AB0314">
                              <w:rPr>
                                <w:noProof/>
                                <w:sz w:val="18"/>
                                <w:szCs w:val="18"/>
                              </w:rPr>
                              <w:t>Nov/2024</w:t>
                            </w:r>
                          </w:p>
                        </w:tc>
                      </w:tr>
                      <w:tr w:rsidR="00DD6229" w14:paraId="12C27688"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08023DBE"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590752A7"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08FAA617" w14:textId="77777777" w:rsidR="00DD6229" w:rsidRPr="00AB0314" w:rsidRDefault="00D310E2" w:rsidP="007651DC">
                            <w:pPr>
                              <w:pStyle w:val="MsoNormal0"/>
                              <w:spacing w:after="0"/>
                              <w:ind w:left="144"/>
                              <w:rPr>
                                <w:noProof/>
                              </w:rPr>
                            </w:pPr>
                            <w:r w:rsidRPr="00AB0314">
                              <w:rPr>
                                <w:noProof/>
                                <w:color w:val="000000"/>
                                <w:sz w:val="18"/>
                                <w:szCs w:val="18"/>
                              </w:rPr>
                              <w:t>As per extension processed in 2024, the closing period is 31 December 2024.</w:t>
                            </w:r>
                          </w:p>
                        </w:tc>
                      </w:tr>
                      <w:tr w:rsidR="00DD6229" w14:paraId="3C4D0F08"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4949FF65" w14:textId="77777777" w:rsidR="00DD6229" w:rsidRPr="00AB0314" w:rsidRDefault="00D310E2" w:rsidP="007651DC">
                            <w:pPr>
                              <w:pStyle w:val="MsoNormal0"/>
                              <w:spacing w:after="0"/>
                              <w:ind w:left="517"/>
                              <w:rPr>
                                <w:noProof/>
                              </w:rPr>
                            </w:pPr>
                            <w:r w:rsidRPr="00AB0314">
                              <w:rPr>
                                <w:noProof/>
                                <w:sz w:val="18"/>
                                <w:szCs w:val="18"/>
                              </w:rPr>
                              <w:t xml:space="preserve">Average completion rate of project-supported TVET programs (female)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6D7A42D" w14:textId="77777777" w:rsidR="00DD6229" w:rsidRPr="00AB0314" w:rsidRDefault="00D310E2" w:rsidP="007651DC">
                            <w:pPr>
                              <w:pStyle w:val="MsoNormal0"/>
                              <w:spacing w:after="0"/>
                              <w:jc w:val="center"/>
                              <w:rPr>
                                <w:noProof/>
                              </w:rPr>
                            </w:pPr>
                            <w:r w:rsidRPr="00AB0314">
                              <w:rPr>
                                <w:noProof/>
                                <w:sz w:val="18"/>
                                <w:szCs w:val="18"/>
                              </w:rPr>
                              <w:t>66.00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9C22E10" w14:textId="77777777" w:rsidR="00DD6229" w:rsidRPr="00AB0314" w:rsidRDefault="00D310E2" w:rsidP="007651DC">
                            <w:pPr>
                              <w:pStyle w:val="MsoNormal0"/>
                              <w:spacing w:after="0"/>
                              <w:jc w:val="center"/>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96DDBDF"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69905D5"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7816DC2" w14:textId="77777777" w:rsidR="00DD6229" w:rsidRPr="00AB0314" w:rsidRDefault="00D310E2" w:rsidP="007651DC">
                            <w:pPr>
                              <w:pStyle w:val="MsoNormal0"/>
                              <w:spacing w:after="0"/>
                              <w:jc w:val="center"/>
                              <w:rPr>
                                <w:noProof/>
                              </w:rPr>
                            </w:pPr>
                            <w:r w:rsidRPr="00AB0314">
                              <w:rPr>
                                <w:noProof/>
                                <w:sz w:val="18"/>
                                <w:szCs w:val="18"/>
                              </w:rPr>
                              <w:t>76.00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B5C79D9" w14:textId="77777777" w:rsidR="00DD6229" w:rsidRPr="00AB0314" w:rsidRDefault="00D310E2" w:rsidP="007651DC">
                            <w:pPr>
                              <w:pStyle w:val="MsoNormal0"/>
                              <w:spacing w:after="0"/>
                              <w:jc w:val="center"/>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5BB79E3" w14:textId="77777777" w:rsidR="00DD6229" w:rsidRPr="00AB0314" w:rsidRDefault="00D310E2" w:rsidP="007651DC">
                            <w:pPr>
                              <w:pStyle w:val="MsoNormal0"/>
                              <w:spacing w:after="0"/>
                              <w:jc w:val="center"/>
                              <w:rPr>
                                <w:noProof/>
                              </w:rPr>
                            </w:pPr>
                            <w:r w:rsidRPr="00AB0314">
                              <w:rPr>
                                <w:noProof/>
                                <w:sz w:val="18"/>
                                <w:szCs w:val="18"/>
                              </w:rPr>
                              <w:t>81</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43FBD47" w14:textId="77777777" w:rsidR="00DD6229" w:rsidRPr="00AB0314" w:rsidRDefault="00D310E2" w:rsidP="007651DC">
                            <w:pPr>
                              <w:pStyle w:val="MsoNormal0"/>
                              <w:spacing w:after="0"/>
                              <w:jc w:val="center"/>
                              <w:rPr>
                                <w:noProof/>
                              </w:rPr>
                            </w:pPr>
                            <w:r w:rsidRPr="00AB0314">
                              <w:rPr>
                                <w:noProof/>
                                <w:sz w:val="18"/>
                                <w:szCs w:val="18"/>
                              </w:rPr>
                              <w:t> </w:t>
                            </w:r>
                          </w:p>
                        </w:tc>
                      </w:tr>
                      <w:tr w:rsidR="00DD6229" w14:paraId="1338C58B"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73466F42"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70273082"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2A7CDD0B" w14:textId="77777777" w:rsidR="00DD6229" w:rsidRPr="00AB0314" w:rsidRDefault="00D310E2" w:rsidP="007651DC">
                            <w:pPr>
                              <w:pStyle w:val="MsoNormal0"/>
                              <w:spacing w:after="0"/>
                              <w:ind w:left="144"/>
                              <w:rPr>
                                <w:noProof/>
                              </w:rPr>
                            </w:pPr>
                            <w:r w:rsidRPr="00AB0314">
                              <w:rPr>
                                <w:noProof/>
                                <w:color w:val="000000"/>
                                <w:sz w:val="18"/>
                                <w:szCs w:val="18"/>
                              </w:rPr>
                              <w:t>Same as above</w:t>
                            </w:r>
                          </w:p>
                        </w:tc>
                      </w:tr>
                      <w:tr w:rsidR="00DD6229" w14:paraId="6B4007B5"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03FF111C" w14:textId="77777777" w:rsidR="00DD6229" w:rsidRPr="00AB0314" w:rsidRDefault="00D310E2" w:rsidP="007651DC">
                            <w:pPr>
                              <w:pStyle w:val="MsoNormal0"/>
                              <w:spacing w:after="0"/>
                              <w:rPr>
                                <w:noProof/>
                              </w:rPr>
                            </w:pPr>
                            <w:r w:rsidRPr="00AB0314">
                              <w:rPr>
                                <w:b/>
                                <w:bCs/>
                                <w:noProof/>
                                <w:color w:val="000000"/>
                                <w:sz w:val="18"/>
                                <w:szCs w:val="18"/>
                              </w:rPr>
                              <w:t xml:space="preserve">Increased access to overseas labor markets for Tongans </w:t>
                            </w:r>
                          </w:p>
                        </w:tc>
                      </w:tr>
                      <w:tr w:rsidR="00DD6229" w14:paraId="7AA423E7"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12748EDC" w14:textId="77777777" w:rsidR="00DD6229" w:rsidRPr="00AB0314" w:rsidRDefault="00D310E2" w:rsidP="007651DC">
                            <w:pPr>
                              <w:pStyle w:val="MsoNormal0"/>
                              <w:spacing w:after="0"/>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1C995B2D" w14:textId="77777777" w:rsidR="00DD6229" w:rsidRPr="00AB0314" w:rsidRDefault="00D310E2" w:rsidP="007651DC">
                            <w:pPr>
                              <w:pStyle w:val="MsoNormal0"/>
                              <w:spacing w:after="0"/>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24B8B3D" w14:textId="77777777" w:rsidR="00DD6229" w:rsidRPr="00AB0314" w:rsidRDefault="00D310E2" w:rsidP="007651DC">
                            <w:pPr>
                              <w:pStyle w:val="MsoNormal0"/>
                              <w:spacing w:after="0"/>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67297E59" w14:textId="77777777" w:rsidR="00DD6229" w:rsidRPr="00AB0314" w:rsidRDefault="00D310E2" w:rsidP="007651DC">
                            <w:pPr>
                              <w:pStyle w:val="MsoNormal0"/>
                              <w:spacing w:after="0"/>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3DE0F858" w14:textId="77777777" w:rsidR="00DD6229" w:rsidRPr="00AB0314" w:rsidRDefault="00D310E2" w:rsidP="007651DC">
                            <w:pPr>
                              <w:pStyle w:val="MsoNormal0"/>
                              <w:spacing w:after="0"/>
                              <w:jc w:val="center"/>
                              <w:rPr>
                                <w:noProof/>
                              </w:rPr>
                            </w:pPr>
                            <w:r w:rsidRPr="00AB0314">
                              <w:rPr>
                                <w:noProof/>
                                <w:sz w:val="18"/>
                                <w:szCs w:val="18"/>
                              </w:rPr>
                              <w:t>Actual Achieved at Completion</w:t>
                            </w:r>
                          </w:p>
                        </w:tc>
                      </w:tr>
                      <w:tr w:rsidR="00DD6229" w14:paraId="7F987DC8"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06025041"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1CD807E" w14:textId="77777777" w:rsidR="00DD6229" w:rsidRPr="00AB0314" w:rsidRDefault="00D310E2" w:rsidP="007651DC">
                            <w:pPr>
                              <w:pStyle w:val="MsoNormal0"/>
                              <w:spacing w:after="0"/>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63C7220F" w14:textId="77777777" w:rsidR="00DD6229" w:rsidRPr="00AB0314" w:rsidRDefault="00D310E2" w:rsidP="007651DC">
                            <w:pPr>
                              <w:pStyle w:val="MsoNormal0"/>
                              <w:spacing w:after="0"/>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697293CE" w14:textId="77777777" w:rsidR="00DD6229" w:rsidRPr="00AB0314" w:rsidRDefault="00D310E2" w:rsidP="007651DC">
                            <w:pPr>
                              <w:pStyle w:val="MsoNormal0"/>
                              <w:spacing w:after="0"/>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6B9D376D" w14:textId="77777777" w:rsidR="00DD6229" w:rsidRPr="00AB0314" w:rsidRDefault="00D310E2" w:rsidP="007651DC">
                            <w:pPr>
                              <w:pStyle w:val="MsoNormal0"/>
                              <w:spacing w:after="0"/>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09643887" w14:textId="77777777" w:rsidR="00DD6229" w:rsidRPr="00AB0314" w:rsidRDefault="00D310E2" w:rsidP="007651DC">
                            <w:pPr>
                              <w:pStyle w:val="MsoNormal0"/>
                              <w:spacing w:after="0"/>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64D9441E" w14:textId="77777777" w:rsidR="00DD6229" w:rsidRPr="00AB0314" w:rsidRDefault="00D310E2" w:rsidP="007651DC">
                            <w:pPr>
                              <w:pStyle w:val="MsoNormal0"/>
                              <w:spacing w:after="0"/>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E173220" w14:textId="77777777" w:rsidR="00DD6229" w:rsidRPr="00AB0314" w:rsidRDefault="00D310E2" w:rsidP="007651DC">
                            <w:pPr>
                              <w:pStyle w:val="MsoNormal0"/>
                              <w:spacing w:after="0"/>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5AEADFCC" w14:textId="77777777" w:rsidR="00DD6229" w:rsidRPr="00AB0314" w:rsidRDefault="00D310E2" w:rsidP="007651DC">
                            <w:pPr>
                              <w:pStyle w:val="MsoNormal0"/>
                              <w:spacing w:after="0"/>
                              <w:jc w:val="center"/>
                              <w:rPr>
                                <w:noProof/>
                              </w:rPr>
                            </w:pPr>
                            <w:r w:rsidRPr="00AB0314">
                              <w:rPr>
                                <w:noProof/>
                                <w:color w:val="000000"/>
                                <w:sz w:val="18"/>
                                <w:szCs w:val="18"/>
                              </w:rPr>
                              <w:t>Month/Year</w:t>
                            </w:r>
                          </w:p>
                        </w:tc>
                      </w:tr>
                      <w:tr w:rsidR="00DD6229" w14:paraId="27052081"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181E5858" w14:textId="77777777" w:rsidR="00DD6229" w:rsidRPr="00AB0314" w:rsidRDefault="00D310E2" w:rsidP="007651DC">
                            <w:pPr>
                              <w:pStyle w:val="MsoNormal0"/>
                              <w:spacing w:after="0"/>
                              <w:rPr>
                                <w:noProof/>
                              </w:rPr>
                            </w:pPr>
                            <w:r w:rsidRPr="00AB0314">
                              <w:rPr>
                                <w:noProof/>
                                <w:sz w:val="18"/>
                                <w:szCs w:val="18"/>
                              </w:rPr>
                              <w:t xml:space="preserve">Beneficiaries in the work ready pool accessing employment opportunities abroad - overall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F2FF704" w14:textId="77777777" w:rsidR="00DD6229" w:rsidRPr="00AB0314" w:rsidRDefault="00D310E2" w:rsidP="007651DC">
                            <w:pPr>
                              <w:pStyle w:val="MsoNormal0"/>
                              <w:spacing w:after="0"/>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E24467E" w14:textId="77777777" w:rsidR="00DD6229" w:rsidRPr="00AB0314" w:rsidRDefault="00D310E2" w:rsidP="007651DC">
                            <w:pPr>
                              <w:pStyle w:val="MsoNormal0"/>
                              <w:spacing w:after="0"/>
                              <w:jc w:val="center"/>
                              <w:rPr>
                                <w:noProof/>
                              </w:rPr>
                            </w:pPr>
                            <w:r w:rsidRPr="00AB0314">
                              <w:rPr>
                                <w:noProof/>
                                <w:sz w:val="18"/>
                                <w:szCs w:val="18"/>
                              </w:rPr>
                              <w:t>Jun/2020</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0B13B25"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A36DF73"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626EC8E" w14:textId="77777777" w:rsidR="00DD6229" w:rsidRPr="00AB0314" w:rsidRDefault="00D310E2" w:rsidP="007651DC">
                            <w:pPr>
                              <w:pStyle w:val="MsoNormal0"/>
                              <w:spacing w:after="0"/>
                              <w:jc w:val="center"/>
                              <w:rPr>
                                <w:noProof/>
                              </w:rPr>
                            </w:pPr>
                            <w:r w:rsidRPr="00AB0314">
                              <w:rPr>
                                <w:noProof/>
                                <w:sz w:val="18"/>
                                <w:szCs w:val="18"/>
                              </w:rPr>
                              <w:t>2,000.00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E4E031D" w14:textId="77777777" w:rsidR="00DD6229" w:rsidRPr="00AB0314" w:rsidRDefault="00D310E2" w:rsidP="007651DC">
                            <w:pPr>
                              <w:pStyle w:val="MsoNormal0"/>
                              <w:spacing w:after="0"/>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1DA4F5F" w14:textId="77777777" w:rsidR="00DD6229" w:rsidRPr="00AB0314" w:rsidRDefault="00D310E2" w:rsidP="007651DC">
                            <w:pPr>
                              <w:pStyle w:val="MsoNormal0"/>
                              <w:spacing w:after="0"/>
                              <w:jc w:val="center"/>
                              <w:rPr>
                                <w:noProof/>
                              </w:rPr>
                            </w:pPr>
                            <w:r w:rsidRPr="00AB0314">
                              <w:rPr>
                                <w:noProof/>
                                <w:sz w:val="18"/>
                                <w:szCs w:val="18"/>
                              </w:rPr>
                              <w:t>2,878</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F23AF33" w14:textId="77777777" w:rsidR="00DD6229" w:rsidRPr="00AB0314" w:rsidRDefault="00D310E2" w:rsidP="007651DC">
                            <w:pPr>
                              <w:pStyle w:val="MsoNormal0"/>
                              <w:spacing w:after="0"/>
                              <w:jc w:val="center"/>
                              <w:rPr>
                                <w:noProof/>
                              </w:rPr>
                            </w:pPr>
                            <w:r w:rsidRPr="00AB0314">
                              <w:rPr>
                                <w:noProof/>
                                <w:sz w:val="18"/>
                                <w:szCs w:val="18"/>
                              </w:rPr>
                              <w:t>Nov/2024</w:t>
                            </w:r>
                          </w:p>
                        </w:tc>
                      </w:tr>
                      <w:tr w:rsidR="00DD6229" w14:paraId="6B1E3EFA"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0ABCBAB3"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05532399"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61894B65" w14:textId="77777777" w:rsidR="00DD6229" w:rsidRPr="00AB0314" w:rsidRDefault="00D310E2" w:rsidP="007651DC">
                            <w:pPr>
                              <w:pStyle w:val="MsoNormal0"/>
                              <w:spacing w:after="0"/>
                              <w:ind w:left="144"/>
                              <w:rPr>
                                <w:noProof/>
                              </w:rPr>
                            </w:pPr>
                            <w:r w:rsidRPr="00AB0314">
                              <w:rPr>
                                <w:noProof/>
                                <w:color w:val="000000"/>
                                <w:sz w:val="18"/>
                                <w:szCs w:val="18"/>
                              </w:rPr>
                              <w:t>As per extension processed in 2024, the closing period is 31 December 2024.</w:t>
                            </w:r>
                          </w:p>
                        </w:tc>
                      </w:tr>
                      <w:tr w:rsidR="00DD6229" w14:paraId="34683B52"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262DC22" w14:textId="77777777" w:rsidR="00DD6229" w:rsidRPr="00AB0314" w:rsidRDefault="00D310E2" w:rsidP="007651DC">
                            <w:pPr>
                              <w:pStyle w:val="MsoNormal0"/>
                              <w:spacing w:after="0"/>
                              <w:ind w:left="517"/>
                              <w:rPr>
                                <w:noProof/>
                              </w:rPr>
                            </w:pPr>
                            <w:r w:rsidRPr="00AB0314">
                              <w:rPr>
                                <w:noProof/>
                                <w:sz w:val="18"/>
                                <w:szCs w:val="18"/>
                              </w:rPr>
                              <w:t xml:space="preserve">Beneficiaries in the work ready pool accessing employment opportunities abroad - female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5A3B9A1" w14:textId="77777777" w:rsidR="00DD6229" w:rsidRPr="00AB0314" w:rsidRDefault="00D310E2" w:rsidP="007651DC">
                            <w:pPr>
                              <w:pStyle w:val="MsoNormal0"/>
                              <w:spacing w:after="0"/>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5150E97" w14:textId="77777777" w:rsidR="00DD6229" w:rsidRPr="00AB0314" w:rsidRDefault="00D310E2" w:rsidP="007651DC">
                            <w:pPr>
                              <w:pStyle w:val="MsoNormal0"/>
                              <w:spacing w:after="0"/>
                              <w:jc w:val="center"/>
                              <w:rPr>
                                <w:noProof/>
                              </w:rPr>
                            </w:pPr>
                            <w:r w:rsidRPr="00AB0314">
                              <w:rPr>
                                <w:noProof/>
                                <w:sz w:val="18"/>
                                <w:szCs w:val="18"/>
                              </w:rPr>
                              <w:t>Jun/2020</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3DD6AB4" w14:textId="77777777" w:rsidR="00DD6229" w:rsidRPr="00AB0314" w:rsidRDefault="00D310E2" w:rsidP="007651DC">
                            <w:pPr>
                              <w:pStyle w:val="MsoNormal0"/>
                              <w:spacing w:after="0"/>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0536FE8" w14:textId="77777777" w:rsidR="00DD6229" w:rsidRPr="00AB0314" w:rsidRDefault="00D310E2" w:rsidP="007651DC">
                            <w:pPr>
                              <w:pStyle w:val="MsoNormal0"/>
                              <w:spacing w:after="0"/>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BF8DC10" w14:textId="77777777" w:rsidR="00DD6229" w:rsidRPr="00AB0314" w:rsidRDefault="00D310E2" w:rsidP="007651DC">
                            <w:pPr>
                              <w:pStyle w:val="MsoNormal0"/>
                              <w:spacing w:after="0"/>
                              <w:jc w:val="center"/>
                              <w:rPr>
                                <w:noProof/>
                              </w:rPr>
                            </w:pPr>
                            <w:r w:rsidRPr="00AB0314">
                              <w:rPr>
                                <w:noProof/>
                                <w:sz w:val="18"/>
                                <w:szCs w:val="18"/>
                              </w:rPr>
                              <w:t>500.00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51F4845" w14:textId="77777777" w:rsidR="00DD6229" w:rsidRPr="00AB0314" w:rsidRDefault="00D310E2" w:rsidP="007651DC">
                            <w:pPr>
                              <w:pStyle w:val="MsoNormal0"/>
                              <w:spacing w:after="0"/>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C2485F0" w14:textId="77777777" w:rsidR="00DD6229" w:rsidRPr="00AB0314" w:rsidRDefault="00D310E2" w:rsidP="007651DC">
                            <w:pPr>
                              <w:pStyle w:val="MsoNormal0"/>
                              <w:spacing w:after="0"/>
                              <w:jc w:val="center"/>
                              <w:rPr>
                                <w:noProof/>
                              </w:rPr>
                            </w:pPr>
                            <w:r w:rsidRPr="00AB0314">
                              <w:rPr>
                                <w:noProof/>
                                <w:sz w:val="18"/>
                                <w:szCs w:val="18"/>
                              </w:rPr>
                              <w:t>944</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033203B" w14:textId="77777777" w:rsidR="00DD6229" w:rsidRPr="00AB0314" w:rsidRDefault="00D310E2" w:rsidP="007651DC">
                            <w:pPr>
                              <w:pStyle w:val="MsoNormal0"/>
                              <w:spacing w:after="0"/>
                              <w:jc w:val="center"/>
                              <w:rPr>
                                <w:noProof/>
                              </w:rPr>
                            </w:pPr>
                            <w:r w:rsidRPr="00AB0314">
                              <w:rPr>
                                <w:noProof/>
                                <w:sz w:val="18"/>
                                <w:szCs w:val="18"/>
                              </w:rPr>
                              <w:t>Nov/2024</w:t>
                            </w:r>
                          </w:p>
                        </w:tc>
                      </w:tr>
                      <w:tr w:rsidR="00DD6229" w14:paraId="27DB53BB"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1DB881FF"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4A5FD8DF" w14:textId="77777777" w:rsidR="00DD6229" w:rsidRPr="00AB0314" w:rsidRDefault="00D310E2" w:rsidP="007651DC">
                            <w:pPr>
                              <w:pStyle w:val="MsoNormal0"/>
                              <w:spacing w:after="0"/>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5A0FB68E" w14:textId="77777777" w:rsidR="00DD6229" w:rsidRPr="00AB0314" w:rsidRDefault="00D310E2" w:rsidP="007651DC">
                            <w:pPr>
                              <w:pStyle w:val="MsoNormal0"/>
                              <w:spacing w:after="0"/>
                              <w:ind w:left="144"/>
                              <w:rPr>
                                <w:noProof/>
                              </w:rPr>
                            </w:pPr>
                            <w:r w:rsidRPr="00AB0314">
                              <w:rPr>
                                <w:noProof/>
                                <w:color w:val="000000"/>
                                <w:sz w:val="18"/>
                                <w:szCs w:val="18"/>
                              </w:rPr>
                              <w:t>Same as above</w:t>
                            </w:r>
                          </w:p>
                        </w:tc>
                      </w:tr>
                    </w:tbl>
                    <w:p w14:paraId="24280739" w14:textId="77777777" w:rsidR="007651DC" w:rsidRPr="0030619F" w:rsidRDefault="007651DC" w:rsidP="007651DC">
                      <w:pPr>
                        <w:rPr>
                          <w:rFonts w:ascii="Calibri" w:eastAsia="Times New Roman" w:hAnsi="Calibri" w:cs="Arial"/>
                          <w:sz w:val="18"/>
                          <w:szCs w:val="18"/>
                        </w:rPr>
                      </w:pPr>
                    </w:p>
                  </w:tc>
                </w:tr>
              </w:tbl>
              <w:p w14:paraId="47A287AE" w14:textId="77777777" w:rsidR="007651DC" w:rsidRDefault="007651DC" w:rsidP="00993CEF">
                <w:pPr>
                  <w:ind w:right="29"/>
                </w:pPr>
              </w:p>
              <w:tbl>
                <w:tblPr>
                  <w:tblStyle w:val="TableGrid6"/>
                  <w:tblW w:w="14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6"/>
                </w:tblGrid>
                <w:tr w:rsidR="00DD6229" w14:paraId="33408C90" w14:textId="77777777" w:rsidTr="00993CEF">
                  <w:trPr>
                    <w:trHeight w:val="432"/>
                  </w:trPr>
                  <w:tc>
                    <w:tcPr>
                      <w:tcW w:w="14126" w:type="dxa"/>
                      <w:shd w:val="clear" w:color="auto" w:fill="F7F7F7"/>
                      <w:vAlign w:val="center"/>
                      <w:hideMark/>
                    </w:tcPr>
                    <w:p w14:paraId="413BEEAF" w14:textId="77777777" w:rsidR="00165947" w:rsidRPr="00AB0314" w:rsidRDefault="00D310E2" w:rsidP="00993CEF">
                      <w:pPr>
                        <w:keepNext/>
                        <w:rPr>
                          <w:rFonts w:ascii="Calibri" w:hAnsi="Calibri" w:cs="Times New Roman"/>
                          <w:b/>
                          <w:color w:val="172D5F"/>
                        </w:rPr>
                      </w:pPr>
                      <w:r w:rsidRPr="002E11A4">
                        <w:rPr>
                          <w:rFonts w:ascii="Calibri" w:hAnsi="Calibri" w:cs="Times New Roman"/>
                          <w:b/>
                          <w:color w:val="172D5F"/>
                        </w:rPr>
                        <w:t>Intermediate Indicators by Components</w:t>
                      </w:r>
                    </w:p>
                  </w:tc>
                </w:tr>
              </w:tbl>
              <w:p w14:paraId="4E5D33BF" w14:textId="77777777" w:rsidR="00165947" w:rsidRDefault="00165947" w:rsidP="00993C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4130" w:type="dxa"/>
                  <w:shd w:val="clear" w:color="auto" w:fill="F7F7F7"/>
                  <w:tblCellMar>
                    <w:left w:w="0" w:type="dxa"/>
                    <w:right w:w="0" w:type="dxa"/>
                  </w:tblCellMar>
                  <w:tblLook w:val="04A0" w:firstRow="1" w:lastRow="0" w:firstColumn="1" w:lastColumn="0" w:noHBand="0" w:noVBand="1"/>
                </w:tblPr>
                <w:tblGrid>
                  <w:gridCol w:w="14130"/>
                </w:tblGrid>
                <w:tr w:rsidR="00DD6229" w14:paraId="24A47BD4" w14:textId="77777777" w:rsidTr="00993CEF">
                  <w:trPr>
                    <w:trHeight w:val="20"/>
                  </w:trPr>
                  <w:tc>
                    <w:tcPr>
                      <w:tcW w:w="14130" w:type="dxa"/>
                      <w:shd w:val="clear" w:color="auto" w:fill="F7F7F7"/>
                      <w:tcMar>
                        <w:top w:w="0" w:type="dxa"/>
                        <w:left w:w="0" w:type="dxa"/>
                        <w:bottom w:w="72" w:type="dxa"/>
                        <w:right w:w="0" w:type="dxa"/>
                      </w:tcMar>
                      <w:vAlign w:val="center"/>
                    </w:tcPr>
                    <w:tbl>
                      <w:tblPr>
                        <w:tblStyle w:val="unVaodaynghebainaydibanhttpnhatquanglanxlphpnet1"/>
                        <w:tblW w:w="4950" w:type="pct"/>
                        <w:tblInd w:w="55" w:type="dxa"/>
                        <w:shd w:val="clear" w:color="auto" w:fill="FFFFFF"/>
                        <w:tblCellMar>
                          <w:left w:w="0" w:type="dxa"/>
                          <w:right w:w="0" w:type="dxa"/>
                        </w:tblCellMar>
                        <w:tblLook w:val="05E0" w:firstRow="1" w:lastRow="1" w:firstColumn="1" w:lastColumn="1" w:noHBand="0" w:noVBand="1"/>
                      </w:tblPr>
                      <w:tblGrid>
                        <w:gridCol w:w="2793"/>
                        <w:gridCol w:w="1537"/>
                        <w:gridCol w:w="1257"/>
                        <w:gridCol w:w="1537"/>
                        <w:gridCol w:w="1257"/>
                        <w:gridCol w:w="1537"/>
                        <w:gridCol w:w="1257"/>
                        <w:gridCol w:w="1537"/>
                        <w:gridCol w:w="1257"/>
                      </w:tblGrid>
                      <w:tr w:rsidR="00DD6229" w14:paraId="06ADE331"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68971282" w14:textId="77777777" w:rsidR="00DD6229" w:rsidRPr="00AB0314" w:rsidRDefault="00D310E2" w:rsidP="00993CEF">
                            <w:pPr>
                              <w:pStyle w:val="MsoNormal0"/>
                              <w:autoSpaceDE w:val="0"/>
                              <w:autoSpaceDN w:val="0"/>
                              <w:adjustRightInd w:val="0"/>
                              <w:spacing w:before="40" w:after="0" w:line="257" w:lineRule="auto"/>
                              <w:rPr>
                                <w:noProof/>
                              </w:rPr>
                            </w:pPr>
                            <w:r w:rsidRPr="00AB0314">
                              <w:rPr>
                                <w:b/>
                                <w:bCs/>
                                <w:noProof/>
                                <w:color w:val="000000"/>
                                <w:sz w:val="18"/>
                                <w:szCs w:val="18"/>
                              </w:rPr>
                              <w:t xml:space="preserve">Conditional cash transfer program for secondary school enrolment and attendance </w:t>
                            </w:r>
                          </w:p>
                        </w:tc>
                      </w:tr>
                      <w:tr w:rsidR="00DD6229" w14:paraId="7955E979"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57F179B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65D7FE3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A401A1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83587D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38AA539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Actual Achieved at Completion</w:t>
                            </w:r>
                          </w:p>
                        </w:tc>
                      </w:tr>
                      <w:tr w:rsidR="00DD6229" w14:paraId="26255F1E"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6FEABF70"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1BBF2EE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1076966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3074C263"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0A52290F"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0CFDD6C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012652B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363FDA9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4AB1E83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r>
                      <w:tr w:rsidR="00DD6229" w14:paraId="6D1B46C7"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2BEC809"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Beneficiary households registered in the CCT program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C0CB55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E95D40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4F3E00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AE6D51E"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48AD8E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1,400.00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DB0239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Dec/2024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952DDA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2,478</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B0E428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55EEB692"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4A77255F"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57E188B3"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0246170B"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62A4A337"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41DED403"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Development of a Management Information System for the CCT program (Yes/No)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C7840D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C5B87F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E7ADF3F"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AD364A7"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AC942BF"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Yes</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612586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8D6380A"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Yes</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D30C28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70B78C0F"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611668D1"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33C01316"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6AA901D1"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As per extension processed in 2024, the closing period is 31 December 2024.</w:t>
                            </w:r>
                          </w:p>
                        </w:tc>
                      </w:tr>
                      <w:tr w:rsidR="00DD6229" w14:paraId="0CAC66F8"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4C85132F"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Percentage of CCT grievance redress claims settled within three months of application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83DD61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74B901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8E3AAB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119A2BF"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F8558E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9B11FE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B22271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842FB3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58418771"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4CF6E07B"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360EA4DA"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6AD714B0"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58320A24"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64F5DC48"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Share of high school students from the CCT program that attend school at least 80% of time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710950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97.00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23192A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Nov/2022</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2D395C4"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A25412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241D49A"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2860ACF"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B59929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98</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658D00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4392665D"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12BBE03F"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4C968A35"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4640EB5F"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2D996868"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626DE93B" w14:textId="77777777" w:rsidR="00DD6229" w:rsidRPr="00AB0314" w:rsidRDefault="00D310E2" w:rsidP="00993CEF">
                            <w:pPr>
                              <w:pStyle w:val="MsoNormal0"/>
                              <w:autoSpaceDE w:val="0"/>
                              <w:autoSpaceDN w:val="0"/>
                              <w:adjustRightInd w:val="0"/>
                              <w:spacing w:before="40" w:after="0" w:line="257" w:lineRule="auto"/>
                              <w:rPr>
                                <w:noProof/>
                              </w:rPr>
                            </w:pPr>
                            <w:r w:rsidRPr="00AB0314">
                              <w:rPr>
                                <w:b/>
                                <w:bCs/>
                                <w:noProof/>
                                <w:color w:val="000000"/>
                                <w:sz w:val="18"/>
                                <w:szCs w:val="18"/>
                              </w:rPr>
                              <w:lastRenderedPageBreak/>
                              <w:t xml:space="preserve">Strengthening TVET provision </w:t>
                            </w:r>
                          </w:p>
                        </w:tc>
                      </w:tr>
                      <w:tr w:rsidR="00DD6229" w14:paraId="2D2D4AAA"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71472DC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52B5116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07686C1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C085F03"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831E50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Actual Achieved at Completion</w:t>
                            </w:r>
                          </w:p>
                        </w:tc>
                      </w:tr>
                      <w:tr w:rsidR="00DD6229" w14:paraId="27ABBE38"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3D9629E9"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4D2946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5D95100F"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3A95EFF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523620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59752A3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7EE27C1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51BF69F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3750893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r>
                      <w:tr w:rsidR="00DD6229" w14:paraId="5685A1C4"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2AD44A3"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TSSF beneficiaries enrolled in a certificate or diploma level qualification - overall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C2ECFF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AED442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B5B40BD"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6CF6695"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D9F2663"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600.00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D90900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DF19A1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1,064</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8B0ED2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5AE47899"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5F9BBE6F"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74E5872E"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247FEE44"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66BA6377"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9F373E1" w14:textId="77777777" w:rsidR="00DD6229" w:rsidRPr="00AB0314" w:rsidRDefault="00D310E2" w:rsidP="00993CEF">
                            <w:pPr>
                              <w:pStyle w:val="MsoNormal0"/>
                              <w:autoSpaceDE w:val="0"/>
                              <w:autoSpaceDN w:val="0"/>
                              <w:adjustRightInd w:val="0"/>
                              <w:spacing w:before="40" w:after="0" w:line="257" w:lineRule="auto"/>
                              <w:ind w:left="517"/>
                              <w:rPr>
                                <w:noProof/>
                              </w:rPr>
                            </w:pPr>
                            <w:r w:rsidRPr="00AB0314">
                              <w:rPr>
                                <w:noProof/>
                                <w:sz w:val="18"/>
                                <w:szCs w:val="18"/>
                              </w:rPr>
                              <w:t xml:space="preserve">TSSF beneficiaries enrolled in a certificate or diploma level qualification - female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BB1409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A0820D3"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4E00010"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06F559C"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A33F57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330.00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65C03F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310C8B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435</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5F1C25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34A07026"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1786CBD6"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29469108"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1336B3E7"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327EDE7D"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09FB235F"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Number of TVET qualifications supported by a Quality Improvement Grant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288A48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F1C2DD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717CC22"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6FEE6D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BEB235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6B8B5C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721501A"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13</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40AEEF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192E0504"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482A29F1"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1497D5CD"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1FF1C562"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As per extension processed in 2024, the closing period is 31 December 2024.</w:t>
                            </w:r>
                          </w:p>
                        </w:tc>
                      </w:tr>
                      <w:tr w:rsidR="00DD6229" w14:paraId="225FF66E"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158317B6"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Share of beneficiaries satisfied with the project financed TVET Student Support Funds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1316FD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09D6DD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28AC06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004AC60"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E55C11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ADE07A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2D9035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A60E5E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1F11E0E0"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567D9FF1"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2C6DD36B"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0C5474CF"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As per extension processed in 2024, the closing period is 31 December 2024.</w:t>
                            </w:r>
                          </w:p>
                        </w:tc>
                      </w:tr>
                      <w:tr w:rsidR="00DD6229" w14:paraId="1040B396"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0BECA348" w14:textId="77777777" w:rsidR="00DD6229" w:rsidRPr="00AB0314" w:rsidRDefault="00D310E2" w:rsidP="00993CEF">
                            <w:pPr>
                              <w:pStyle w:val="MsoNormal0"/>
                              <w:autoSpaceDE w:val="0"/>
                              <w:autoSpaceDN w:val="0"/>
                              <w:adjustRightInd w:val="0"/>
                              <w:spacing w:before="40" w:after="0" w:line="257" w:lineRule="auto"/>
                              <w:rPr>
                                <w:noProof/>
                              </w:rPr>
                            </w:pPr>
                            <w:r w:rsidRPr="00AB0314">
                              <w:rPr>
                                <w:b/>
                                <w:bCs/>
                                <w:noProof/>
                                <w:color w:val="000000"/>
                                <w:sz w:val="18"/>
                                <w:szCs w:val="18"/>
                              </w:rPr>
                              <w:t xml:space="preserve">Enhancing opportunities for labor migration </w:t>
                            </w:r>
                          </w:p>
                        </w:tc>
                      </w:tr>
                      <w:tr w:rsidR="00DD6229" w14:paraId="09F2A9C7"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1D363E5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5022F9A"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FE8EFE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6492DC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606E7E5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Actual Achieved at Completion</w:t>
                            </w:r>
                          </w:p>
                        </w:tc>
                      </w:tr>
                      <w:tr w:rsidR="00DD6229" w14:paraId="47756A9B"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3D67F1AA"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57AECD5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6808607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46A8C1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68DA27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229F04C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498713B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5E0B5F7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755B37B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r>
                      <w:tr w:rsidR="00DD6229" w14:paraId="3434CDD5"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7E879159"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Beneficiaries completing a pre-departure training program for migration - overall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1E009C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AE305D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2648D1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6862A0A"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407846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8,000.00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F6EEA7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D258D8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13,778</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4B44E83"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764E29CA"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68C940D7"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0BC9577E"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462E3904"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As per extension processed in 2024, the closing period is 31 December 2024.</w:t>
                            </w:r>
                          </w:p>
                        </w:tc>
                      </w:tr>
                      <w:tr w:rsidR="00DD6229" w14:paraId="5D35C251"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2FA61455" w14:textId="77777777" w:rsidR="00DD6229" w:rsidRPr="00AB0314" w:rsidRDefault="00D310E2" w:rsidP="00993CEF">
                            <w:pPr>
                              <w:pStyle w:val="MsoNormal0"/>
                              <w:autoSpaceDE w:val="0"/>
                              <w:autoSpaceDN w:val="0"/>
                              <w:adjustRightInd w:val="0"/>
                              <w:spacing w:before="40" w:after="0" w:line="257" w:lineRule="auto"/>
                              <w:ind w:left="517"/>
                              <w:rPr>
                                <w:noProof/>
                              </w:rPr>
                            </w:pPr>
                            <w:r w:rsidRPr="00AB0314">
                              <w:rPr>
                                <w:noProof/>
                                <w:sz w:val="18"/>
                                <w:szCs w:val="18"/>
                              </w:rPr>
                              <w:t xml:space="preserve">Beneficiaries that have completed a pre-departure training program for migration - female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166D4BA"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0FBA0D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0570817"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5DE30F8"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809996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2,000.00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34EA8D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BAFD7D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3,608</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3F8DCA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5A590884"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726C7A7C"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46A3D7D0"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169B2EA4"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0E6C51AD"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24A89FF9"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Volume of Tongans in work ready pool - overall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40DDC2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2C30BE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FAC40A9"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E395F86"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A12602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1,600.00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DFEEAF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789E8A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5,759</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0AFAC2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317BFFEB"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6C8616D6"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6F270A66"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47C6D23B"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5D1007DA"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7D15B614" w14:textId="77777777" w:rsidR="00DD6229" w:rsidRPr="00AB0314" w:rsidRDefault="00D310E2" w:rsidP="00993CEF">
                            <w:pPr>
                              <w:pStyle w:val="MsoNormal0"/>
                              <w:autoSpaceDE w:val="0"/>
                              <w:autoSpaceDN w:val="0"/>
                              <w:adjustRightInd w:val="0"/>
                              <w:spacing w:before="40" w:after="0" w:line="257" w:lineRule="auto"/>
                              <w:ind w:left="517"/>
                              <w:rPr>
                                <w:noProof/>
                              </w:rPr>
                            </w:pPr>
                            <w:r w:rsidRPr="00AB0314">
                              <w:rPr>
                                <w:noProof/>
                                <w:sz w:val="18"/>
                                <w:szCs w:val="18"/>
                              </w:rPr>
                              <w:t xml:space="preserve">Volume of Tongans in work ready pool - female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4F72A0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915409D"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F5CA599"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0499AE6"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2C84BD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950.00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9131CC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D42C5D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1,940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5ABDB7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70F8CE19"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4B0A0DF0"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5BC57E90"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42953400"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7D621807" w14:textId="77777777">
                        <w:trPr>
                          <w:trHeight w:val="79"/>
                        </w:trPr>
                        <w:tc>
                          <w:tcPr>
                            <w:tcW w:w="5000" w:type="pct"/>
                            <w:gridSpan w:val="9"/>
                            <w:tcBorders>
                              <w:top w:val="single" w:sz="8" w:space="0" w:color="000000"/>
                              <w:left w:val="single" w:sz="8" w:space="0" w:color="000000"/>
                              <w:bottom w:val="single" w:sz="8" w:space="0" w:color="000000"/>
                              <w:right w:val="single" w:sz="8" w:space="0" w:color="000000"/>
                            </w:tcBorders>
                            <w:shd w:val="clear" w:color="auto" w:fill="9CC2E5"/>
                            <w:tcMar>
                              <w:top w:w="0" w:type="dxa"/>
                              <w:left w:w="0" w:type="dxa"/>
                              <w:bottom w:w="0" w:type="dxa"/>
                              <w:right w:w="0" w:type="dxa"/>
                            </w:tcMar>
                            <w:hideMark/>
                          </w:tcPr>
                          <w:p w14:paraId="140776B7" w14:textId="77777777" w:rsidR="00DD6229" w:rsidRPr="00AB0314" w:rsidRDefault="00D310E2" w:rsidP="00993CEF">
                            <w:pPr>
                              <w:pStyle w:val="MsoNormal0"/>
                              <w:autoSpaceDE w:val="0"/>
                              <w:autoSpaceDN w:val="0"/>
                              <w:adjustRightInd w:val="0"/>
                              <w:spacing w:before="40" w:after="0" w:line="257" w:lineRule="auto"/>
                              <w:rPr>
                                <w:noProof/>
                              </w:rPr>
                            </w:pPr>
                            <w:r w:rsidRPr="00AB0314">
                              <w:rPr>
                                <w:b/>
                                <w:bCs/>
                                <w:noProof/>
                                <w:color w:val="000000"/>
                                <w:sz w:val="18"/>
                                <w:szCs w:val="18"/>
                              </w:rPr>
                              <w:lastRenderedPageBreak/>
                              <w:t xml:space="preserve">Project management, monitoring and evaluation, and centralized support </w:t>
                            </w:r>
                          </w:p>
                        </w:tc>
                      </w:tr>
                      <w:tr w:rsidR="00DD6229" w14:paraId="127BC9AA" w14:textId="77777777">
                        <w:trPr>
                          <w:trHeight w:val="347"/>
                        </w:trPr>
                        <w:tc>
                          <w:tcPr>
                            <w:tcW w:w="1000" w:type="pct"/>
                            <w:vMerge w:val="restart"/>
                            <w:tcBorders>
                              <w:left w:val="single" w:sz="8" w:space="0" w:color="000000"/>
                              <w:right w:val="single" w:sz="8" w:space="0" w:color="000000"/>
                            </w:tcBorders>
                            <w:shd w:val="clear" w:color="auto" w:fill="E7E6E6"/>
                            <w:tcMar>
                              <w:top w:w="0" w:type="dxa"/>
                              <w:left w:w="0" w:type="dxa"/>
                              <w:bottom w:w="0" w:type="dxa"/>
                              <w:right w:w="0" w:type="dxa"/>
                            </w:tcMar>
                            <w:hideMark/>
                          </w:tcPr>
                          <w:p w14:paraId="3740C4A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Indicator Name</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4AC5C55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 xml:space="preserve">Baseline </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0305FB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(Original)</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AD3CEE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Closing Period (Current)</w:t>
                            </w: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2AB590AB"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Actual Achieved at Completion</w:t>
                            </w:r>
                          </w:p>
                        </w:tc>
                      </w:tr>
                      <w:tr w:rsidR="00DD6229" w14:paraId="6516DBCD" w14:textId="77777777">
                        <w:trPr>
                          <w:trHeight w:val="107"/>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31F4348F" w14:textId="77777777" w:rsidR="00DD6229" w:rsidRPr="00AB0314" w:rsidRDefault="00DD6229">
                            <w:pPr>
                              <w:rPr>
                                <w:noProof/>
                                <w:sz w:val="18"/>
                                <w:szCs w:val="18"/>
                              </w:rPr>
                            </w:pP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0091157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58F11C9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34E2CD0F"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7BE19595"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18346CDE"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2E413E5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Month/Year</w:t>
                            </w:r>
                          </w:p>
                        </w:tc>
                        <w:tc>
                          <w:tcPr>
                            <w:tcW w:w="550" w:type="pct"/>
                            <w:tcBorders>
                              <w:bottom w:val="single" w:sz="8" w:space="0" w:color="000000"/>
                              <w:right w:val="single" w:sz="8" w:space="0" w:color="000000"/>
                            </w:tcBorders>
                            <w:shd w:val="clear" w:color="auto" w:fill="E7E6E6"/>
                            <w:tcMar>
                              <w:top w:w="0" w:type="dxa"/>
                              <w:left w:w="0" w:type="dxa"/>
                              <w:bottom w:w="0" w:type="dxa"/>
                              <w:right w:w="0" w:type="dxa"/>
                            </w:tcMar>
                            <w:vAlign w:val="center"/>
                            <w:hideMark/>
                          </w:tcPr>
                          <w:p w14:paraId="18006FB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Result</w:t>
                            </w:r>
                          </w:p>
                        </w:tc>
                        <w:tc>
                          <w:tcPr>
                            <w:tcW w:w="450" w:type="pct"/>
                            <w:tcBorders>
                              <w:bottom w:val="single" w:sz="8" w:space="0" w:color="000000"/>
                              <w:right w:val="single" w:sz="8" w:space="0" w:color="000000"/>
                            </w:tcBorders>
                            <w:shd w:val="clear" w:color="auto" w:fill="E7E6E6"/>
                            <w:tcMar>
                              <w:top w:w="0" w:type="dxa"/>
                              <w:left w:w="0" w:type="dxa"/>
                              <w:bottom w:w="0" w:type="dxa"/>
                              <w:right w:w="0" w:type="dxa"/>
                            </w:tcMar>
                            <w:hideMark/>
                          </w:tcPr>
                          <w:p w14:paraId="63CA5B2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color w:val="000000"/>
                                <w:sz w:val="18"/>
                                <w:szCs w:val="18"/>
                              </w:rPr>
                              <w:t>Month/Year</w:t>
                            </w:r>
                          </w:p>
                        </w:tc>
                      </w:tr>
                      <w:tr w:rsidR="00DD6229" w14:paraId="7114D72A"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38FB2702"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National staff working on World Bank financed projects in Tonga to have achieved an improvement in skills/ knowledge in Procurement, FM, Safeguards, Contract Management, and M&amp;E (Number)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61441E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231346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54B33192"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981A10D"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D0C68F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25.00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02354F2"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67EAEF1"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50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50A240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6526BF47"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478F500E"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5FFF1535"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57DD7036"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As per extension processed in 2024, the closing period is 31 December 2024.</w:t>
                            </w:r>
                          </w:p>
                        </w:tc>
                      </w:tr>
                      <w:tr w:rsidR="00DD6229" w14:paraId="7A752250"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1A84E3B5"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Percentage of transactions completed by CSU specialists within service standards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77205338"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89.00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E257B9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F03073A"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2391ED3"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4606E1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75.00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426BBE8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A79CD10"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94</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DBCAE3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173ED195"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7AB25444"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2657A2A0"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0B069996"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r w:rsidR="00DD6229" w14:paraId="5453B077" w14:textId="77777777">
                        <w:trPr>
                          <w:trHeight w:val="90"/>
                        </w:trPr>
                        <w:tc>
                          <w:tcPr>
                            <w:tcW w:w="1000" w:type="pct"/>
                            <w:vMerge w:val="restart"/>
                            <w:tcBorders>
                              <w:left w:val="single" w:sz="8" w:space="0" w:color="000000"/>
                              <w:right w:val="single" w:sz="8" w:space="0" w:color="000000"/>
                            </w:tcBorders>
                            <w:shd w:val="clear" w:color="auto" w:fill="DEEAF6"/>
                            <w:tcMar>
                              <w:top w:w="0" w:type="dxa"/>
                              <w:left w:w="0" w:type="dxa"/>
                              <w:bottom w:w="0" w:type="dxa"/>
                              <w:right w:w="0" w:type="dxa"/>
                            </w:tcMar>
                            <w:vAlign w:val="center"/>
                            <w:hideMark/>
                          </w:tcPr>
                          <w:p w14:paraId="5FFAFC8C"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xml:space="preserve">Percentage of PMU staff who rate quality of service/ advice received from CSU as satisfactory (Percentage)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3AB76246"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0.00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841E1FC"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Sep/2018</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2875020"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C198B5B" w14:textId="77777777" w:rsidR="00DD6229" w:rsidRPr="00AB0314" w:rsidRDefault="00D310E2" w:rsidP="00993CEF">
                            <w:pPr>
                              <w:pStyle w:val="MsoNormal0"/>
                              <w:autoSpaceDE w:val="0"/>
                              <w:autoSpaceDN w:val="0"/>
                              <w:adjustRightInd w:val="0"/>
                              <w:spacing w:before="40" w:after="0" w:line="257" w:lineRule="auto"/>
                              <w:rPr>
                                <w:noProof/>
                              </w:rPr>
                            </w:pPr>
                            <w:r w:rsidRPr="00AB0314">
                              <w:rPr>
                                <w:noProof/>
                                <w:sz w:val="18"/>
                                <w:szCs w:val="18"/>
                              </w:rPr>
                              <w:t> </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1B03F097"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75.00</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013182C3"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Sep/2024</w:t>
                            </w:r>
                          </w:p>
                        </w:tc>
                        <w:tc>
                          <w:tcPr>
                            <w:tcW w:w="5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63722544"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87</w:t>
                            </w:r>
                          </w:p>
                        </w:tc>
                        <w:tc>
                          <w:tcPr>
                            <w:tcW w:w="450" w:type="pct"/>
                            <w:tcBorders>
                              <w:bottom w:val="single" w:sz="8" w:space="0" w:color="000000"/>
                              <w:right w:val="single" w:sz="8" w:space="0" w:color="000000"/>
                            </w:tcBorders>
                            <w:shd w:val="clear" w:color="auto" w:fill="FFFFFF"/>
                            <w:tcMar>
                              <w:top w:w="0" w:type="dxa"/>
                              <w:left w:w="0" w:type="dxa"/>
                              <w:bottom w:w="0" w:type="dxa"/>
                              <w:right w:w="0" w:type="dxa"/>
                            </w:tcMar>
                            <w:hideMark/>
                          </w:tcPr>
                          <w:p w14:paraId="2D0C84E9" w14:textId="77777777" w:rsidR="00DD6229" w:rsidRPr="00AB0314" w:rsidRDefault="00D310E2" w:rsidP="00993CEF">
                            <w:pPr>
                              <w:pStyle w:val="MsoNormal0"/>
                              <w:autoSpaceDE w:val="0"/>
                              <w:autoSpaceDN w:val="0"/>
                              <w:adjustRightInd w:val="0"/>
                              <w:spacing w:before="40" w:after="0" w:line="257" w:lineRule="auto"/>
                              <w:jc w:val="center"/>
                              <w:rPr>
                                <w:noProof/>
                              </w:rPr>
                            </w:pPr>
                            <w:r w:rsidRPr="00AB0314">
                              <w:rPr>
                                <w:noProof/>
                                <w:sz w:val="18"/>
                                <w:szCs w:val="18"/>
                              </w:rPr>
                              <w:t>Nov/2024</w:t>
                            </w:r>
                          </w:p>
                        </w:tc>
                      </w:tr>
                      <w:tr w:rsidR="00DD6229" w14:paraId="502DCB73" w14:textId="77777777">
                        <w:trPr>
                          <w:trHeight w:val="478"/>
                        </w:trPr>
                        <w:tc>
                          <w:tcPr>
                            <w:tcW w:w="0" w:type="auto"/>
                            <w:vMerge/>
                            <w:tcBorders>
                              <w:left w:val="single" w:sz="8" w:space="0" w:color="000000"/>
                              <w:bottom w:val="single" w:sz="8" w:space="0" w:color="000000"/>
                              <w:right w:val="single" w:sz="8" w:space="0" w:color="000000"/>
                            </w:tcBorders>
                            <w:shd w:val="clear" w:color="auto" w:fill="FFFFFF"/>
                            <w:vAlign w:val="center"/>
                            <w:hideMark/>
                          </w:tcPr>
                          <w:p w14:paraId="29A5AC8F" w14:textId="77777777" w:rsidR="00DD6229" w:rsidRPr="00AB0314" w:rsidRDefault="00DD6229">
                            <w:pPr>
                              <w:rPr>
                                <w:noProof/>
                                <w:sz w:val="18"/>
                                <w:szCs w:val="18"/>
                              </w:rPr>
                            </w:pPr>
                          </w:p>
                        </w:tc>
                        <w:tc>
                          <w:tcPr>
                            <w:tcW w:w="1000" w:type="pct"/>
                            <w:gridSpan w:val="2"/>
                            <w:tcBorders>
                              <w:bottom w:val="single" w:sz="8" w:space="0" w:color="000000"/>
                              <w:right w:val="single" w:sz="8" w:space="0" w:color="000000"/>
                            </w:tcBorders>
                            <w:shd w:val="clear" w:color="auto" w:fill="E7E6E6"/>
                            <w:tcMar>
                              <w:top w:w="0" w:type="dxa"/>
                              <w:left w:w="0" w:type="dxa"/>
                              <w:bottom w:w="0" w:type="dxa"/>
                              <w:right w:w="0" w:type="dxa"/>
                            </w:tcMar>
                            <w:hideMark/>
                          </w:tcPr>
                          <w:p w14:paraId="53D9AFEE"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sz w:val="18"/>
                                <w:szCs w:val="18"/>
                              </w:rPr>
                              <w:t>Comments on achieving  targets</w:t>
                            </w:r>
                          </w:p>
                        </w:tc>
                        <w:tc>
                          <w:tcPr>
                            <w:tcW w:w="1000" w:type="pct"/>
                            <w:gridSpan w:val="6"/>
                            <w:tcBorders>
                              <w:bottom w:val="single" w:sz="8" w:space="0" w:color="000000"/>
                              <w:right w:val="single" w:sz="8" w:space="0" w:color="000000"/>
                            </w:tcBorders>
                            <w:shd w:val="clear" w:color="auto" w:fill="E7E6E6"/>
                            <w:tcMar>
                              <w:top w:w="0" w:type="dxa"/>
                              <w:left w:w="0" w:type="dxa"/>
                              <w:bottom w:w="0" w:type="dxa"/>
                              <w:right w:w="0" w:type="dxa"/>
                            </w:tcMar>
                            <w:hideMark/>
                          </w:tcPr>
                          <w:p w14:paraId="613F3053" w14:textId="77777777" w:rsidR="00DD6229" w:rsidRPr="00AB0314" w:rsidRDefault="00D310E2" w:rsidP="00993CEF">
                            <w:pPr>
                              <w:pStyle w:val="MsoNormal0"/>
                              <w:autoSpaceDE w:val="0"/>
                              <w:autoSpaceDN w:val="0"/>
                              <w:adjustRightInd w:val="0"/>
                              <w:spacing w:before="40" w:after="0" w:line="257" w:lineRule="auto"/>
                              <w:ind w:left="144"/>
                              <w:rPr>
                                <w:noProof/>
                              </w:rPr>
                            </w:pPr>
                            <w:r w:rsidRPr="00AB0314">
                              <w:rPr>
                                <w:noProof/>
                                <w:color w:val="000000"/>
                                <w:sz w:val="18"/>
                                <w:szCs w:val="18"/>
                              </w:rPr>
                              <w:t>same as above</w:t>
                            </w:r>
                          </w:p>
                        </w:tc>
                      </w:tr>
                    </w:tbl>
                    <w:p w14:paraId="07E2D8D1" w14:textId="77777777" w:rsidR="00165947" w:rsidRPr="00250E79" w:rsidRDefault="00165947" w:rsidP="00993CEF">
                      <w:pPr>
                        <w:autoSpaceDE w:val="0"/>
                        <w:autoSpaceDN w:val="0"/>
                        <w:adjustRightInd w:val="0"/>
                        <w:spacing w:before="40" w:line="257" w:lineRule="auto"/>
                        <w:rPr>
                          <w:rFonts w:ascii="Calibri" w:eastAsia="Times New Roman" w:hAnsi="Calibri" w:cs="Calibri"/>
                          <w:color w:val="000000"/>
                          <w:sz w:val="18"/>
                          <w:szCs w:val="18"/>
                        </w:rPr>
                      </w:pPr>
                    </w:p>
                  </w:tc>
                </w:tr>
              </w:tbl>
              <w:p w14:paraId="552F4CCE" w14:textId="77777777" w:rsidR="00165947" w:rsidRDefault="00000000" w:rsidP="00993CE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sdtContent>
    </w:sdt>
    <w:p w14:paraId="79FE925A" w14:textId="77777777" w:rsidR="000C7649" w:rsidRPr="003577F5" w:rsidRDefault="000C7649" w:rsidP="000C7649">
      <w:pPr>
        <w:rPr>
          <w:sz w:val="2"/>
          <w:szCs w:val="2"/>
        </w:rPr>
      </w:pPr>
    </w:p>
    <w:p w14:paraId="3641760A" w14:textId="77777777" w:rsidR="001A6E99" w:rsidRDefault="00D310E2" w:rsidP="001A6E99">
      <w:r w:rsidRPr="00F61DA0">
        <w:rPr>
          <w:rFonts w:ascii="Calibri" w:eastAsia="Times New Roman" w:hAnsi="Calibri" w:cs="Arial"/>
          <w:b/>
          <w:bCs/>
          <w:noProof/>
          <w:color w:val="7F7F7F"/>
        </w:rPr>
        <mc:AlternateContent>
          <mc:Choice Requires="wps">
            <w:drawing>
              <wp:anchor distT="0" distB="0" distL="114300" distR="114300" simplePos="0" relativeHeight="251658245" behindDoc="0" locked="0" layoutInCell="1" allowOverlap="1" wp14:anchorId="2D4B90FD" wp14:editId="470605D0">
                <wp:simplePos x="0" y="0"/>
                <wp:positionH relativeFrom="page">
                  <wp:align>left</wp:align>
                </wp:positionH>
                <wp:positionV relativeFrom="paragraph">
                  <wp:posOffset>214630</wp:posOffset>
                </wp:positionV>
                <wp:extent cx="10106025"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6025" cy="0"/>
                        </a:xfrm>
                        <a:prstGeom prst="line">
                          <a:avLst/>
                        </a:prstGeom>
                        <a:noFill/>
                        <a:ln w="9525">
                          <a:solidFill>
                            <a:srgbClr val="808080">
                              <a:alpha val="39999"/>
                            </a:srgbClr>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78DACBB" id="Straight Connector 12" o:spid="_x0000_s1026" style="position:absolute;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 from="0,16.9pt" to="795.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" strokecolor="gray">
                <v:stroke dashstyle="dash" opacity="26214f" joinstyle="miter"/>
                <w10:wrap anchorx="page"/>
              </v:line>
            </w:pict>
          </mc:Fallback>
        </mc:AlternateContent>
      </w:r>
    </w:p>
    <w:p w14:paraId="085A347A" w14:textId="77777777" w:rsidR="001A6E99" w:rsidRDefault="001A6E99" w:rsidP="001A6E99"/>
    <w:p w14:paraId="079BF3CE" w14:textId="73DA8878" w:rsidR="00E63164" w:rsidRDefault="00E63164" w:rsidP="00E63164"/>
    <w:p w14:paraId="04E4E441" w14:textId="77777777" w:rsidR="001A6E99" w:rsidRPr="00E63164" w:rsidRDefault="001A6E99" w:rsidP="00E63164">
      <w:pPr>
        <w:sectPr w:rsidR="001A6E99" w:rsidRPr="00E63164" w:rsidSect="002703D3">
          <w:headerReference w:type="default" r:id="rId20"/>
          <w:footerReference w:type="default" r:id="rId21"/>
          <w:pgSz w:w="15840" w:h="12240" w:orient="landscape"/>
          <w:pgMar w:top="1440" w:right="720" w:bottom="1440" w:left="720" w:header="720" w:footer="720" w:gutter="0"/>
          <w:cols w:space="720"/>
          <w:docGrid w:linePitch="299"/>
        </w:sectPr>
      </w:pPr>
    </w:p>
    <w:tbl>
      <w:tblPr>
        <w:tblStyle w:val="TableGrid"/>
        <w:tblW w:w="14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ook w:val="04A0" w:firstRow="1" w:lastRow="0" w:firstColumn="1" w:lastColumn="0" w:noHBand="0" w:noVBand="1"/>
      </w:tblPr>
      <w:tblGrid>
        <w:gridCol w:w="14280"/>
      </w:tblGrid>
      <w:tr w:rsidR="00DD6229" w14:paraId="38CBA0B9" w14:textId="77777777" w:rsidTr="001A0CCF">
        <w:trPr>
          <w:trHeight w:val="341"/>
        </w:trPr>
        <w:tc>
          <w:tcPr>
            <w:tcW w:w="14280" w:type="dxa"/>
            <w:shd w:val="clear" w:color="auto" w:fill="auto"/>
            <w:vAlign w:val="center"/>
          </w:tcPr>
          <w:p w14:paraId="5C1550DA" w14:textId="77777777" w:rsidR="00A4724C" w:rsidRPr="007A38F5" w:rsidRDefault="00D310E2" w:rsidP="00A15F63">
            <w:pPr>
              <w:pStyle w:val="Normal8"/>
              <w:numPr>
                <w:ilvl w:val="0"/>
                <w:numId w:val="8"/>
              </w:numPr>
              <w:ind w:left="345"/>
            </w:pPr>
            <w:r>
              <w:lastRenderedPageBreak/>
              <w:t>KEY OUTPUTS</w:t>
            </w:r>
          </w:p>
        </w:tc>
      </w:tr>
    </w:tbl>
    <w:tbl>
      <w:tblPr>
        <w:tblStyle w:val="TableGrid5"/>
        <w:tblW w:w="13680" w:type="dxa"/>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3680"/>
      </w:tblGrid>
      <w:tr w:rsidR="00DD6229" w14:paraId="620D212C" w14:textId="77777777" w:rsidTr="009A4505">
        <w:trPr>
          <w:trHeight w:val="189"/>
        </w:trPr>
        <w:tc>
          <w:tcPr>
            <w:tcW w:w="13680" w:type="dxa"/>
            <w:tcMar>
              <w:top w:w="0" w:type="dxa"/>
              <w:left w:w="0" w:type="dxa"/>
              <w:bottom w:w="0" w:type="dxa"/>
              <w:right w:w="0" w:type="dxa"/>
            </w:tcMar>
            <w:vAlign w:val="center"/>
          </w:tcPr>
          <w:tbl>
            <w:tblPr>
              <w:tblStyle w:val="TableGrid52"/>
              <w:tblW w:w="13645" w:type="dxa"/>
              <w:tblLayout w:type="fixed"/>
              <w:tblCellMar>
                <w:left w:w="0" w:type="dxa"/>
                <w:right w:w="0" w:type="dxa"/>
              </w:tblCellMar>
              <w:tblLook w:val="05E0" w:firstRow="1" w:lastRow="1" w:firstColumn="1" w:lastColumn="1" w:noHBand="0" w:noVBand="1"/>
            </w:tblPr>
            <w:tblGrid>
              <w:gridCol w:w="6707"/>
              <w:gridCol w:w="6938"/>
            </w:tblGrid>
            <w:tr w:rsidR="00DD6229" w14:paraId="43820C7C" w14:textId="77777777">
              <w:trPr>
                <w:trHeight w:val="186"/>
              </w:trPr>
              <w:tc>
                <w:tcPr>
                  <w:tcW w:w="13909" w:type="dxa"/>
                  <w:gridSpan w:val="2"/>
                  <w:tcBorders>
                    <w:top w:val="single" w:sz="8" w:space="0" w:color="D0CECE"/>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4C53BCE2" w14:textId="3E454A98" w:rsidR="00DD6229" w:rsidRPr="003908F0" w:rsidRDefault="00DE72AA" w:rsidP="00993CEF">
                  <w:pPr>
                    <w:pStyle w:val="MsoNormal0"/>
                    <w:keepNext/>
                    <w:spacing w:after="0"/>
                    <w:rPr>
                      <w:bCs/>
                      <w:noProof/>
                      <w:color w:val="000000" w:themeColor="text1"/>
                    </w:rPr>
                  </w:pPr>
                  <w:r>
                    <w:rPr>
                      <w:b/>
                      <w:bCs/>
                      <w:noProof/>
                      <w:color w:val="7F7F7F"/>
                    </w:rPr>
                    <w:lastRenderedPageBreak/>
                    <w:t xml:space="preserve">Objective / Outcome 1: </w:t>
                  </w:r>
                  <w:r w:rsidR="00D310E2" w:rsidRPr="003908F0">
                    <w:rPr>
                      <w:b/>
                      <w:bCs/>
                      <w:noProof/>
                      <w:color w:val="7F7F7F"/>
                    </w:rPr>
                    <w:t>Improved secondary school progression and completion rates for poor Tongans</w:t>
                  </w:r>
                </w:p>
              </w:tc>
            </w:tr>
            <w:tr w:rsidR="00DD6229" w14:paraId="0F524564" w14:textId="77777777">
              <w:trPr>
                <w:trHeight w:val="318"/>
              </w:trPr>
              <w:tc>
                <w:tcPr>
                  <w:tcW w:w="695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6F25B77A"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 PDO Indicators</w:t>
                  </w:r>
                </w:p>
              </w:tc>
              <w:tc>
                <w:tcPr>
                  <w:tcW w:w="7197" w:type="dxa"/>
                  <w:tcBorders>
                    <w:bottom w:val="single" w:sz="8" w:space="0" w:color="D0CECE"/>
                    <w:right w:val="single" w:sz="8" w:space="0" w:color="D0CECE"/>
                  </w:tcBorders>
                  <w:tcMar>
                    <w:top w:w="72" w:type="dxa"/>
                    <w:left w:w="120" w:type="dxa"/>
                    <w:bottom w:w="72" w:type="dxa"/>
                    <w:right w:w="125" w:type="dxa"/>
                  </w:tcMar>
                  <w:hideMark/>
                </w:tcPr>
                <w:p w14:paraId="14FCB9A3"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2. Share of CCT students that completed the grade over all CCT students enrolled in that grade</w:t>
                  </w:r>
                </w:p>
                <w:p w14:paraId="3E6A4E7F"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4. Share of CCT students that transitioned to the next grade OR to a TVET program</w:t>
                  </w:r>
                </w:p>
              </w:tc>
            </w:tr>
            <w:tr w:rsidR="00DD6229" w14:paraId="7DEAD425" w14:textId="77777777">
              <w:trPr>
                <w:trHeight w:val="736"/>
              </w:trPr>
              <w:tc>
                <w:tcPr>
                  <w:tcW w:w="695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51781C97" w14:textId="1AE89CF7" w:rsidR="00DD6229" w:rsidRPr="003908F0" w:rsidRDefault="00523281" w:rsidP="00993CEF">
                  <w:pPr>
                    <w:pStyle w:val="MsoNormal0"/>
                    <w:keepNext/>
                    <w:spacing w:after="0"/>
                    <w:rPr>
                      <w:bCs/>
                      <w:noProof/>
                      <w:color w:val="000000" w:themeColor="text1"/>
                    </w:rPr>
                  </w:pPr>
                  <w:r>
                    <w:rPr>
                      <w:bCs/>
                      <w:noProof/>
                      <w:color w:val="000000" w:themeColor="text1"/>
                    </w:rPr>
                    <w:t xml:space="preserve">Intermediate Results Indicators and </w:t>
                  </w:r>
                  <w:r w:rsidRPr="003908F0">
                    <w:rPr>
                      <w:bCs/>
                      <w:noProof/>
                      <w:color w:val="000000" w:themeColor="text1"/>
                    </w:rPr>
                    <w:t xml:space="preserve">Key Outputs </w:t>
                  </w:r>
                  <w:r>
                    <w:rPr>
                      <w:bCs/>
                      <w:noProof/>
                      <w:color w:val="000000" w:themeColor="text1"/>
                    </w:rPr>
                    <w:t>linked to the achievement of Objective / Outcome 1</w:t>
                  </w:r>
                </w:p>
              </w:tc>
              <w:tc>
                <w:tcPr>
                  <w:tcW w:w="7197" w:type="dxa"/>
                  <w:tcBorders>
                    <w:bottom w:val="single" w:sz="8" w:space="0" w:color="D0CECE"/>
                    <w:right w:val="single" w:sz="8" w:space="0" w:color="D0CECE"/>
                  </w:tcBorders>
                  <w:tcMar>
                    <w:top w:w="72" w:type="dxa"/>
                    <w:left w:w="120" w:type="dxa"/>
                    <w:bottom w:w="72" w:type="dxa"/>
                    <w:right w:w="125" w:type="dxa"/>
                  </w:tcMar>
                  <w:hideMark/>
                </w:tcPr>
                <w:p w14:paraId="3FC8A71E" w14:textId="0D96AD34" w:rsidR="00506F3C" w:rsidRPr="00506F3C" w:rsidRDefault="00506F3C" w:rsidP="00506F3C">
                  <w:pPr>
                    <w:pStyle w:val="MsoNormal0"/>
                    <w:autoSpaceDE w:val="0"/>
                    <w:autoSpaceDN w:val="0"/>
                    <w:adjustRightInd w:val="0"/>
                    <w:spacing w:before="40" w:after="0" w:line="257" w:lineRule="auto"/>
                    <w:rPr>
                      <w:rFonts w:asciiTheme="minorHAnsi" w:eastAsiaTheme="minorEastAsia" w:hAnsiTheme="minorHAnsi" w:cstheme="minorBidi"/>
                      <w:noProof/>
                      <w:szCs w:val="21"/>
                    </w:rPr>
                  </w:pPr>
                  <w:r w:rsidRPr="00506F3C">
                    <w:rPr>
                      <w:noProof/>
                      <w:szCs w:val="21"/>
                    </w:rPr>
                    <w:t>1. 2</w:t>
                  </w:r>
                  <w:r>
                    <w:rPr>
                      <w:noProof/>
                      <w:szCs w:val="21"/>
                    </w:rPr>
                    <w:t>,</w:t>
                  </w:r>
                  <w:r w:rsidRPr="00506F3C">
                    <w:rPr>
                      <w:noProof/>
                      <w:szCs w:val="21"/>
                    </w:rPr>
                    <w:t xml:space="preserve">428 beneficiary households registered in the CCT program </w:t>
                  </w:r>
                </w:p>
                <w:p w14:paraId="45B02ED9" w14:textId="51C416A7" w:rsidR="00DD6229" w:rsidRPr="003908F0" w:rsidRDefault="00D310E2" w:rsidP="00993CEF">
                  <w:pPr>
                    <w:pStyle w:val="MsoNormal0"/>
                    <w:keepNext/>
                    <w:spacing w:after="0"/>
                    <w:rPr>
                      <w:bCs/>
                      <w:noProof/>
                      <w:color w:val="000000" w:themeColor="text1"/>
                    </w:rPr>
                  </w:pPr>
                  <w:r w:rsidRPr="003908F0">
                    <w:rPr>
                      <w:bCs/>
                      <w:noProof/>
                      <w:color w:val="000000" w:themeColor="text1"/>
                    </w:rPr>
                    <w:t>2.</w:t>
                  </w:r>
                  <w:r w:rsidR="00506F3C">
                    <w:t xml:space="preserve"> </w:t>
                  </w:r>
                  <w:r w:rsidR="00506F3C" w:rsidRPr="00506F3C">
                    <w:rPr>
                      <w:bCs/>
                      <w:noProof/>
                      <w:color w:val="000000" w:themeColor="text1"/>
                    </w:rPr>
                    <w:t>Develop</w:t>
                  </w:r>
                  <w:r w:rsidR="00506F3C">
                    <w:rPr>
                      <w:bCs/>
                      <w:noProof/>
                      <w:color w:val="000000" w:themeColor="text1"/>
                    </w:rPr>
                    <w:t>ed</w:t>
                  </w:r>
                  <w:r w:rsidR="00506F3C" w:rsidRPr="00506F3C">
                    <w:rPr>
                      <w:bCs/>
                      <w:noProof/>
                      <w:color w:val="000000" w:themeColor="text1"/>
                    </w:rPr>
                    <w:t xml:space="preserve"> of a Management Information System for the CCT program</w:t>
                  </w:r>
                </w:p>
                <w:p w14:paraId="130227B5" w14:textId="2BD1F7B9" w:rsidR="00DD6229" w:rsidRPr="003908F0" w:rsidRDefault="00D310E2" w:rsidP="00993CEF">
                  <w:pPr>
                    <w:pStyle w:val="MsoNormal0"/>
                    <w:keepNext/>
                    <w:spacing w:after="0"/>
                    <w:rPr>
                      <w:bCs/>
                      <w:noProof/>
                      <w:color w:val="000000" w:themeColor="text1"/>
                    </w:rPr>
                  </w:pPr>
                  <w:r w:rsidRPr="003908F0">
                    <w:rPr>
                      <w:bCs/>
                      <w:noProof/>
                      <w:color w:val="000000" w:themeColor="text1"/>
                    </w:rPr>
                    <w:t>3.</w:t>
                  </w:r>
                  <w:r w:rsidR="00506F3C">
                    <w:rPr>
                      <w:bCs/>
                      <w:noProof/>
                      <w:color w:val="000000" w:themeColor="text1"/>
                    </w:rPr>
                    <w:t xml:space="preserve"> 100% of </w:t>
                  </w:r>
                  <w:r w:rsidR="00506F3C" w:rsidRPr="00506F3C">
                    <w:rPr>
                      <w:bCs/>
                      <w:noProof/>
                      <w:color w:val="000000" w:themeColor="text1"/>
                    </w:rPr>
                    <w:t xml:space="preserve">grievance redress claims settled within </w:t>
                  </w:r>
                  <w:r w:rsidR="00506F3C">
                    <w:rPr>
                      <w:bCs/>
                      <w:noProof/>
                      <w:color w:val="000000" w:themeColor="text1"/>
                    </w:rPr>
                    <w:t>3</w:t>
                  </w:r>
                  <w:r w:rsidR="00506F3C" w:rsidRPr="00506F3C">
                    <w:rPr>
                      <w:bCs/>
                      <w:noProof/>
                      <w:color w:val="000000" w:themeColor="text1"/>
                    </w:rPr>
                    <w:t xml:space="preserve"> months of application</w:t>
                  </w:r>
                </w:p>
                <w:p w14:paraId="54B9FB4E" w14:textId="6B201302" w:rsidR="00DD6229" w:rsidRPr="003908F0" w:rsidRDefault="00D310E2" w:rsidP="00993CEF">
                  <w:pPr>
                    <w:pStyle w:val="MsoNormal0"/>
                    <w:keepNext/>
                    <w:spacing w:after="0"/>
                    <w:rPr>
                      <w:bCs/>
                      <w:noProof/>
                      <w:color w:val="000000" w:themeColor="text1"/>
                    </w:rPr>
                  </w:pPr>
                  <w:r w:rsidRPr="003908F0">
                    <w:rPr>
                      <w:bCs/>
                      <w:noProof/>
                      <w:color w:val="000000" w:themeColor="text1"/>
                    </w:rPr>
                    <w:t>4.</w:t>
                  </w:r>
                  <w:r w:rsidR="00506F3C">
                    <w:t xml:space="preserve"> </w:t>
                  </w:r>
                  <w:r w:rsidR="00506F3C">
                    <w:rPr>
                      <w:bCs/>
                      <w:noProof/>
                      <w:color w:val="000000" w:themeColor="text1"/>
                    </w:rPr>
                    <w:t xml:space="preserve">98% </w:t>
                  </w:r>
                  <w:r w:rsidR="00506F3C" w:rsidRPr="00506F3C">
                    <w:rPr>
                      <w:bCs/>
                      <w:noProof/>
                      <w:color w:val="000000" w:themeColor="text1"/>
                    </w:rPr>
                    <w:t>of high school students from the CCT program attend school at least 80% of time</w:t>
                  </w:r>
                </w:p>
              </w:tc>
            </w:tr>
            <w:tr w:rsidR="00DD6229" w14:paraId="1A6E12FF" w14:textId="77777777">
              <w:trPr>
                <w:trHeight w:val="186"/>
              </w:trPr>
              <w:tc>
                <w:tcPr>
                  <w:tcW w:w="13909" w:type="dxa"/>
                  <w:gridSpan w:val="2"/>
                  <w:tcBorders>
                    <w:top w:val="single" w:sz="8" w:space="0" w:color="D0CECE"/>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34D99677" w14:textId="772B3927" w:rsidR="00DD6229" w:rsidRPr="003908F0" w:rsidRDefault="00246F03" w:rsidP="00993CEF">
                  <w:pPr>
                    <w:pStyle w:val="MsoNormal0"/>
                    <w:keepNext/>
                    <w:spacing w:after="0"/>
                    <w:rPr>
                      <w:bCs/>
                      <w:noProof/>
                      <w:color w:val="000000" w:themeColor="text1"/>
                    </w:rPr>
                  </w:pPr>
                  <w:r>
                    <w:rPr>
                      <w:b/>
                      <w:bCs/>
                      <w:noProof/>
                      <w:color w:val="7F7F7F"/>
                    </w:rPr>
                    <w:t xml:space="preserve">Objective / Outcome 2: </w:t>
                  </w:r>
                  <w:r w:rsidR="00D310E2" w:rsidRPr="003908F0">
                    <w:rPr>
                      <w:b/>
                      <w:bCs/>
                      <w:noProof/>
                      <w:color w:val="7F7F7F"/>
                    </w:rPr>
                    <w:t>Improved employment outcomes for poor Tongans</w:t>
                  </w:r>
                </w:p>
              </w:tc>
            </w:tr>
            <w:tr w:rsidR="00DD6229" w14:paraId="6FA32663" w14:textId="77777777">
              <w:trPr>
                <w:trHeight w:val="318"/>
              </w:trPr>
              <w:tc>
                <w:tcPr>
                  <w:tcW w:w="695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0BDB8A38"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 PDO Indicators</w:t>
                  </w:r>
                </w:p>
              </w:tc>
              <w:tc>
                <w:tcPr>
                  <w:tcW w:w="7197" w:type="dxa"/>
                  <w:tcBorders>
                    <w:bottom w:val="single" w:sz="8" w:space="0" w:color="D0CECE"/>
                    <w:right w:val="single" w:sz="8" w:space="0" w:color="D0CECE"/>
                  </w:tcBorders>
                  <w:tcMar>
                    <w:top w:w="72" w:type="dxa"/>
                    <w:left w:w="120" w:type="dxa"/>
                    <w:bottom w:w="72" w:type="dxa"/>
                    <w:right w:w="125" w:type="dxa"/>
                  </w:tcMar>
                  <w:hideMark/>
                </w:tcPr>
                <w:p w14:paraId="0052480F"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6. Average completion rate of project-supported TVET programs (overall)</w:t>
                  </w:r>
                </w:p>
              </w:tc>
            </w:tr>
            <w:tr w:rsidR="00DD6229" w14:paraId="34975007" w14:textId="77777777">
              <w:trPr>
                <w:trHeight w:val="736"/>
              </w:trPr>
              <w:tc>
                <w:tcPr>
                  <w:tcW w:w="695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07AE01B1" w14:textId="1331823E" w:rsidR="00DD6229" w:rsidRPr="003908F0" w:rsidRDefault="00523281" w:rsidP="00993CEF">
                  <w:pPr>
                    <w:pStyle w:val="MsoNormal0"/>
                    <w:keepNext/>
                    <w:spacing w:after="0"/>
                    <w:rPr>
                      <w:bCs/>
                      <w:noProof/>
                      <w:color w:val="000000" w:themeColor="text1"/>
                    </w:rPr>
                  </w:pPr>
                  <w:r>
                    <w:rPr>
                      <w:bCs/>
                      <w:noProof/>
                      <w:color w:val="000000" w:themeColor="text1"/>
                    </w:rPr>
                    <w:t xml:space="preserve">Intermediate Results Indicators and </w:t>
                  </w:r>
                  <w:r w:rsidRPr="003908F0">
                    <w:rPr>
                      <w:bCs/>
                      <w:noProof/>
                      <w:color w:val="000000" w:themeColor="text1"/>
                    </w:rPr>
                    <w:t xml:space="preserve">Key Outputs </w:t>
                  </w:r>
                  <w:r>
                    <w:rPr>
                      <w:bCs/>
                      <w:noProof/>
                      <w:color w:val="000000" w:themeColor="text1"/>
                    </w:rPr>
                    <w:t>linked to the achievement of Objective / Outcome 2</w:t>
                  </w:r>
                </w:p>
              </w:tc>
              <w:tc>
                <w:tcPr>
                  <w:tcW w:w="7197" w:type="dxa"/>
                  <w:tcBorders>
                    <w:bottom w:val="single" w:sz="8" w:space="0" w:color="D0CECE"/>
                    <w:right w:val="single" w:sz="8" w:space="0" w:color="D0CECE"/>
                  </w:tcBorders>
                  <w:tcMar>
                    <w:top w:w="72" w:type="dxa"/>
                    <w:left w:w="120" w:type="dxa"/>
                    <w:bottom w:w="72" w:type="dxa"/>
                    <w:right w:w="125" w:type="dxa"/>
                  </w:tcMar>
                  <w:hideMark/>
                </w:tcPr>
                <w:p w14:paraId="3ADE623C" w14:textId="162A530C" w:rsidR="00DD6229" w:rsidRPr="003908F0" w:rsidRDefault="00BB7DF7" w:rsidP="00993CEF">
                  <w:pPr>
                    <w:pStyle w:val="MsoNormal0"/>
                    <w:keepNext/>
                    <w:spacing w:after="0"/>
                    <w:rPr>
                      <w:bCs/>
                      <w:noProof/>
                      <w:color w:val="000000" w:themeColor="text1"/>
                    </w:rPr>
                  </w:pPr>
                  <w:r>
                    <w:rPr>
                      <w:bCs/>
                      <w:noProof/>
                      <w:color w:val="000000" w:themeColor="text1"/>
                    </w:rPr>
                    <w:t>1</w:t>
                  </w:r>
                  <w:r w:rsidR="00D310E2" w:rsidRPr="003908F0">
                    <w:rPr>
                      <w:bCs/>
                      <w:noProof/>
                      <w:color w:val="000000" w:themeColor="text1"/>
                    </w:rPr>
                    <w:t>.</w:t>
                  </w:r>
                  <w:r>
                    <w:rPr>
                      <w:bCs/>
                      <w:noProof/>
                      <w:color w:val="000000" w:themeColor="text1"/>
                    </w:rPr>
                    <w:t xml:space="preserve"> 1,064 </w:t>
                  </w:r>
                  <w:r w:rsidRPr="00BB7DF7">
                    <w:rPr>
                      <w:bCs/>
                      <w:noProof/>
                      <w:color w:val="000000" w:themeColor="text1"/>
                    </w:rPr>
                    <w:t>TSSF beneficiaries enrolled in a certificate or diploma level qualification</w:t>
                  </w:r>
                </w:p>
                <w:p w14:paraId="70E4C749" w14:textId="13BE1C41" w:rsidR="00DD6229" w:rsidRDefault="001D07C7" w:rsidP="00993CEF">
                  <w:pPr>
                    <w:pStyle w:val="MsoNormal0"/>
                    <w:keepNext/>
                    <w:spacing w:after="0"/>
                    <w:rPr>
                      <w:bCs/>
                      <w:noProof/>
                      <w:color w:val="000000" w:themeColor="text1"/>
                    </w:rPr>
                  </w:pPr>
                  <w:r>
                    <w:rPr>
                      <w:bCs/>
                      <w:noProof/>
                      <w:color w:val="000000" w:themeColor="text1"/>
                    </w:rPr>
                    <w:t>2</w:t>
                  </w:r>
                  <w:r w:rsidR="00D310E2" w:rsidRPr="003908F0">
                    <w:rPr>
                      <w:bCs/>
                      <w:noProof/>
                      <w:color w:val="000000" w:themeColor="text1"/>
                    </w:rPr>
                    <w:t>.</w:t>
                  </w:r>
                  <w:r>
                    <w:rPr>
                      <w:bCs/>
                      <w:noProof/>
                      <w:color w:val="000000" w:themeColor="text1"/>
                    </w:rPr>
                    <w:t xml:space="preserve"> 13 </w:t>
                  </w:r>
                  <w:r w:rsidRPr="001D07C7">
                    <w:rPr>
                      <w:bCs/>
                      <w:noProof/>
                      <w:color w:val="000000" w:themeColor="text1"/>
                    </w:rPr>
                    <w:t>TVET qualifications supported by a Quality Improvement Grant</w:t>
                  </w:r>
                </w:p>
                <w:p w14:paraId="08CD2BEC" w14:textId="4EBBB3D8" w:rsidR="001D07C7" w:rsidRDefault="001D07C7" w:rsidP="00993CEF">
                  <w:pPr>
                    <w:pStyle w:val="MsoNormal0"/>
                    <w:keepNext/>
                    <w:spacing w:after="0"/>
                    <w:rPr>
                      <w:bCs/>
                      <w:noProof/>
                      <w:color w:val="000000" w:themeColor="text1"/>
                    </w:rPr>
                  </w:pPr>
                  <w:r>
                    <w:rPr>
                      <w:bCs/>
                      <w:noProof/>
                      <w:color w:val="000000" w:themeColor="text1"/>
                    </w:rPr>
                    <w:t xml:space="preserve">3. 100 per cent of </w:t>
                  </w:r>
                  <w:r w:rsidRPr="001D07C7">
                    <w:rPr>
                      <w:bCs/>
                      <w:noProof/>
                      <w:color w:val="000000" w:themeColor="text1"/>
                    </w:rPr>
                    <w:t>beneficiaries satisfied with the project financed TVET Student Support Funds</w:t>
                  </w:r>
                </w:p>
                <w:p w14:paraId="006B6F3E" w14:textId="563BE4B5" w:rsidR="001D07C7" w:rsidRPr="003908F0" w:rsidRDefault="001D07C7" w:rsidP="00993CEF">
                  <w:pPr>
                    <w:pStyle w:val="MsoNormal0"/>
                    <w:keepNext/>
                    <w:spacing w:after="0"/>
                    <w:rPr>
                      <w:bCs/>
                      <w:noProof/>
                      <w:color w:val="000000" w:themeColor="text1"/>
                    </w:rPr>
                  </w:pPr>
                </w:p>
              </w:tc>
            </w:tr>
            <w:tr w:rsidR="00DD6229" w14:paraId="2CDCD0CC" w14:textId="77777777">
              <w:trPr>
                <w:trHeight w:val="186"/>
              </w:trPr>
              <w:tc>
                <w:tcPr>
                  <w:tcW w:w="13909" w:type="dxa"/>
                  <w:gridSpan w:val="2"/>
                  <w:tcBorders>
                    <w:top w:val="single" w:sz="8" w:space="0" w:color="D0CECE"/>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2BE5E05B" w14:textId="1456F6D0" w:rsidR="00DD6229" w:rsidRPr="003908F0" w:rsidRDefault="00246F03" w:rsidP="00993CEF">
                  <w:pPr>
                    <w:pStyle w:val="MsoNormal0"/>
                    <w:keepNext/>
                    <w:spacing w:after="0"/>
                    <w:rPr>
                      <w:bCs/>
                      <w:noProof/>
                      <w:color w:val="000000" w:themeColor="text1"/>
                    </w:rPr>
                  </w:pPr>
                  <w:r>
                    <w:rPr>
                      <w:b/>
                      <w:bCs/>
                      <w:noProof/>
                      <w:color w:val="7F7F7F"/>
                    </w:rPr>
                    <w:t xml:space="preserve">Objective / Outcome 3: </w:t>
                  </w:r>
                  <w:r w:rsidR="00B27CF6" w:rsidRPr="00B27CF6">
                    <w:rPr>
                      <w:b/>
                      <w:bCs/>
                      <w:noProof/>
                      <w:color w:val="7F7F7F"/>
                    </w:rPr>
                    <w:t>Increased access to overseas labor markets for Tongans</w:t>
                  </w:r>
                </w:p>
              </w:tc>
            </w:tr>
            <w:tr w:rsidR="00DD6229" w14:paraId="47FEA358" w14:textId="77777777">
              <w:trPr>
                <w:trHeight w:val="318"/>
              </w:trPr>
              <w:tc>
                <w:tcPr>
                  <w:tcW w:w="695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2E42FA1D"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 PDO Indicators</w:t>
                  </w:r>
                </w:p>
              </w:tc>
              <w:tc>
                <w:tcPr>
                  <w:tcW w:w="7197" w:type="dxa"/>
                  <w:tcBorders>
                    <w:bottom w:val="single" w:sz="8" w:space="0" w:color="D0CECE"/>
                    <w:right w:val="single" w:sz="8" w:space="0" w:color="D0CECE"/>
                  </w:tcBorders>
                  <w:tcMar>
                    <w:top w:w="72" w:type="dxa"/>
                    <w:left w:w="120" w:type="dxa"/>
                    <w:bottom w:w="72" w:type="dxa"/>
                    <w:right w:w="125" w:type="dxa"/>
                  </w:tcMar>
                  <w:hideMark/>
                </w:tcPr>
                <w:p w14:paraId="5A81FE1E" w14:textId="77777777" w:rsidR="00DD6229" w:rsidRPr="003908F0" w:rsidRDefault="00D310E2" w:rsidP="00993CEF">
                  <w:pPr>
                    <w:pStyle w:val="MsoNormal0"/>
                    <w:keepNext/>
                    <w:spacing w:after="0"/>
                    <w:rPr>
                      <w:bCs/>
                      <w:noProof/>
                      <w:color w:val="000000" w:themeColor="text1"/>
                    </w:rPr>
                  </w:pPr>
                  <w:r w:rsidRPr="003908F0">
                    <w:rPr>
                      <w:bCs/>
                      <w:noProof/>
                      <w:color w:val="000000" w:themeColor="text1"/>
                    </w:rPr>
                    <w:t>8. Beneficiaries in the work ready pool accessing employment opportunities abroad - overall</w:t>
                  </w:r>
                </w:p>
              </w:tc>
            </w:tr>
            <w:tr w:rsidR="00DD6229" w14:paraId="7E1DF0C1" w14:textId="77777777">
              <w:trPr>
                <w:trHeight w:val="736"/>
              </w:trPr>
              <w:tc>
                <w:tcPr>
                  <w:tcW w:w="695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75DF987A" w14:textId="4AD41665" w:rsidR="00DD6229" w:rsidRPr="003908F0" w:rsidRDefault="00246F03" w:rsidP="00993CEF">
                  <w:pPr>
                    <w:pStyle w:val="MsoNormal0"/>
                    <w:keepNext/>
                    <w:spacing w:after="0"/>
                    <w:rPr>
                      <w:bCs/>
                      <w:noProof/>
                      <w:color w:val="000000" w:themeColor="text1"/>
                    </w:rPr>
                  </w:pPr>
                  <w:r>
                    <w:rPr>
                      <w:bCs/>
                      <w:noProof/>
                      <w:color w:val="000000" w:themeColor="text1"/>
                    </w:rPr>
                    <w:t xml:space="preserve">Intermediate Results Indicators and </w:t>
                  </w:r>
                  <w:r w:rsidRPr="003908F0">
                    <w:rPr>
                      <w:bCs/>
                      <w:noProof/>
                      <w:color w:val="000000" w:themeColor="text1"/>
                    </w:rPr>
                    <w:t xml:space="preserve">Key Outputs </w:t>
                  </w:r>
                  <w:r>
                    <w:rPr>
                      <w:bCs/>
                      <w:noProof/>
                      <w:color w:val="000000" w:themeColor="text1"/>
                    </w:rPr>
                    <w:t xml:space="preserve">linked </w:t>
                  </w:r>
                  <w:r w:rsidR="00523281">
                    <w:rPr>
                      <w:bCs/>
                      <w:noProof/>
                      <w:color w:val="000000" w:themeColor="text1"/>
                    </w:rPr>
                    <w:t>to the achievement of Objective / Outcome 3</w:t>
                  </w:r>
                </w:p>
              </w:tc>
              <w:tc>
                <w:tcPr>
                  <w:tcW w:w="7197" w:type="dxa"/>
                  <w:tcBorders>
                    <w:bottom w:val="single" w:sz="8" w:space="0" w:color="D0CECE"/>
                    <w:right w:val="single" w:sz="8" w:space="0" w:color="D0CECE"/>
                  </w:tcBorders>
                  <w:tcMar>
                    <w:top w:w="72" w:type="dxa"/>
                    <w:left w:w="120" w:type="dxa"/>
                    <w:bottom w:w="72" w:type="dxa"/>
                    <w:right w:w="125" w:type="dxa"/>
                  </w:tcMar>
                  <w:hideMark/>
                </w:tcPr>
                <w:p w14:paraId="10389292" w14:textId="7D34C8EA" w:rsidR="00823278" w:rsidRPr="00506F3C" w:rsidRDefault="00D310E2" w:rsidP="00823278">
                  <w:pPr>
                    <w:pStyle w:val="MsoNormal0"/>
                    <w:keepNext/>
                    <w:spacing w:after="0"/>
                    <w:rPr>
                      <w:bCs/>
                      <w:noProof/>
                      <w:color w:val="000000" w:themeColor="text1"/>
                      <w:szCs w:val="21"/>
                    </w:rPr>
                  </w:pPr>
                  <w:r w:rsidRPr="003908F0">
                    <w:rPr>
                      <w:bCs/>
                      <w:noProof/>
                      <w:color w:val="000000" w:themeColor="text1"/>
                    </w:rPr>
                    <w:t>1.</w:t>
                  </w:r>
                  <w:r w:rsidR="00210B77">
                    <w:rPr>
                      <w:bCs/>
                      <w:noProof/>
                      <w:color w:val="000000" w:themeColor="text1"/>
                    </w:rPr>
                    <w:t xml:space="preserve"> </w:t>
                  </w:r>
                  <w:r w:rsidR="00823278" w:rsidRPr="00506F3C">
                    <w:rPr>
                      <w:noProof/>
                      <w:szCs w:val="21"/>
                    </w:rPr>
                    <w:t xml:space="preserve">13,778 beneficiaries completing a pre-departure training program for migration </w:t>
                  </w:r>
                </w:p>
                <w:p w14:paraId="5E8A63A7" w14:textId="070D356E" w:rsidR="00DD6229" w:rsidRPr="003908F0" w:rsidRDefault="00823278" w:rsidP="00993CEF">
                  <w:pPr>
                    <w:pStyle w:val="MsoNormal0"/>
                    <w:keepNext/>
                    <w:spacing w:after="0"/>
                    <w:rPr>
                      <w:bCs/>
                      <w:noProof/>
                      <w:color w:val="000000" w:themeColor="text1"/>
                    </w:rPr>
                  </w:pPr>
                  <w:r w:rsidRPr="003908F0">
                    <w:rPr>
                      <w:bCs/>
                      <w:noProof/>
                      <w:color w:val="000000" w:themeColor="text1"/>
                    </w:rPr>
                    <w:t>2.</w:t>
                  </w:r>
                  <w:r>
                    <w:rPr>
                      <w:bCs/>
                      <w:noProof/>
                      <w:color w:val="000000" w:themeColor="text1"/>
                    </w:rPr>
                    <w:t xml:space="preserve"> 5,579 Tongans in work-ready pool</w:t>
                  </w:r>
                </w:p>
              </w:tc>
            </w:tr>
          </w:tbl>
          <w:p w14:paraId="5DAA1C50" w14:textId="77777777" w:rsidR="00CF600F" w:rsidRPr="003908F0" w:rsidRDefault="00CF600F" w:rsidP="00993CEF">
            <w:pPr>
              <w:keepNext/>
              <w:rPr>
                <w:bCs/>
                <w:color w:val="000000" w:themeColor="text1"/>
              </w:rPr>
            </w:pPr>
          </w:p>
        </w:tc>
      </w:tr>
      <w:tr w:rsidR="00DD6229" w14:paraId="21A87B13" w14:textId="77777777" w:rsidTr="009A4505">
        <w:trPr>
          <w:trHeight w:val="189"/>
        </w:trPr>
        <w:tc>
          <w:tcPr>
            <w:tcW w:w="13680" w:type="dxa"/>
            <w:vAlign w:val="center"/>
          </w:tcPr>
          <w:p w14:paraId="2CBE7558" w14:textId="77777777" w:rsidR="00CF600F" w:rsidRDefault="00CF600F" w:rsidP="00993CEF">
            <w:pPr>
              <w:keepNext/>
              <w:rPr>
                <w:b/>
                <w:color w:val="7F7F7F" w:themeColor="text1" w:themeTint="80"/>
              </w:rPr>
            </w:pPr>
          </w:p>
        </w:tc>
      </w:tr>
      <w:tr w:rsidR="00DD6229" w14:paraId="55B9CB86" w14:textId="77777777" w:rsidTr="009A4505">
        <w:trPr>
          <w:trHeight w:val="189"/>
        </w:trPr>
        <w:tc>
          <w:tcPr>
            <w:tcW w:w="13680" w:type="dxa"/>
            <w:tcMar>
              <w:top w:w="0" w:type="dxa"/>
              <w:left w:w="0" w:type="dxa"/>
              <w:bottom w:w="0" w:type="dxa"/>
              <w:right w:w="0" w:type="dxa"/>
            </w:tcMar>
            <w:vAlign w:val="center"/>
          </w:tcPr>
          <w:tbl>
            <w:tblPr>
              <w:tblStyle w:val="TableGrid52"/>
              <w:tblW w:w="13645" w:type="dxa"/>
              <w:tblLayout w:type="fixed"/>
              <w:tblCellMar>
                <w:left w:w="0" w:type="dxa"/>
                <w:right w:w="0" w:type="dxa"/>
              </w:tblCellMar>
              <w:tblLook w:val="05E0" w:firstRow="1" w:lastRow="1" w:firstColumn="1" w:lastColumn="1" w:noHBand="0" w:noVBand="1"/>
            </w:tblPr>
            <w:tblGrid>
              <w:gridCol w:w="6707"/>
              <w:gridCol w:w="6938"/>
            </w:tblGrid>
            <w:tr w:rsidR="00DD6229" w14:paraId="57527F5C" w14:textId="77777777" w:rsidTr="00A91CE7">
              <w:trPr>
                <w:trHeight w:val="186"/>
              </w:trPr>
              <w:tc>
                <w:tcPr>
                  <w:tcW w:w="13645" w:type="dxa"/>
                  <w:gridSpan w:val="2"/>
                  <w:tcBorders>
                    <w:top w:val="single" w:sz="8" w:space="0" w:color="D0CECE"/>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57865407" w14:textId="2F038417" w:rsidR="00DD6229" w:rsidRDefault="00523281" w:rsidP="00993CEF">
                  <w:pPr>
                    <w:pStyle w:val="MsoNormal0"/>
                    <w:keepNext/>
                    <w:spacing w:after="0"/>
                    <w:rPr>
                      <w:bCs/>
                      <w:noProof/>
                      <w:color w:val="000000" w:themeColor="text1"/>
                    </w:rPr>
                  </w:pPr>
                  <w:r>
                    <w:rPr>
                      <w:b/>
                      <w:bCs/>
                      <w:noProof/>
                      <w:color w:val="7F7F7F"/>
                    </w:rPr>
                    <w:lastRenderedPageBreak/>
                    <w:t xml:space="preserve">Component 4: </w:t>
                  </w:r>
                  <w:r w:rsidR="00D310E2">
                    <w:rPr>
                      <w:b/>
                      <w:bCs/>
                      <w:noProof/>
                      <w:color w:val="7F7F7F"/>
                    </w:rPr>
                    <w:t>Project management, monitoring and evaluation, and centralized support</w:t>
                  </w:r>
                </w:p>
              </w:tc>
            </w:tr>
            <w:tr w:rsidR="00523281" w14:paraId="4F5ABE7E" w14:textId="77777777" w:rsidTr="00A91CE7">
              <w:trPr>
                <w:trHeight w:val="736"/>
              </w:trPr>
              <w:tc>
                <w:tcPr>
                  <w:tcW w:w="6707" w:type="dxa"/>
                  <w:tcBorders>
                    <w:left w:val="single" w:sz="8" w:space="0" w:color="D0CECE"/>
                    <w:bottom w:val="single" w:sz="8" w:space="0" w:color="D0CECE"/>
                    <w:right w:val="single" w:sz="8" w:space="0" w:color="D0CECE"/>
                  </w:tcBorders>
                  <w:tcMar>
                    <w:top w:w="72" w:type="dxa"/>
                    <w:left w:w="125" w:type="dxa"/>
                    <w:bottom w:w="72" w:type="dxa"/>
                    <w:right w:w="125" w:type="dxa"/>
                  </w:tcMar>
                  <w:vAlign w:val="center"/>
                  <w:hideMark/>
                </w:tcPr>
                <w:p w14:paraId="6EAC536A" w14:textId="66707C6B" w:rsidR="00523281" w:rsidRDefault="00523281" w:rsidP="00523281">
                  <w:pPr>
                    <w:pStyle w:val="MsoNormal0"/>
                    <w:keepNext/>
                    <w:spacing w:after="0"/>
                    <w:rPr>
                      <w:bCs/>
                      <w:noProof/>
                      <w:color w:val="000000" w:themeColor="text1"/>
                    </w:rPr>
                  </w:pPr>
                  <w:r>
                    <w:rPr>
                      <w:bCs/>
                      <w:noProof/>
                      <w:color w:val="000000" w:themeColor="text1"/>
                    </w:rPr>
                    <w:t xml:space="preserve">Intermediate Results Indicators and </w:t>
                  </w:r>
                  <w:r w:rsidRPr="003908F0">
                    <w:rPr>
                      <w:bCs/>
                      <w:noProof/>
                      <w:color w:val="000000" w:themeColor="text1"/>
                    </w:rPr>
                    <w:t xml:space="preserve">Key Outputs </w:t>
                  </w:r>
                  <w:r>
                    <w:rPr>
                      <w:bCs/>
                      <w:noProof/>
                      <w:color w:val="000000" w:themeColor="text1"/>
                    </w:rPr>
                    <w:t xml:space="preserve">linked to the achievement of </w:t>
                  </w:r>
                  <w:r w:rsidR="008370B8">
                    <w:rPr>
                      <w:bCs/>
                      <w:noProof/>
                      <w:color w:val="000000" w:themeColor="text1"/>
                    </w:rPr>
                    <w:t>c</w:t>
                  </w:r>
                  <w:r>
                    <w:rPr>
                      <w:bCs/>
                      <w:noProof/>
                      <w:color w:val="000000" w:themeColor="text1"/>
                    </w:rPr>
                    <w:t>omponent 4</w:t>
                  </w:r>
                </w:p>
              </w:tc>
              <w:tc>
                <w:tcPr>
                  <w:tcW w:w="6938" w:type="dxa"/>
                  <w:tcBorders>
                    <w:bottom w:val="single" w:sz="8" w:space="0" w:color="D0CECE"/>
                    <w:right w:val="single" w:sz="8" w:space="0" w:color="D0CECE"/>
                  </w:tcBorders>
                  <w:tcMar>
                    <w:top w:w="72" w:type="dxa"/>
                    <w:left w:w="120" w:type="dxa"/>
                    <w:bottom w:w="72" w:type="dxa"/>
                    <w:right w:w="125" w:type="dxa"/>
                  </w:tcMar>
                  <w:hideMark/>
                </w:tcPr>
                <w:p w14:paraId="6408EF99" w14:textId="2F81F5BE" w:rsidR="00523281" w:rsidRDefault="00523281" w:rsidP="00523281">
                  <w:pPr>
                    <w:pStyle w:val="MsoNormal0"/>
                    <w:keepNext/>
                    <w:spacing w:after="0"/>
                    <w:rPr>
                      <w:bCs/>
                      <w:noProof/>
                      <w:color w:val="000000" w:themeColor="text1"/>
                    </w:rPr>
                  </w:pPr>
                  <w:r>
                    <w:rPr>
                      <w:bCs/>
                      <w:noProof/>
                      <w:color w:val="000000" w:themeColor="text1"/>
                    </w:rPr>
                    <w:t xml:space="preserve">1. 50 </w:t>
                  </w:r>
                  <w:r w:rsidRPr="000C3B96">
                    <w:rPr>
                      <w:bCs/>
                      <w:noProof/>
                      <w:color w:val="000000" w:themeColor="text1"/>
                    </w:rPr>
                    <w:t>National staff working on World Bank financed projects in Tonga to have achieved an improvement in skills/ knowledge in Procurement, FM, Safeguards, Contract Management, and M&amp;E</w:t>
                  </w:r>
                </w:p>
                <w:p w14:paraId="45DC99F9" w14:textId="11980F03" w:rsidR="00523281" w:rsidRDefault="00523281" w:rsidP="00523281">
                  <w:pPr>
                    <w:pStyle w:val="MsoNormal0"/>
                    <w:keepNext/>
                    <w:spacing w:after="0"/>
                    <w:rPr>
                      <w:bCs/>
                      <w:noProof/>
                      <w:color w:val="000000" w:themeColor="text1"/>
                    </w:rPr>
                  </w:pPr>
                  <w:r>
                    <w:rPr>
                      <w:bCs/>
                      <w:noProof/>
                      <w:color w:val="000000" w:themeColor="text1"/>
                    </w:rPr>
                    <w:t>2. 94 p</w:t>
                  </w:r>
                  <w:r w:rsidRPr="000C3B96">
                    <w:rPr>
                      <w:bCs/>
                      <w:noProof/>
                      <w:color w:val="000000" w:themeColor="text1"/>
                    </w:rPr>
                    <w:t>ercent of transactions completed by CSU specialists within service standards</w:t>
                  </w:r>
                </w:p>
                <w:p w14:paraId="4AF90C54" w14:textId="3186D0CF" w:rsidR="00523281" w:rsidRDefault="00523281" w:rsidP="00523281">
                  <w:pPr>
                    <w:pStyle w:val="MsoNormal0"/>
                    <w:keepNext/>
                    <w:spacing w:after="0"/>
                    <w:rPr>
                      <w:bCs/>
                      <w:noProof/>
                      <w:color w:val="000000" w:themeColor="text1"/>
                    </w:rPr>
                  </w:pPr>
                  <w:r>
                    <w:rPr>
                      <w:bCs/>
                      <w:noProof/>
                      <w:color w:val="000000" w:themeColor="text1"/>
                    </w:rPr>
                    <w:t>3. 87 percent of PMU staff who rate quality of service/ advice received from CSU as satisfactory</w:t>
                  </w:r>
                </w:p>
              </w:tc>
            </w:tr>
          </w:tbl>
          <w:p w14:paraId="4A55B97D" w14:textId="77777777" w:rsidR="009A4505" w:rsidRDefault="009A4505" w:rsidP="00993CEF">
            <w:pPr>
              <w:keepNext/>
              <w:rPr>
                <w:b/>
                <w:color w:val="7F7F7F" w:themeColor="text1" w:themeTint="80"/>
              </w:rPr>
            </w:pPr>
          </w:p>
        </w:tc>
      </w:tr>
    </w:tbl>
    <w:p w14:paraId="53C1A8B9" w14:textId="77777777" w:rsidR="000C7649" w:rsidRPr="000656EB" w:rsidRDefault="000C7649" w:rsidP="000C7649">
      <w:pPr>
        <w:sectPr w:rsidR="000C7649" w:rsidRPr="000656EB" w:rsidSect="002703D3">
          <w:pgSz w:w="15840" w:h="12240" w:orient="landscape"/>
          <w:pgMar w:top="1440" w:right="720" w:bottom="1440" w:left="720" w:header="720" w:footer="720" w:gutter="0"/>
          <w:cols w:space="720"/>
          <w:docGrid w:linePitch="299"/>
        </w:sect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ook w:val="04A0" w:firstRow="1" w:lastRow="0" w:firstColumn="1" w:lastColumn="0" w:noHBand="0" w:noVBand="1"/>
      </w:tblPr>
      <w:tblGrid>
        <w:gridCol w:w="11070"/>
      </w:tblGrid>
      <w:tr w:rsidR="00DD6229" w14:paraId="13A1824D" w14:textId="77777777" w:rsidTr="00646A70">
        <w:trPr>
          <w:trHeight w:val="403"/>
        </w:trPr>
        <w:tc>
          <w:tcPr>
            <w:tcW w:w="11070" w:type="dxa"/>
            <w:shd w:val="clear" w:color="auto" w:fill="F2F7FC"/>
            <w:vAlign w:val="center"/>
          </w:tcPr>
          <w:p w14:paraId="4772A144" w14:textId="77777777" w:rsidR="00CD361A" w:rsidRPr="00CD361A" w:rsidRDefault="00D310E2" w:rsidP="00DA0626">
            <w:pPr>
              <w:pStyle w:val="Heading3"/>
              <w:rPr>
                <w:rFonts w:eastAsia="Times New Roman"/>
              </w:rPr>
            </w:pPr>
            <w:bookmarkStart w:id="27" w:name="_Toc78351312"/>
            <w:bookmarkStart w:id="28" w:name="_Toc198922301"/>
            <w:r w:rsidRPr="00646A70">
              <w:rPr>
                <w:rFonts w:eastAsia="Times New Roman"/>
              </w:rPr>
              <w:lastRenderedPageBreak/>
              <w:t>ANNEX 2. BANK LENDING AND IMPLEMENTATION SUPPORT/SUPERVISION</w:t>
            </w:r>
            <w:bookmarkEnd w:id="27"/>
            <w:bookmarkEnd w:id="28"/>
          </w:p>
        </w:tc>
      </w:tr>
    </w:tbl>
    <w:p w14:paraId="36107A39" w14:textId="77777777" w:rsidR="003A7006" w:rsidRDefault="003A7006" w:rsidP="00CD361A"/>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5C44AA02" w14:textId="77777777" w:rsidTr="004668AD">
        <w:trPr>
          <w:trHeight w:val="403"/>
        </w:trPr>
        <w:tc>
          <w:tcPr>
            <w:tcW w:w="10980" w:type="dxa"/>
            <w:shd w:val="clear" w:color="auto" w:fill="auto"/>
            <w:vAlign w:val="center"/>
          </w:tcPr>
          <w:p w14:paraId="48F4393D" w14:textId="77777777" w:rsidR="00402DA5" w:rsidRPr="001F20A6" w:rsidRDefault="00D310E2" w:rsidP="00A15F63">
            <w:pPr>
              <w:pStyle w:val="ListParagraph"/>
              <w:numPr>
                <w:ilvl w:val="0"/>
                <w:numId w:val="9"/>
              </w:numPr>
              <w:rPr>
                <w:rFonts w:asciiTheme="majorHAnsi" w:eastAsiaTheme="majorEastAsia" w:hAnsiTheme="majorHAnsi" w:cstheme="majorBidi"/>
                <w:b/>
                <w:bCs/>
                <w:sz w:val="20"/>
                <w:szCs w:val="20"/>
              </w:rPr>
            </w:pPr>
            <w:bookmarkStart w:id="29" w:name="_Hlk78994478_4"/>
            <w:r>
              <w:rPr>
                <w:rFonts w:asciiTheme="majorHAnsi" w:eastAsiaTheme="majorEastAsia" w:hAnsiTheme="majorHAnsi" w:cstheme="majorBidi"/>
                <w:b/>
                <w:bCs/>
                <w:sz w:val="20"/>
                <w:szCs w:val="20"/>
              </w:rPr>
              <w:t>TASK TEAM MEMBERS</w:t>
            </w:r>
          </w:p>
        </w:tc>
      </w:tr>
      <w:tr w:rsidR="00DD6229" w14:paraId="5BEA74FE" w14:textId="77777777" w:rsidTr="004668AD">
        <w:trPr>
          <w:trHeight w:val="403"/>
        </w:trPr>
        <w:tc>
          <w:tcPr>
            <w:tcW w:w="10980" w:type="dxa"/>
            <w:shd w:val="clear" w:color="auto" w:fill="auto"/>
            <w:vAlign w:val="center"/>
          </w:tcPr>
          <w:p w14:paraId="513AE831" w14:textId="77777777" w:rsidR="00F07DCA" w:rsidRDefault="00F07DCA" w:rsidP="00F07DCA">
            <w:pPr>
              <w:pStyle w:val="ListParagraph"/>
              <w:rPr>
                <w:rFonts w:asciiTheme="majorHAnsi" w:eastAsiaTheme="majorEastAsia" w:hAnsiTheme="majorHAnsi" w:cstheme="majorBidi"/>
                <w:b/>
                <w:bCs/>
                <w:sz w:val="20"/>
                <w:szCs w:val="20"/>
              </w:rPr>
            </w:pPr>
          </w:p>
        </w:tc>
      </w:tr>
      <w:tr w:rsidR="00DD6229" w14:paraId="16787F36" w14:textId="77777777" w:rsidTr="00D66D2C">
        <w:trPr>
          <w:trHeight w:val="403"/>
        </w:trPr>
        <w:tc>
          <w:tcPr>
            <w:tcW w:w="10980" w:type="dxa"/>
            <w:tcBorders>
              <w:top w:val="single" w:sz="4" w:space="0" w:color="808080" w:themeColor="background1" w:themeShade="80"/>
            </w:tcBorders>
            <w:shd w:val="clear" w:color="auto" w:fill="auto"/>
            <w:vAlign w:val="center"/>
          </w:tcPr>
          <w:tbl>
            <w:tblPr>
              <w:tblStyle w:val="TableGrid161"/>
              <w:tblW w:w="10905" w:type="dxa"/>
              <w:shd w:val="clear" w:color="auto" w:fill="F7F7F7"/>
              <w:tblLayout w:type="fixed"/>
              <w:tblCellMar>
                <w:left w:w="0" w:type="dxa"/>
                <w:right w:w="0" w:type="dxa"/>
              </w:tblCellMar>
              <w:tblLook w:val="05E0" w:firstRow="1" w:lastRow="1" w:firstColumn="1" w:lastColumn="1" w:noHBand="0" w:noVBand="1"/>
            </w:tblPr>
            <w:tblGrid>
              <w:gridCol w:w="5422"/>
              <w:gridCol w:w="5483"/>
            </w:tblGrid>
            <w:tr w:rsidR="00DD6229" w14:paraId="767A4F3B"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4C972245"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Name</w:t>
                  </w:r>
                </w:p>
              </w:tc>
              <w:tc>
                <w:tcPr>
                  <w:tcW w:w="5728" w:type="dxa"/>
                  <w:tcBorders>
                    <w:bottom w:val="single" w:sz="8" w:space="0" w:color="D0CECE"/>
                  </w:tcBorders>
                  <w:tcMar>
                    <w:top w:w="0" w:type="dxa"/>
                    <w:left w:w="120" w:type="dxa"/>
                    <w:bottom w:w="0" w:type="dxa"/>
                    <w:right w:w="120" w:type="dxa"/>
                  </w:tcMar>
                  <w:vAlign w:val="center"/>
                  <w:hideMark/>
                </w:tcPr>
                <w:p w14:paraId="5D0A7D6B"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Role</w:t>
                  </w:r>
                </w:p>
              </w:tc>
            </w:tr>
            <w:tr w:rsidR="00DD6229" w14:paraId="3BBE7F8E"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4D3E70B6"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Kenia Hatsue Silva Parsons</w:t>
                  </w:r>
                </w:p>
              </w:tc>
              <w:tc>
                <w:tcPr>
                  <w:tcW w:w="5728" w:type="dxa"/>
                  <w:tcBorders>
                    <w:bottom w:val="single" w:sz="8" w:space="0" w:color="D0CECE"/>
                  </w:tcBorders>
                  <w:tcMar>
                    <w:top w:w="0" w:type="dxa"/>
                    <w:left w:w="120" w:type="dxa"/>
                    <w:bottom w:w="0" w:type="dxa"/>
                    <w:right w:w="120" w:type="dxa"/>
                  </w:tcMar>
                  <w:vAlign w:val="center"/>
                  <w:hideMark/>
                </w:tcPr>
                <w:p w14:paraId="6F76CDB5"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Leader</w:t>
                  </w:r>
                </w:p>
              </w:tc>
            </w:tr>
            <w:tr w:rsidR="00DD6229" w14:paraId="18466BA6"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16304C85" w14:textId="77777777" w:rsidR="00DD6229" w:rsidRPr="00F76E0A" w:rsidRDefault="00D310E2" w:rsidP="00D239B0">
                  <w:pPr>
                    <w:pStyle w:val="MsoNormal0"/>
                    <w:spacing w:after="0"/>
                    <w:ind w:left="86"/>
                    <w:rPr>
                      <w:rFonts w:asciiTheme="minorHAnsi" w:eastAsiaTheme="majorEastAsia" w:hAnsiTheme="minorHAnsi" w:cstheme="minorHAnsi"/>
                      <w:noProof/>
                      <w:sz w:val="22"/>
                      <w:lang w:val="es-419"/>
                    </w:rPr>
                  </w:pPr>
                  <w:r w:rsidRPr="00F76E0A">
                    <w:rPr>
                      <w:rFonts w:asciiTheme="minorHAnsi" w:eastAsiaTheme="majorEastAsia" w:hAnsiTheme="minorHAnsi" w:cstheme="minorHAnsi"/>
                      <w:noProof/>
                      <w:sz w:val="22"/>
                      <w:lang w:val="es-419"/>
                    </w:rPr>
                    <w:t>Janssen Edelweiss Nunes Fernandes Teixeira</w:t>
                  </w:r>
                </w:p>
              </w:tc>
              <w:tc>
                <w:tcPr>
                  <w:tcW w:w="5728" w:type="dxa"/>
                  <w:tcBorders>
                    <w:bottom w:val="single" w:sz="8" w:space="0" w:color="D0CECE"/>
                  </w:tcBorders>
                  <w:tcMar>
                    <w:top w:w="0" w:type="dxa"/>
                    <w:left w:w="120" w:type="dxa"/>
                    <w:bottom w:w="0" w:type="dxa"/>
                    <w:right w:w="120" w:type="dxa"/>
                  </w:tcMar>
                  <w:vAlign w:val="center"/>
                  <w:hideMark/>
                </w:tcPr>
                <w:p w14:paraId="55F44D4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Leader</w:t>
                  </w:r>
                </w:p>
              </w:tc>
            </w:tr>
            <w:tr w:rsidR="00DD6229" w14:paraId="148593D0"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609C8FA0"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Toufiq Ahmed</w:t>
                  </w:r>
                </w:p>
              </w:tc>
              <w:tc>
                <w:tcPr>
                  <w:tcW w:w="5728" w:type="dxa"/>
                  <w:tcBorders>
                    <w:bottom w:val="single" w:sz="8" w:space="0" w:color="D0CECE"/>
                  </w:tcBorders>
                  <w:tcMar>
                    <w:top w:w="0" w:type="dxa"/>
                    <w:left w:w="120" w:type="dxa"/>
                    <w:bottom w:w="0" w:type="dxa"/>
                    <w:right w:w="120" w:type="dxa"/>
                  </w:tcMar>
                  <w:vAlign w:val="center"/>
                  <w:hideMark/>
                </w:tcPr>
                <w:p w14:paraId="713EE289"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Leader</w:t>
                  </w:r>
                </w:p>
              </w:tc>
            </w:tr>
            <w:tr w:rsidR="00DD6229" w14:paraId="3CC48AEC"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638457B8"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Ha Thuy Tran</w:t>
                  </w:r>
                </w:p>
              </w:tc>
              <w:tc>
                <w:tcPr>
                  <w:tcW w:w="5728" w:type="dxa"/>
                  <w:tcBorders>
                    <w:bottom w:val="single" w:sz="8" w:space="0" w:color="D0CECE"/>
                  </w:tcBorders>
                  <w:tcMar>
                    <w:top w:w="0" w:type="dxa"/>
                    <w:left w:w="120" w:type="dxa"/>
                    <w:bottom w:w="0" w:type="dxa"/>
                    <w:right w:w="120" w:type="dxa"/>
                  </w:tcMar>
                  <w:vAlign w:val="center"/>
                  <w:hideMark/>
                </w:tcPr>
                <w:p w14:paraId="672620C8"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Financial Management Specialist</w:t>
                  </w:r>
                </w:p>
              </w:tc>
            </w:tr>
            <w:tr w:rsidR="00DD6229" w14:paraId="0551D230"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5B1259A6" w14:textId="77777777" w:rsidR="00DD6229" w:rsidRPr="00F76E0A" w:rsidRDefault="00D310E2" w:rsidP="00D239B0">
                  <w:pPr>
                    <w:pStyle w:val="MsoNormal0"/>
                    <w:spacing w:after="0"/>
                    <w:ind w:left="86"/>
                    <w:rPr>
                      <w:rFonts w:asciiTheme="minorHAnsi" w:eastAsiaTheme="majorEastAsia" w:hAnsiTheme="minorHAnsi" w:cstheme="minorHAnsi"/>
                      <w:noProof/>
                      <w:sz w:val="22"/>
                      <w:lang w:val="es-419"/>
                    </w:rPr>
                  </w:pPr>
                  <w:r w:rsidRPr="00F76E0A">
                    <w:rPr>
                      <w:rFonts w:asciiTheme="minorHAnsi" w:eastAsiaTheme="majorEastAsia" w:hAnsiTheme="minorHAnsi" w:cstheme="minorHAnsi"/>
                      <w:noProof/>
                      <w:sz w:val="22"/>
                      <w:lang w:val="es-419"/>
                    </w:rPr>
                    <w:t>Cristiano Costa e Silva Nunes</w:t>
                  </w:r>
                </w:p>
              </w:tc>
              <w:tc>
                <w:tcPr>
                  <w:tcW w:w="5728" w:type="dxa"/>
                  <w:tcBorders>
                    <w:bottom w:val="single" w:sz="8" w:space="0" w:color="D0CECE"/>
                  </w:tcBorders>
                  <w:tcMar>
                    <w:top w:w="0" w:type="dxa"/>
                    <w:left w:w="120" w:type="dxa"/>
                    <w:bottom w:w="0" w:type="dxa"/>
                    <w:right w:w="120" w:type="dxa"/>
                  </w:tcMar>
                  <w:vAlign w:val="center"/>
                  <w:hideMark/>
                </w:tcPr>
                <w:p w14:paraId="6A060DF1"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Procurement Specialist</w:t>
                  </w:r>
                </w:p>
              </w:tc>
            </w:tr>
            <w:tr w:rsidR="00DD6229" w14:paraId="24711901"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2EF923A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Bonnie Frances Cavanough</w:t>
                  </w:r>
                </w:p>
              </w:tc>
              <w:tc>
                <w:tcPr>
                  <w:tcW w:w="5728" w:type="dxa"/>
                  <w:tcBorders>
                    <w:bottom w:val="single" w:sz="8" w:space="0" w:color="D0CECE"/>
                  </w:tcBorders>
                  <w:tcMar>
                    <w:top w:w="0" w:type="dxa"/>
                    <w:left w:w="120" w:type="dxa"/>
                    <w:bottom w:w="0" w:type="dxa"/>
                    <w:right w:w="120" w:type="dxa"/>
                  </w:tcMar>
                  <w:vAlign w:val="center"/>
                  <w:hideMark/>
                </w:tcPr>
                <w:p w14:paraId="26DA6C15"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Environmental Specialist</w:t>
                  </w:r>
                </w:p>
              </w:tc>
            </w:tr>
            <w:tr w:rsidR="00DD6229" w14:paraId="39A107AC"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21D8F7C2"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Anika Kathryn Fletcher</w:t>
                  </w:r>
                </w:p>
              </w:tc>
              <w:tc>
                <w:tcPr>
                  <w:tcW w:w="5728" w:type="dxa"/>
                  <w:tcBorders>
                    <w:bottom w:val="single" w:sz="8" w:space="0" w:color="D0CECE"/>
                  </w:tcBorders>
                  <w:tcMar>
                    <w:top w:w="0" w:type="dxa"/>
                    <w:left w:w="120" w:type="dxa"/>
                    <w:bottom w:w="0" w:type="dxa"/>
                    <w:right w:w="120" w:type="dxa"/>
                  </w:tcMar>
                  <w:vAlign w:val="center"/>
                  <w:hideMark/>
                </w:tcPr>
                <w:p w14:paraId="1BA59064"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Environmental Specialist</w:t>
                  </w:r>
                </w:p>
              </w:tc>
            </w:tr>
            <w:tr w:rsidR="00DD6229" w14:paraId="17421011"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71B025E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Nathalie Suzanna Noella Staelens</w:t>
                  </w:r>
                </w:p>
              </w:tc>
              <w:tc>
                <w:tcPr>
                  <w:tcW w:w="5728" w:type="dxa"/>
                  <w:tcBorders>
                    <w:bottom w:val="single" w:sz="8" w:space="0" w:color="D0CECE"/>
                  </w:tcBorders>
                  <w:tcMar>
                    <w:top w:w="0" w:type="dxa"/>
                    <w:left w:w="120" w:type="dxa"/>
                    <w:bottom w:w="0" w:type="dxa"/>
                    <w:right w:w="120" w:type="dxa"/>
                  </w:tcMar>
                  <w:vAlign w:val="center"/>
                  <w:hideMark/>
                </w:tcPr>
                <w:p w14:paraId="0DABEA24"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Environmental Specialist</w:t>
                  </w:r>
                </w:p>
              </w:tc>
            </w:tr>
            <w:tr w:rsidR="00DD6229" w14:paraId="2C84D3FD"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5C6F1D5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Thomas John Callander</w:t>
                  </w:r>
                </w:p>
              </w:tc>
              <w:tc>
                <w:tcPr>
                  <w:tcW w:w="5728" w:type="dxa"/>
                  <w:tcBorders>
                    <w:bottom w:val="single" w:sz="8" w:space="0" w:color="D0CECE"/>
                  </w:tcBorders>
                  <w:tcMar>
                    <w:top w:w="0" w:type="dxa"/>
                    <w:left w:w="120" w:type="dxa"/>
                    <w:bottom w:w="0" w:type="dxa"/>
                    <w:right w:w="120" w:type="dxa"/>
                  </w:tcMar>
                  <w:vAlign w:val="center"/>
                  <w:hideMark/>
                </w:tcPr>
                <w:p w14:paraId="2DC653A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Social Specialist</w:t>
                  </w:r>
                </w:p>
              </w:tc>
            </w:tr>
            <w:tr w:rsidR="00DD6229" w14:paraId="4B47EAA3"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7EC556F7"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Bridgette Eliza Hogan</w:t>
                  </w:r>
                </w:p>
              </w:tc>
              <w:tc>
                <w:tcPr>
                  <w:tcW w:w="5728" w:type="dxa"/>
                  <w:tcBorders>
                    <w:bottom w:val="single" w:sz="8" w:space="0" w:color="D0CECE"/>
                  </w:tcBorders>
                  <w:tcMar>
                    <w:top w:w="0" w:type="dxa"/>
                    <w:left w:w="120" w:type="dxa"/>
                    <w:bottom w:w="0" w:type="dxa"/>
                    <w:right w:w="120" w:type="dxa"/>
                  </w:tcMar>
                  <w:vAlign w:val="center"/>
                  <w:hideMark/>
                </w:tcPr>
                <w:p w14:paraId="73A63B90"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Procurement Team</w:t>
                  </w:r>
                </w:p>
              </w:tc>
            </w:tr>
            <w:tr w:rsidR="00DD6229" w14:paraId="4E6ED3C0"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21015BA3"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Dean Georgakopoulos</w:t>
                  </w:r>
                </w:p>
              </w:tc>
              <w:tc>
                <w:tcPr>
                  <w:tcW w:w="5728" w:type="dxa"/>
                  <w:tcBorders>
                    <w:bottom w:val="single" w:sz="8" w:space="0" w:color="D0CECE"/>
                  </w:tcBorders>
                  <w:tcMar>
                    <w:top w:w="0" w:type="dxa"/>
                    <w:left w:w="120" w:type="dxa"/>
                    <w:bottom w:w="0" w:type="dxa"/>
                    <w:right w:w="120" w:type="dxa"/>
                  </w:tcMar>
                  <w:vAlign w:val="center"/>
                  <w:hideMark/>
                </w:tcPr>
                <w:p w14:paraId="4C254FAF"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Procurement Team</w:t>
                  </w:r>
                </w:p>
              </w:tc>
            </w:tr>
            <w:tr w:rsidR="00DD6229" w14:paraId="35C7AFC4"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0CBE4B2A"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Manuel Salazar</w:t>
                  </w:r>
                </w:p>
              </w:tc>
              <w:tc>
                <w:tcPr>
                  <w:tcW w:w="5728" w:type="dxa"/>
                  <w:tcBorders>
                    <w:bottom w:val="single" w:sz="8" w:space="0" w:color="D0CECE"/>
                  </w:tcBorders>
                  <w:tcMar>
                    <w:top w:w="0" w:type="dxa"/>
                    <w:left w:w="120" w:type="dxa"/>
                    <w:bottom w:w="0" w:type="dxa"/>
                    <w:right w:w="120" w:type="dxa"/>
                  </w:tcMar>
                  <w:vAlign w:val="center"/>
                  <w:hideMark/>
                </w:tcPr>
                <w:p w14:paraId="7B5638A3"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Member</w:t>
                  </w:r>
                </w:p>
              </w:tc>
            </w:tr>
            <w:tr w:rsidR="00DD6229" w14:paraId="53E6F7DF"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48AEB111"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Malakai Hanson Kaufusi</w:t>
                  </w:r>
                </w:p>
              </w:tc>
              <w:tc>
                <w:tcPr>
                  <w:tcW w:w="5728" w:type="dxa"/>
                  <w:tcBorders>
                    <w:bottom w:val="single" w:sz="8" w:space="0" w:color="D0CECE"/>
                  </w:tcBorders>
                  <w:tcMar>
                    <w:top w:w="0" w:type="dxa"/>
                    <w:left w:w="120" w:type="dxa"/>
                    <w:bottom w:w="0" w:type="dxa"/>
                    <w:right w:w="120" w:type="dxa"/>
                  </w:tcMar>
                  <w:vAlign w:val="center"/>
                  <w:hideMark/>
                </w:tcPr>
                <w:p w14:paraId="70CBC239"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Member</w:t>
                  </w:r>
                </w:p>
              </w:tc>
            </w:tr>
            <w:tr w:rsidR="00DD6229" w14:paraId="1DF942C3"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5EC006E4"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Vipasha Bansal</w:t>
                  </w:r>
                </w:p>
              </w:tc>
              <w:tc>
                <w:tcPr>
                  <w:tcW w:w="5728" w:type="dxa"/>
                  <w:tcBorders>
                    <w:bottom w:val="single" w:sz="8" w:space="0" w:color="D0CECE"/>
                  </w:tcBorders>
                  <w:tcMar>
                    <w:top w:w="0" w:type="dxa"/>
                    <w:left w:w="120" w:type="dxa"/>
                    <w:bottom w:w="0" w:type="dxa"/>
                    <w:right w:w="120" w:type="dxa"/>
                  </w:tcMar>
                  <w:vAlign w:val="center"/>
                  <w:hideMark/>
                </w:tcPr>
                <w:p w14:paraId="07D553B7"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Member</w:t>
                  </w:r>
                </w:p>
              </w:tc>
            </w:tr>
            <w:tr w:rsidR="00DD6229" w14:paraId="6AB87B1A" w14:textId="77777777">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7E82FDEA"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Farazeen Amjad</w:t>
                  </w:r>
                </w:p>
              </w:tc>
              <w:tc>
                <w:tcPr>
                  <w:tcW w:w="5728" w:type="dxa"/>
                  <w:tcBorders>
                    <w:bottom w:val="single" w:sz="8" w:space="0" w:color="D0CECE"/>
                  </w:tcBorders>
                  <w:tcMar>
                    <w:top w:w="0" w:type="dxa"/>
                    <w:left w:w="120" w:type="dxa"/>
                    <w:bottom w:w="0" w:type="dxa"/>
                    <w:right w:w="120" w:type="dxa"/>
                  </w:tcMar>
                  <w:vAlign w:val="center"/>
                  <w:hideMark/>
                </w:tcPr>
                <w:p w14:paraId="0253FA5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Member</w:t>
                  </w:r>
                </w:p>
              </w:tc>
            </w:tr>
            <w:tr w:rsidR="00DD6229" w14:paraId="564FC605" w14:textId="77777777" w:rsidTr="00D66D2C">
              <w:trPr>
                <w:trHeight w:val="383"/>
              </w:trPr>
              <w:tc>
                <w:tcPr>
                  <w:tcW w:w="5664" w:type="dxa"/>
                  <w:tcBorders>
                    <w:bottom w:val="single" w:sz="8" w:space="0" w:color="D0CECE"/>
                    <w:right w:val="single" w:sz="8" w:space="0" w:color="D0CECE"/>
                  </w:tcBorders>
                  <w:tcMar>
                    <w:top w:w="0" w:type="dxa"/>
                    <w:left w:w="120" w:type="dxa"/>
                    <w:bottom w:w="0" w:type="dxa"/>
                    <w:right w:w="125" w:type="dxa"/>
                  </w:tcMar>
                  <w:vAlign w:val="center"/>
                  <w:hideMark/>
                </w:tcPr>
                <w:p w14:paraId="425792E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Sandor I. Karacsony</w:t>
                  </w:r>
                </w:p>
              </w:tc>
              <w:tc>
                <w:tcPr>
                  <w:tcW w:w="5728" w:type="dxa"/>
                  <w:tcBorders>
                    <w:bottom w:val="single" w:sz="8" w:space="0" w:color="D0CECE"/>
                  </w:tcBorders>
                  <w:tcMar>
                    <w:top w:w="0" w:type="dxa"/>
                    <w:left w:w="120" w:type="dxa"/>
                    <w:bottom w:w="0" w:type="dxa"/>
                    <w:right w:w="120" w:type="dxa"/>
                  </w:tcMar>
                  <w:vAlign w:val="center"/>
                  <w:hideMark/>
                </w:tcPr>
                <w:p w14:paraId="33F2D922" w14:textId="77777777" w:rsidR="00DD6229"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Team Member</w:t>
                  </w:r>
                </w:p>
                <w:p w14:paraId="34AC6FF4" w14:textId="0680C219" w:rsidR="003F1EF0" w:rsidRPr="00575276" w:rsidRDefault="003F1EF0" w:rsidP="00D239B0">
                  <w:pPr>
                    <w:pStyle w:val="MsoNormal0"/>
                    <w:spacing w:after="0"/>
                    <w:ind w:left="86"/>
                    <w:rPr>
                      <w:rFonts w:asciiTheme="minorHAnsi" w:eastAsiaTheme="majorEastAsia" w:hAnsiTheme="minorHAnsi" w:cstheme="minorHAnsi"/>
                      <w:noProof/>
                      <w:sz w:val="22"/>
                    </w:rPr>
                  </w:pPr>
                  <w:r>
                    <w:rPr>
                      <w:rFonts w:asciiTheme="minorHAnsi" w:eastAsiaTheme="majorEastAsia" w:hAnsiTheme="minorHAnsi" w:cstheme="minorHAnsi"/>
                      <w:noProof/>
                      <w:sz w:val="22"/>
                    </w:rPr>
                    <w:t>ICR Contributor/ Main Author</w:t>
                  </w:r>
                </w:p>
              </w:tc>
            </w:tr>
            <w:tr w:rsidR="00DD6229" w14:paraId="3A20BE1E" w14:textId="77777777" w:rsidTr="0065075D">
              <w:trPr>
                <w:trHeight w:val="520"/>
              </w:trPr>
              <w:tc>
                <w:tcPr>
                  <w:tcW w:w="5664" w:type="dxa"/>
                  <w:tcBorders>
                    <w:top w:val="single" w:sz="8" w:space="0" w:color="D0CECE"/>
                    <w:bottom w:val="single" w:sz="4" w:space="0" w:color="808080" w:themeColor="background1" w:themeShade="80"/>
                    <w:right w:val="single" w:sz="8" w:space="0" w:color="D0CECE"/>
                  </w:tcBorders>
                  <w:tcMar>
                    <w:top w:w="0" w:type="dxa"/>
                    <w:left w:w="120" w:type="dxa"/>
                    <w:bottom w:w="0" w:type="dxa"/>
                    <w:right w:w="125" w:type="dxa"/>
                  </w:tcMar>
                  <w:vAlign w:val="center"/>
                  <w:hideMark/>
                </w:tcPr>
                <w:p w14:paraId="4D6C9A9D" w14:textId="77777777" w:rsidR="00DD6229" w:rsidRPr="00575276" w:rsidRDefault="00D310E2" w:rsidP="00D239B0">
                  <w:pPr>
                    <w:pStyle w:val="MsoNormal0"/>
                    <w:spacing w:after="0"/>
                    <w:ind w:left="86"/>
                    <w:rPr>
                      <w:rFonts w:asciiTheme="minorHAnsi" w:eastAsiaTheme="majorEastAsia" w:hAnsiTheme="minorHAnsi" w:cstheme="minorHAnsi"/>
                      <w:noProof/>
                      <w:sz w:val="22"/>
                    </w:rPr>
                  </w:pPr>
                  <w:r w:rsidRPr="00575276">
                    <w:rPr>
                      <w:rFonts w:asciiTheme="minorHAnsi" w:eastAsiaTheme="majorEastAsia" w:hAnsiTheme="minorHAnsi" w:cstheme="minorHAnsi"/>
                      <w:noProof/>
                      <w:sz w:val="22"/>
                    </w:rPr>
                    <w:t>Aishwarya Shivaji Patil</w:t>
                  </w:r>
                </w:p>
              </w:tc>
              <w:tc>
                <w:tcPr>
                  <w:tcW w:w="5728" w:type="dxa"/>
                  <w:tcBorders>
                    <w:top w:val="single" w:sz="8" w:space="0" w:color="D0CECE"/>
                    <w:bottom w:val="single" w:sz="4" w:space="0" w:color="808080" w:themeColor="background1" w:themeShade="80"/>
                  </w:tcBorders>
                  <w:tcMar>
                    <w:top w:w="0" w:type="dxa"/>
                    <w:left w:w="120" w:type="dxa"/>
                    <w:bottom w:w="0" w:type="dxa"/>
                    <w:right w:w="120" w:type="dxa"/>
                  </w:tcMar>
                  <w:vAlign w:val="center"/>
                  <w:hideMark/>
                </w:tcPr>
                <w:p w14:paraId="5A7448FB" w14:textId="0F6BD73C" w:rsidR="00DD6229" w:rsidRPr="00575276" w:rsidRDefault="003F1EF0" w:rsidP="00D239B0">
                  <w:pPr>
                    <w:pStyle w:val="MsoNormal0"/>
                    <w:spacing w:after="0"/>
                    <w:ind w:left="86"/>
                    <w:rPr>
                      <w:rFonts w:asciiTheme="minorHAnsi" w:eastAsiaTheme="majorEastAsia" w:hAnsiTheme="minorHAnsi" w:cstheme="minorHAnsi"/>
                      <w:noProof/>
                      <w:sz w:val="22"/>
                    </w:rPr>
                  </w:pPr>
                  <w:r>
                    <w:rPr>
                      <w:rFonts w:asciiTheme="minorHAnsi" w:eastAsiaTheme="majorEastAsia" w:hAnsiTheme="minorHAnsi" w:cstheme="minorHAnsi"/>
                      <w:noProof/>
                      <w:sz w:val="22"/>
                    </w:rPr>
                    <w:t xml:space="preserve">ICR Contributor/ Main Author </w:t>
                  </w:r>
                </w:p>
              </w:tc>
            </w:tr>
            <w:tr w:rsidR="003F1EF0" w14:paraId="0E0093BC" w14:textId="77777777" w:rsidTr="00D66D2C">
              <w:trPr>
                <w:trHeight w:val="383"/>
              </w:trPr>
              <w:tc>
                <w:tcPr>
                  <w:tcW w:w="5664" w:type="dxa"/>
                  <w:tcBorders>
                    <w:top w:val="single" w:sz="4" w:space="0" w:color="808080" w:themeColor="background1" w:themeShade="80"/>
                    <w:bottom w:val="single" w:sz="8" w:space="0" w:color="D0CECE"/>
                    <w:right w:val="single" w:sz="8" w:space="0" w:color="D0CECE"/>
                  </w:tcBorders>
                  <w:tcMar>
                    <w:top w:w="0" w:type="dxa"/>
                    <w:left w:w="120" w:type="dxa"/>
                    <w:bottom w:w="0" w:type="dxa"/>
                    <w:right w:w="125" w:type="dxa"/>
                  </w:tcMar>
                  <w:vAlign w:val="center"/>
                </w:tcPr>
                <w:p w14:paraId="2B6D19C5" w14:textId="1A216952" w:rsidR="003F1EF0" w:rsidRPr="00575276" w:rsidRDefault="003F1EF0" w:rsidP="00D239B0">
                  <w:pPr>
                    <w:pStyle w:val="MsoNormal0"/>
                    <w:spacing w:after="0"/>
                    <w:ind w:left="86"/>
                    <w:rPr>
                      <w:rFonts w:eastAsiaTheme="majorEastAsia" w:cstheme="minorHAnsi"/>
                      <w:noProof/>
                      <w:sz w:val="22"/>
                    </w:rPr>
                  </w:pPr>
                  <w:r>
                    <w:rPr>
                      <w:rFonts w:eastAsiaTheme="majorEastAsia" w:cstheme="minorHAnsi"/>
                      <w:noProof/>
                      <w:sz w:val="22"/>
                    </w:rPr>
                    <w:t xml:space="preserve">Shreya Chatterjee </w:t>
                  </w:r>
                </w:p>
              </w:tc>
              <w:tc>
                <w:tcPr>
                  <w:tcW w:w="5728" w:type="dxa"/>
                  <w:tcBorders>
                    <w:top w:val="single" w:sz="4" w:space="0" w:color="808080" w:themeColor="background1" w:themeShade="80"/>
                    <w:bottom w:val="single" w:sz="8" w:space="0" w:color="D0CECE"/>
                  </w:tcBorders>
                  <w:tcMar>
                    <w:top w:w="0" w:type="dxa"/>
                    <w:left w:w="120" w:type="dxa"/>
                    <w:bottom w:w="0" w:type="dxa"/>
                    <w:right w:w="120" w:type="dxa"/>
                  </w:tcMar>
                  <w:vAlign w:val="center"/>
                </w:tcPr>
                <w:p w14:paraId="13826F9D" w14:textId="0E7B6669" w:rsidR="003F1EF0" w:rsidRDefault="00262BA5" w:rsidP="00D239B0">
                  <w:pPr>
                    <w:pStyle w:val="MsoNormal0"/>
                    <w:spacing w:after="0"/>
                    <w:ind w:left="86"/>
                    <w:rPr>
                      <w:rFonts w:eastAsiaTheme="majorEastAsia" w:cstheme="minorHAnsi"/>
                      <w:noProof/>
                      <w:sz w:val="22"/>
                    </w:rPr>
                  </w:pPr>
                  <w:r w:rsidRPr="00262BA5">
                    <w:rPr>
                      <w:rFonts w:eastAsiaTheme="majorEastAsia" w:cstheme="minorHAnsi"/>
                      <w:noProof/>
                      <w:sz w:val="22"/>
                    </w:rPr>
                    <w:t>ICR Contributor/Economic Analysis</w:t>
                  </w:r>
                </w:p>
              </w:tc>
            </w:tr>
          </w:tbl>
          <w:p w14:paraId="152A652F" w14:textId="77777777" w:rsidR="00F07DCA" w:rsidRPr="00575276" w:rsidRDefault="00F07DCA" w:rsidP="00D239B0">
            <w:pPr>
              <w:pStyle w:val="ListParagraph"/>
              <w:ind w:left="-15"/>
              <w:rPr>
                <w:rFonts w:eastAsiaTheme="majorEastAsia" w:cstheme="minorHAnsi"/>
                <w:szCs w:val="22"/>
              </w:rPr>
            </w:pPr>
          </w:p>
        </w:tc>
      </w:tr>
      <w:bookmarkEnd w:id="29"/>
    </w:tbl>
    <w:p w14:paraId="27B50ADE" w14:textId="77777777" w:rsidR="00402DA5" w:rsidRPr="00402DA5" w:rsidRDefault="00402DA5" w:rsidP="003B75BA">
      <w:pPr>
        <w:spacing w:line="259" w:lineRule="auto"/>
        <w:rPr>
          <w:rFonts w:ascii="Calibri" w:eastAsia="Calibri" w:hAnsi="Calibri" w:cs="Times New Roman"/>
          <w:szCs w:val="22"/>
        </w:rPr>
      </w:pPr>
    </w:p>
    <w:p w14:paraId="1C320BBC" w14:textId="77777777" w:rsidR="00736C57" w:rsidRDefault="00736C57" w:rsidP="000E0DD6">
      <w:pPr>
        <w:pStyle w:val="Normal4"/>
        <w:spacing w:after="0" w:line="240" w:lineRule="auto"/>
        <w:ind w:left="29" w:right="-58"/>
        <w:outlineLvl w:val="9"/>
        <w:rPr>
          <w:noProof/>
        </w:rPr>
      </w:pPr>
    </w:p>
    <w:sdt>
      <w:sdtPr>
        <w:id w:val="208795289"/>
        <w:lock w:val="sdtContentLocked"/>
        <w:group/>
      </w:sdtPr>
      <w:sdtContent>
        <w:tbl>
          <w:tblPr>
            <w:tblStyle w:val="TableGrid"/>
            <w:tblW w:w="11131"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ayout w:type="fixed"/>
            <w:tblLook w:val="04A0" w:firstRow="1" w:lastRow="0" w:firstColumn="1" w:lastColumn="0" w:noHBand="0" w:noVBand="1"/>
          </w:tblPr>
          <w:tblGrid>
            <w:gridCol w:w="11131"/>
          </w:tblGrid>
          <w:tr w:rsidR="00DD6229" w14:paraId="571965FC" w14:textId="77777777" w:rsidTr="007368CB">
            <w:tc>
              <w:tcPr>
                <w:tcW w:w="11131" w:type="dxa"/>
                <w:shd w:val="clear" w:color="auto" w:fill="F7F7F7"/>
              </w:tcPr>
              <w:p w14:paraId="46F8EFEE" w14:textId="77777777" w:rsidR="00BC5924" w:rsidRPr="00BC5924" w:rsidRDefault="00D310E2" w:rsidP="00BC5924">
                <w:pPr>
                  <w:spacing w:line="288" w:lineRule="auto"/>
                  <w:ind w:right="29"/>
                  <w:rPr>
                    <w:rFonts w:ascii="Calibri" w:eastAsia="Times New Roman" w:hAnsi="Calibri" w:cs="Times New Roman"/>
                    <w:color w:val="F7F7F7"/>
                    <w:sz w:val="21"/>
                  </w:rPr>
                </w:pPr>
                <w:r w:rsidRPr="00BC5924">
                  <w:rPr>
                    <w:rFonts w:ascii="Calibri" w:eastAsia="Times New Roman" w:hAnsi="Calibri" w:cs="Times New Roman"/>
                    <w:color w:val="F7F7F7"/>
                    <w:sz w:val="21"/>
                  </w:rPr>
                  <w:t>@#&amp;OPS~Doctype~OPS^dynamics@</w:t>
                </w:r>
                <w:r w:rsidR="008E00B7" w:rsidRPr="008E00B7">
                  <w:rPr>
                    <w:rFonts w:ascii="Calibri" w:eastAsia="Times New Roman" w:hAnsi="Calibri" w:cs="Times New Roman"/>
                    <w:color w:val="F7F7F7"/>
                    <w:sz w:val="21"/>
                  </w:rPr>
                  <w:t>icrannexstafftime</w:t>
                </w:r>
                <w:r w:rsidRPr="00BC5924">
                  <w:rPr>
                    <w:rFonts w:ascii="Calibri" w:eastAsia="Times New Roman" w:hAnsi="Calibri" w:cs="Times New Roman"/>
                    <w:color w:val="F7F7F7"/>
                    <w:sz w:val="21"/>
                  </w:rPr>
                  <w:t>#doctemplate</w:t>
                </w:r>
              </w:p>
            </w:tc>
          </w:tr>
          <w:tr w:rsidR="00DD6229" w14:paraId="162BE483" w14:textId="77777777" w:rsidTr="007368CB">
            <w:tc>
              <w:tcPr>
                <w:tcW w:w="11131" w:type="dxa"/>
                <w:shd w:val="clear" w:color="auto" w:fill="F7F7F7"/>
                <w:tcMar>
                  <w:left w:w="0" w:type="dxa"/>
                  <w:right w:w="0" w:type="dxa"/>
                </w:tcMar>
              </w:tcPr>
              <w:tbl>
                <w:tblPr>
                  <w:tblStyle w:val="TableGrid"/>
                  <w:tblW w:w="10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ayout w:type="fixed"/>
                  <w:tblCellMar>
                    <w:left w:w="115" w:type="dxa"/>
                    <w:right w:w="115" w:type="dxa"/>
                  </w:tblCellMar>
                  <w:tblLook w:val="04A0" w:firstRow="1" w:lastRow="0" w:firstColumn="1" w:lastColumn="0" w:noHBand="0" w:noVBand="1"/>
                </w:tblPr>
                <w:tblGrid>
                  <w:gridCol w:w="10895"/>
                </w:tblGrid>
                <w:tr w:rsidR="00DD6229" w14:paraId="7F8A03E6" w14:textId="77777777" w:rsidTr="00BC5924">
                  <w:trPr>
                    <w:trHeight w:val="432"/>
                  </w:trPr>
                  <w:tc>
                    <w:tcPr>
                      <w:tcW w:w="10895" w:type="dxa"/>
                      <w:shd w:val="clear" w:color="auto" w:fill="F2F2F2"/>
                      <w:vAlign w:val="center"/>
                      <w:hideMark/>
                    </w:tcPr>
                    <w:p w14:paraId="046A5D4D" w14:textId="77777777" w:rsidR="00BC5924" w:rsidRPr="00BC5924" w:rsidRDefault="00D310E2" w:rsidP="00A15F63">
                      <w:pPr>
                        <w:pStyle w:val="ListParagraph"/>
                        <w:numPr>
                          <w:ilvl w:val="0"/>
                          <w:numId w:val="9"/>
                        </w:numPr>
                        <w:spacing w:line="288" w:lineRule="auto"/>
                        <w:rPr>
                          <w:rFonts w:ascii="Calibri" w:eastAsia="Times New Roman" w:hAnsi="Calibri" w:cs="Times New Roman"/>
                          <w:b/>
                          <w:bCs/>
                          <w:szCs w:val="22"/>
                        </w:rPr>
                      </w:pPr>
                      <w:r w:rsidRPr="00BC5924">
                        <w:rPr>
                          <w:rFonts w:asciiTheme="majorHAnsi" w:eastAsiaTheme="majorEastAsia" w:hAnsiTheme="majorHAnsi" w:cstheme="majorBidi"/>
                          <w:b/>
                          <w:bCs/>
                          <w:sz w:val="20"/>
                          <w:szCs w:val="20"/>
                        </w:rPr>
                        <w:t xml:space="preserve">STAFF TIME </w:t>
                      </w:r>
                      <w:r w:rsidR="005A04D3">
                        <w:rPr>
                          <w:rFonts w:asciiTheme="majorHAnsi" w:eastAsiaTheme="majorEastAsia" w:hAnsiTheme="majorHAnsi" w:cstheme="majorBidi"/>
                          <w:b/>
                          <w:bCs/>
                          <w:sz w:val="20"/>
                          <w:szCs w:val="20"/>
                        </w:rPr>
                        <w:t>&amp;</w:t>
                      </w:r>
                      <w:r w:rsidRPr="00BC5924">
                        <w:rPr>
                          <w:rFonts w:asciiTheme="majorHAnsi" w:eastAsiaTheme="majorEastAsia" w:hAnsiTheme="majorHAnsi" w:cstheme="majorBidi"/>
                          <w:b/>
                          <w:bCs/>
                          <w:sz w:val="20"/>
                          <w:szCs w:val="20"/>
                        </w:rPr>
                        <w:t xml:space="preserve"> COST</w:t>
                      </w:r>
                    </w:p>
                  </w:tc>
                </w:tr>
              </w:tbl>
              <w:p w14:paraId="6CC47FD8" w14:textId="77777777" w:rsidR="004034EA" w:rsidRDefault="004034EA" w:rsidP="00BC5924">
                <w:pPr>
                  <w:tabs>
                    <w:tab w:val="left" w:pos="1230"/>
                  </w:tabs>
                  <w:spacing w:line="288" w:lineRule="auto"/>
                  <w:ind w:right="29"/>
                  <w:rPr>
                    <w:rFonts w:ascii="Calibri" w:eastAsia="Times New Roman" w:hAnsi="Calibri" w:cs="Times New Roman"/>
                    <w:sz w:val="21"/>
                  </w:rPr>
                </w:pPr>
              </w:p>
              <w:tbl>
                <w:tblPr>
                  <w:tblStyle w:val="TableGrid16"/>
                  <w:tblW w:w="1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115" w:type="dxa"/>
                    <w:right w:w="115" w:type="dxa"/>
                  </w:tblCellMar>
                  <w:tblLook w:val="04A0" w:firstRow="1" w:lastRow="0" w:firstColumn="1" w:lastColumn="0" w:noHBand="0" w:noVBand="1"/>
                </w:tblPr>
                <w:tblGrid>
                  <w:gridCol w:w="3694"/>
                  <w:gridCol w:w="3149"/>
                  <w:gridCol w:w="4231"/>
                </w:tblGrid>
                <w:tr w:rsidR="00DD6229" w14:paraId="37221CE9" w14:textId="77777777" w:rsidTr="007368CB">
                  <w:trPr>
                    <w:trHeight w:val="437"/>
                  </w:trPr>
                  <w:tc>
                    <w:tcPr>
                      <w:tcW w:w="3694" w:type="dxa"/>
                      <w:vMerge w:val="restart"/>
                      <w:tcBorders>
                        <w:top w:val="single" w:sz="4" w:space="0" w:color="D0CECE" w:themeColor="background2" w:themeShade="E6"/>
                        <w:right w:val="single" w:sz="4" w:space="0" w:color="D0CECE"/>
                      </w:tcBorders>
                      <w:shd w:val="clear" w:color="auto" w:fill="F2F2F2" w:themeFill="background1" w:themeFillShade="F2"/>
                      <w:vAlign w:val="center"/>
                    </w:tcPr>
                    <w:p w14:paraId="496973E2" w14:textId="77777777" w:rsidR="004034EA" w:rsidRPr="005264A3" w:rsidRDefault="00D310E2" w:rsidP="004034EA">
                      <w:pPr>
                        <w:ind w:left="86"/>
                        <w:rPr>
                          <w:rFonts w:cstheme="minorHAnsi"/>
                          <w:color w:val="767171" w:themeColor="background2" w:themeShade="80"/>
                          <w:szCs w:val="22"/>
                        </w:rPr>
                      </w:pPr>
                      <w:bookmarkStart w:id="30" w:name="_Hlk170928049"/>
                      <w:r w:rsidRPr="005264A3">
                        <w:rPr>
                          <w:rFonts w:cstheme="minorHAnsi"/>
                          <w:color w:val="767171" w:themeColor="background2" w:themeShade="80"/>
                          <w:szCs w:val="22"/>
                        </w:rPr>
                        <w:t>Stage of Project Cycle</w:t>
                      </w:r>
                    </w:p>
                  </w:tc>
                  <w:tc>
                    <w:tcPr>
                      <w:tcW w:w="7380" w:type="dxa"/>
                      <w:gridSpan w:val="2"/>
                      <w:tcBorders>
                        <w:top w:val="single" w:sz="4" w:space="0" w:color="D0CECE" w:themeColor="background2" w:themeShade="E6"/>
                        <w:left w:val="single" w:sz="4" w:space="0" w:color="D0CECE"/>
                        <w:bottom w:val="single" w:sz="4" w:space="0" w:color="D0CECE"/>
                      </w:tcBorders>
                      <w:shd w:val="clear" w:color="auto" w:fill="F2F2F2" w:themeFill="background1" w:themeFillShade="F2"/>
                      <w:vAlign w:val="center"/>
                    </w:tcPr>
                    <w:p w14:paraId="6D8F8D06" w14:textId="77777777" w:rsidR="004034EA" w:rsidRPr="005264A3" w:rsidRDefault="00D310E2" w:rsidP="004034EA">
                      <w:pPr>
                        <w:ind w:left="86"/>
                        <w:jc w:val="center"/>
                        <w:rPr>
                          <w:rFonts w:cstheme="minorHAnsi"/>
                          <w:color w:val="767171" w:themeColor="background2" w:themeShade="80"/>
                          <w:szCs w:val="22"/>
                        </w:rPr>
                      </w:pPr>
                      <w:r w:rsidRPr="005264A3">
                        <w:rPr>
                          <w:rFonts w:cstheme="minorHAnsi"/>
                          <w:color w:val="767171" w:themeColor="background2" w:themeShade="80"/>
                          <w:szCs w:val="22"/>
                        </w:rPr>
                        <w:t>Staff Time &amp; Cost</w:t>
                      </w:r>
                    </w:p>
                  </w:tc>
                </w:tr>
                <w:tr w:rsidR="00DD6229" w14:paraId="56ED3902" w14:textId="77777777" w:rsidTr="007368CB">
                  <w:trPr>
                    <w:trHeight w:val="437"/>
                  </w:trPr>
                  <w:tc>
                    <w:tcPr>
                      <w:tcW w:w="3694" w:type="dxa"/>
                      <w:vMerge/>
                      <w:tcBorders>
                        <w:bottom w:val="single" w:sz="4" w:space="0" w:color="AEAAAA"/>
                        <w:right w:val="single" w:sz="4" w:space="0" w:color="D0CECE"/>
                      </w:tcBorders>
                      <w:shd w:val="clear" w:color="auto" w:fill="F2F2F2" w:themeFill="background1" w:themeFillShade="F2"/>
                      <w:vAlign w:val="center"/>
                    </w:tcPr>
                    <w:p w14:paraId="32BBE8B1" w14:textId="77777777" w:rsidR="004034EA" w:rsidRPr="005264A3" w:rsidRDefault="004034EA" w:rsidP="004034EA">
                      <w:pPr>
                        <w:ind w:left="86"/>
                        <w:rPr>
                          <w:rFonts w:cstheme="minorHAnsi"/>
                          <w:color w:val="767171" w:themeColor="background2" w:themeShade="80"/>
                          <w:szCs w:val="22"/>
                        </w:rPr>
                      </w:pPr>
                    </w:p>
                  </w:tc>
                  <w:tc>
                    <w:tcPr>
                      <w:tcW w:w="3149" w:type="dxa"/>
                      <w:tcBorders>
                        <w:left w:val="single" w:sz="4" w:space="0" w:color="D0CECE"/>
                        <w:bottom w:val="single" w:sz="4" w:space="0" w:color="AEAAAA"/>
                      </w:tcBorders>
                      <w:shd w:val="clear" w:color="auto" w:fill="F2F2F2" w:themeFill="background1" w:themeFillShade="F2"/>
                      <w:vAlign w:val="center"/>
                    </w:tcPr>
                    <w:p w14:paraId="6DDAA42B" w14:textId="77777777" w:rsidR="004034EA" w:rsidRPr="005264A3" w:rsidRDefault="00D310E2" w:rsidP="004034EA">
                      <w:pPr>
                        <w:ind w:left="86"/>
                        <w:rPr>
                          <w:rFonts w:cstheme="minorHAnsi"/>
                          <w:color w:val="767171" w:themeColor="background2" w:themeShade="80"/>
                          <w:szCs w:val="22"/>
                        </w:rPr>
                      </w:pPr>
                      <w:r w:rsidRPr="005264A3">
                        <w:rPr>
                          <w:rFonts w:cstheme="minorHAnsi"/>
                          <w:color w:val="767171" w:themeColor="background2" w:themeShade="80"/>
                          <w:szCs w:val="22"/>
                        </w:rPr>
                        <w:t>No. of Staff Weeks</w:t>
                      </w:r>
                    </w:p>
                  </w:tc>
                  <w:tc>
                    <w:tcPr>
                      <w:tcW w:w="4230" w:type="dxa"/>
                      <w:tcBorders>
                        <w:left w:val="single" w:sz="4" w:space="0" w:color="D0CECE"/>
                        <w:bottom w:val="single" w:sz="4" w:space="0" w:color="AEAAAA"/>
                      </w:tcBorders>
                      <w:shd w:val="clear" w:color="auto" w:fill="F2F2F2" w:themeFill="background1" w:themeFillShade="F2"/>
                      <w:vAlign w:val="center"/>
                    </w:tcPr>
                    <w:p w14:paraId="77D8E59A" w14:textId="77777777" w:rsidR="004034EA" w:rsidRPr="005264A3" w:rsidRDefault="00D310E2" w:rsidP="004034EA">
                      <w:pPr>
                        <w:ind w:left="86"/>
                        <w:rPr>
                          <w:rFonts w:cstheme="minorHAnsi"/>
                          <w:color w:val="767171" w:themeColor="background2" w:themeShade="80"/>
                          <w:szCs w:val="22"/>
                        </w:rPr>
                      </w:pPr>
                      <w:r w:rsidRPr="005264A3">
                        <w:rPr>
                          <w:rFonts w:cstheme="minorHAnsi"/>
                          <w:color w:val="767171" w:themeColor="background2" w:themeShade="80"/>
                          <w:szCs w:val="22"/>
                        </w:rPr>
                        <w:t>US$ (including travel and consultant costs)</w:t>
                      </w:r>
                    </w:p>
                  </w:tc>
                </w:tr>
                <w:tr w:rsidR="00DD6229" w14:paraId="4EFAC34B" w14:textId="77777777" w:rsidTr="007368CB">
                  <w:trPr>
                    <w:trHeight w:val="437"/>
                  </w:trPr>
                  <w:tc>
                    <w:tcPr>
                      <w:tcW w:w="11074" w:type="dxa"/>
                      <w:gridSpan w:val="3"/>
                      <w:tcBorders>
                        <w:top w:val="single" w:sz="4" w:space="0" w:color="AEAAAA"/>
                        <w:bottom w:val="single" w:sz="4" w:space="0" w:color="AEAAAA"/>
                      </w:tcBorders>
                      <w:shd w:val="clear" w:color="auto" w:fill="F2F2F2" w:themeFill="background1" w:themeFillShade="F2"/>
                      <w:vAlign w:val="center"/>
                    </w:tcPr>
                    <w:p w14:paraId="65B0E980" w14:textId="77777777" w:rsidR="004034EA" w:rsidRPr="005264A3" w:rsidRDefault="00D310E2" w:rsidP="004034EA">
                      <w:pPr>
                        <w:ind w:left="86"/>
                        <w:rPr>
                          <w:rFonts w:cstheme="minorHAnsi"/>
                          <w:color w:val="767171" w:themeColor="background2" w:themeShade="80"/>
                          <w:szCs w:val="22"/>
                        </w:rPr>
                      </w:pPr>
                      <w:r w:rsidRPr="005264A3">
                        <w:rPr>
                          <w:rFonts w:cstheme="minorHAnsi"/>
                          <w:color w:val="767171" w:themeColor="background2" w:themeShade="80"/>
                          <w:szCs w:val="22"/>
                        </w:rPr>
                        <w:t>Preparation</w:t>
                      </w:r>
                    </w:p>
                  </w:tc>
                </w:tr>
                <w:tr w:rsidR="00DD6229" w14:paraId="66555ABE" w14:textId="77777777" w:rsidTr="007368CB">
                  <w:trPr>
                    <w:trHeight w:val="437"/>
                  </w:trPr>
                  <w:tc>
                    <w:tcPr>
                      <w:tcW w:w="11074" w:type="dxa"/>
                      <w:gridSpan w:val="3"/>
                      <w:tcBorders>
                        <w:top w:val="single" w:sz="4" w:space="0" w:color="AEAAAA"/>
                        <w:bottom w:val="single" w:sz="4" w:space="0" w:color="AEAAAA"/>
                      </w:tcBorders>
                      <w:shd w:val="clear" w:color="auto" w:fill="F2F2F2" w:themeFill="background1" w:themeFillShade="F2"/>
                      <w:tcMar>
                        <w:left w:w="0" w:type="dxa"/>
                      </w:tcMar>
                    </w:tcPr>
                    <w:tbl>
                      <w:tblPr>
                        <w:tblStyle w:val="MsoTableGrid0"/>
                        <w:tblW w:w="10890" w:type="dxa"/>
                        <w:tblLayout w:type="fixed"/>
                        <w:tblCellMar>
                          <w:left w:w="0" w:type="dxa"/>
                          <w:right w:w="0" w:type="dxa"/>
                        </w:tblCellMar>
                        <w:tblLook w:val="05E0" w:firstRow="1" w:lastRow="1" w:firstColumn="1" w:lastColumn="1" w:noHBand="0" w:noVBand="1"/>
                      </w:tblPr>
                      <w:tblGrid>
                        <w:gridCol w:w="3634"/>
                        <w:gridCol w:w="3130"/>
                        <w:gridCol w:w="4126"/>
                      </w:tblGrid>
                      <w:tr w:rsidR="00DD6229" w14:paraId="0B3052D8"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0522EE64"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lastRenderedPageBreak/>
                              <w:t>FY17</w:t>
                            </w:r>
                          </w:p>
                        </w:tc>
                        <w:tc>
                          <w:tcPr>
                            <w:tcW w:w="3330" w:type="dxa"/>
                            <w:tcBorders>
                              <w:bottom w:val="single" w:sz="8" w:space="0" w:color="AEAAAA"/>
                            </w:tcBorders>
                            <w:tcMar>
                              <w:top w:w="0" w:type="dxa"/>
                              <w:left w:w="120" w:type="dxa"/>
                              <w:bottom w:w="0" w:type="dxa"/>
                              <w:right w:w="120" w:type="dxa"/>
                            </w:tcMar>
                            <w:vAlign w:val="center"/>
                            <w:hideMark/>
                          </w:tcPr>
                          <w:p w14:paraId="28201326"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21.970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718B61B5"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148,821.79</w:t>
                            </w:r>
                          </w:p>
                        </w:tc>
                      </w:tr>
                      <w:tr w:rsidR="00DD6229" w14:paraId="4A8532E7"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57E6E622"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FY18</w:t>
                            </w:r>
                          </w:p>
                        </w:tc>
                        <w:tc>
                          <w:tcPr>
                            <w:tcW w:w="3330" w:type="dxa"/>
                            <w:tcBorders>
                              <w:bottom w:val="single" w:sz="8" w:space="0" w:color="AEAAAA"/>
                            </w:tcBorders>
                            <w:tcMar>
                              <w:top w:w="0" w:type="dxa"/>
                              <w:left w:w="120" w:type="dxa"/>
                              <w:bottom w:w="0" w:type="dxa"/>
                              <w:right w:w="120" w:type="dxa"/>
                            </w:tcMar>
                            <w:vAlign w:val="center"/>
                            <w:hideMark/>
                          </w:tcPr>
                          <w:p w14:paraId="501792FF"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24.629</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336F2903"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191,082.84</w:t>
                            </w:r>
                          </w:p>
                        </w:tc>
                      </w:tr>
                      <w:tr w:rsidR="00DD6229" w14:paraId="6919838A"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72FEA773"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FY19</w:t>
                            </w:r>
                          </w:p>
                        </w:tc>
                        <w:tc>
                          <w:tcPr>
                            <w:tcW w:w="3330" w:type="dxa"/>
                            <w:tcBorders>
                              <w:bottom w:val="single" w:sz="8" w:space="0" w:color="AEAAAA"/>
                            </w:tcBorders>
                            <w:tcMar>
                              <w:top w:w="0" w:type="dxa"/>
                              <w:left w:w="120" w:type="dxa"/>
                              <w:bottom w:w="0" w:type="dxa"/>
                              <w:right w:w="120" w:type="dxa"/>
                            </w:tcMar>
                            <w:vAlign w:val="center"/>
                            <w:hideMark/>
                          </w:tcPr>
                          <w:p w14:paraId="2E6AD752"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6.549</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53D33809"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82,192.02</w:t>
                            </w:r>
                          </w:p>
                        </w:tc>
                      </w:tr>
                      <w:tr w:rsidR="00DD6229" w14:paraId="29322C4A"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12D82FE9"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FY20</w:t>
                            </w:r>
                          </w:p>
                        </w:tc>
                        <w:tc>
                          <w:tcPr>
                            <w:tcW w:w="3330" w:type="dxa"/>
                            <w:tcBorders>
                              <w:bottom w:val="single" w:sz="8" w:space="0" w:color="AEAAAA"/>
                            </w:tcBorders>
                            <w:tcMar>
                              <w:top w:w="0" w:type="dxa"/>
                              <w:left w:w="120" w:type="dxa"/>
                              <w:bottom w:w="0" w:type="dxa"/>
                              <w:right w:w="120" w:type="dxa"/>
                            </w:tcMar>
                            <w:vAlign w:val="center"/>
                            <w:hideMark/>
                          </w:tcPr>
                          <w:p w14:paraId="0AB2AAE8"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1.587</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03532EAC"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24,597.67</w:t>
                            </w:r>
                          </w:p>
                        </w:tc>
                      </w:tr>
                      <w:tr w:rsidR="00DD6229" w14:paraId="770133E2"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04D9E862"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FY21</w:t>
                            </w:r>
                          </w:p>
                        </w:tc>
                        <w:tc>
                          <w:tcPr>
                            <w:tcW w:w="3330" w:type="dxa"/>
                            <w:tcBorders>
                              <w:bottom w:val="single" w:sz="8" w:space="0" w:color="AEAAAA"/>
                            </w:tcBorders>
                            <w:tcMar>
                              <w:top w:w="0" w:type="dxa"/>
                              <w:left w:w="120" w:type="dxa"/>
                              <w:bottom w:w="0" w:type="dxa"/>
                              <w:right w:w="120" w:type="dxa"/>
                            </w:tcMar>
                            <w:vAlign w:val="center"/>
                            <w:hideMark/>
                          </w:tcPr>
                          <w:p w14:paraId="36B4A562"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1.817</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4B3979C4"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29,222.97</w:t>
                            </w:r>
                          </w:p>
                        </w:tc>
                      </w:tr>
                      <w:tr w:rsidR="00DD6229" w14:paraId="15B2F176"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04306396"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FY22</w:t>
                            </w:r>
                          </w:p>
                        </w:tc>
                        <w:tc>
                          <w:tcPr>
                            <w:tcW w:w="3330" w:type="dxa"/>
                            <w:tcBorders>
                              <w:bottom w:val="single" w:sz="8" w:space="0" w:color="AEAAAA"/>
                            </w:tcBorders>
                            <w:tcMar>
                              <w:top w:w="0" w:type="dxa"/>
                              <w:left w:w="120" w:type="dxa"/>
                              <w:bottom w:w="0" w:type="dxa"/>
                              <w:right w:w="120" w:type="dxa"/>
                            </w:tcMar>
                            <w:vAlign w:val="center"/>
                            <w:hideMark/>
                          </w:tcPr>
                          <w:p w14:paraId="4F6915FB"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0.725</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0D7D29A2"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2,449.05</w:t>
                            </w:r>
                          </w:p>
                        </w:tc>
                      </w:tr>
                      <w:tr w:rsidR="00DD6229" w14:paraId="07C305BA"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0CE60BE5"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FY23</w:t>
                            </w:r>
                          </w:p>
                        </w:tc>
                        <w:tc>
                          <w:tcPr>
                            <w:tcW w:w="3330" w:type="dxa"/>
                            <w:tcBorders>
                              <w:bottom w:val="single" w:sz="8" w:space="0" w:color="AEAAAA"/>
                            </w:tcBorders>
                            <w:tcMar>
                              <w:top w:w="0" w:type="dxa"/>
                              <w:left w:w="120" w:type="dxa"/>
                              <w:bottom w:w="0" w:type="dxa"/>
                              <w:right w:w="120" w:type="dxa"/>
                            </w:tcMar>
                            <w:vAlign w:val="center"/>
                            <w:hideMark/>
                          </w:tcPr>
                          <w:p w14:paraId="7063035D"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1.750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21850950"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5,985.66</w:t>
                            </w:r>
                          </w:p>
                        </w:tc>
                      </w:tr>
                      <w:tr w:rsidR="00DD6229" w14:paraId="653F0210"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5FBF64DE"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FY24</w:t>
                            </w:r>
                          </w:p>
                        </w:tc>
                        <w:tc>
                          <w:tcPr>
                            <w:tcW w:w="3330" w:type="dxa"/>
                            <w:tcBorders>
                              <w:bottom w:val="single" w:sz="8" w:space="0" w:color="AEAAAA"/>
                            </w:tcBorders>
                            <w:tcMar>
                              <w:top w:w="0" w:type="dxa"/>
                              <w:left w:w="120" w:type="dxa"/>
                              <w:bottom w:w="0" w:type="dxa"/>
                              <w:right w:w="120" w:type="dxa"/>
                            </w:tcMar>
                            <w:vAlign w:val="center"/>
                            <w:hideMark/>
                          </w:tcPr>
                          <w:p w14:paraId="4C8D909C"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0.900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6DF18317"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3,336.48</w:t>
                            </w:r>
                          </w:p>
                        </w:tc>
                      </w:tr>
                      <w:tr w:rsidR="00DD6229" w14:paraId="737BD4BF"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3D3F11A1"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FY25</w:t>
                            </w:r>
                          </w:p>
                        </w:tc>
                        <w:tc>
                          <w:tcPr>
                            <w:tcW w:w="3330" w:type="dxa"/>
                            <w:tcBorders>
                              <w:bottom w:val="single" w:sz="8" w:space="0" w:color="AEAAAA"/>
                            </w:tcBorders>
                            <w:tcMar>
                              <w:top w:w="0" w:type="dxa"/>
                              <w:left w:w="120" w:type="dxa"/>
                              <w:bottom w:w="0" w:type="dxa"/>
                              <w:right w:w="120" w:type="dxa"/>
                            </w:tcMar>
                            <w:vAlign w:val="center"/>
                            <w:hideMark/>
                          </w:tcPr>
                          <w:p w14:paraId="379423F5"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0.000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49343902"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592.62</w:t>
                            </w:r>
                          </w:p>
                        </w:tc>
                      </w:tr>
                    </w:tbl>
                    <w:p w14:paraId="709D871D" w14:textId="77777777" w:rsidR="004034EA" w:rsidRPr="005264A3" w:rsidRDefault="004034EA" w:rsidP="004034EA">
                      <w:pPr>
                        <w:ind w:left="86"/>
                        <w:rPr>
                          <w:rFonts w:cstheme="minorHAnsi"/>
                          <w:szCs w:val="22"/>
                        </w:rPr>
                      </w:pPr>
                    </w:p>
                  </w:tc>
                </w:tr>
                <w:tr w:rsidR="00DD6229" w14:paraId="7D38E2A9" w14:textId="77777777" w:rsidTr="007368CB">
                  <w:trPr>
                    <w:trHeight w:val="437"/>
                  </w:trPr>
                  <w:tc>
                    <w:tcPr>
                      <w:tcW w:w="3694" w:type="dxa"/>
                      <w:tcBorders>
                        <w:top w:val="single" w:sz="4" w:space="0" w:color="AEAAAA"/>
                        <w:bottom w:val="single" w:sz="4" w:space="0" w:color="AEAAAA"/>
                        <w:right w:val="single" w:sz="4" w:space="0" w:color="D0CECE"/>
                      </w:tcBorders>
                      <w:shd w:val="clear" w:color="auto" w:fill="F2F2F2" w:themeFill="background1" w:themeFillShade="F2"/>
                      <w:vAlign w:val="center"/>
                    </w:tcPr>
                    <w:p w14:paraId="73872AEC" w14:textId="77777777" w:rsidR="004034EA" w:rsidRPr="005264A3" w:rsidRDefault="00D310E2" w:rsidP="004034EA">
                      <w:pPr>
                        <w:ind w:left="86"/>
                        <w:rPr>
                          <w:rFonts w:cstheme="minorHAnsi"/>
                          <w:color w:val="767171" w:themeColor="background2" w:themeShade="80"/>
                          <w:szCs w:val="22"/>
                        </w:rPr>
                      </w:pPr>
                      <w:r w:rsidRPr="005264A3">
                        <w:rPr>
                          <w:rFonts w:cstheme="minorHAnsi"/>
                          <w:color w:val="767171" w:themeColor="background2" w:themeShade="80"/>
                          <w:szCs w:val="22"/>
                        </w:rPr>
                        <w:t>Total</w:t>
                      </w:r>
                    </w:p>
                  </w:tc>
                  <w:tc>
                    <w:tcPr>
                      <w:tcW w:w="3149" w:type="dxa"/>
                      <w:tcBorders>
                        <w:top w:val="single" w:sz="4" w:space="0" w:color="AEAAAA"/>
                        <w:left w:val="single" w:sz="4" w:space="0" w:color="D0CECE"/>
                        <w:bottom w:val="single" w:sz="4" w:space="0" w:color="AEAAAA"/>
                      </w:tcBorders>
                      <w:shd w:val="clear" w:color="auto" w:fill="F2F2F2" w:themeFill="background1" w:themeFillShade="F2"/>
                      <w:vAlign w:val="center"/>
                    </w:tcPr>
                    <w:p w14:paraId="2386A243" w14:textId="77777777" w:rsidR="004034EA" w:rsidRPr="005264A3" w:rsidRDefault="00D310E2" w:rsidP="00913498">
                      <w:pPr>
                        <w:ind w:left="86"/>
                        <w:jc w:val="right"/>
                        <w:rPr>
                          <w:rFonts w:cstheme="minorHAnsi"/>
                          <w:color w:val="767171" w:themeColor="background2" w:themeShade="80"/>
                          <w:szCs w:val="22"/>
                        </w:rPr>
                      </w:pPr>
                      <w:r>
                        <w:rPr>
                          <w:rFonts w:cstheme="minorHAnsi"/>
                          <w:noProof/>
                          <w:szCs w:val="22"/>
                        </w:rPr>
                        <w:t>59.93</w:t>
                      </w:r>
                    </w:p>
                  </w:tc>
                  <w:tc>
                    <w:tcPr>
                      <w:tcW w:w="4230" w:type="dxa"/>
                      <w:tcBorders>
                        <w:top w:val="single" w:sz="4" w:space="0" w:color="AEAAAA"/>
                        <w:left w:val="single" w:sz="4" w:space="0" w:color="D0CECE"/>
                        <w:bottom w:val="single" w:sz="4" w:space="0" w:color="AEAAAA"/>
                      </w:tcBorders>
                      <w:shd w:val="clear" w:color="auto" w:fill="F2F2F2" w:themeFill="background1" w:themeFillShade="F2"/>
                      <w:vAlign w:val="center"/>
                    </w:tcPr>
                    <w:p w14:paraId="7F0BA7FF" w14:textId="77777777" w:rsidR="004034EA" w:rsidRPr="005264A3" w:rsidRDefault="00D310E2" w:rsidP="007368CB">
                      <w:pPr>
                        <w:ind w:left="86" w:right="195"/>
                        <w:jc w:val="right"/>
                        <w:rPr>
                          <w:rFonts w:cstheme="minorHAnsi"/>
                          <w:color w:val="767171" w:themeColor="background2" w:themeShade="80"/>
                          <w:szCs w:val="22"/>
                        </w:rPr>
                      </w:pPr>
                      <w:r>
                        <w:rPr>
                          <w:rFonts w:cstheme="minorHAnsi"/>
                          <w:noProof/>
                          <w:szCs w:val="22"/>
                        </w:rPr>
                        <w:t>488,281.10</w:t>
                      </w:r>
                    </w:p>
                  </w:tc>
                </w:tr>
                <w:tr w:rsidR="00DD6229" w14:paraId="15AEE64D" w14:textId="77777777" w:rsidTr="007368CB">
                  <w:trPr>
                    <w:trHeight w:val="437"/>
                  </w:trPr>
                  <w:tc>
                    <w:tcPr>
                      <w:tcW w:w="11074" w:type="dxa"/>
                      <w:gridSpan w:val="3"/>
                      <w:tcBorders>
                        <w:top w:val="single" w:sz="4" w:space="0" w:color="AEAAAA"/>
                        <w:bottom w:val="single" w:sz="4" w:space="0" w:color="D0CECE"/>
                      </w:tcBorders>
                      <w:shd w:val="clear" w:color="auto" w:fill="F2F2F2" w:themeFill="background1" w:themeFillShade="F2"/>
                      <w:vAlign w:val="center"/>
                    </w:tcPr>
                    <w:p w14:paraId="0A5C6582" w14:textId="77777777" w:rsidR="004034EA" w:rsidRPr="005264A3" w:rsidRDefault="00D310E2" w:rsidP="004034EA">
                      <w:pPr>
                        <w:ind w:left="86"/>
                        <w:rPr>
                          <w:rFonts w:cstheme="minorHAnsi"/>
                          <w:color w:val="767171" w:themeColor="background2" w:themeShade="80"/>
                          <w:szCs w:val="22"/>
                        </w:rPr>
                      </w:pPr>
                      <w:r w:rsidRPr="005264A3">
                        <w:rPr>
                          <w:rFonts w:cstheme="minorHAnsi"/>
                          <w:color w:val="767171" w:themeColor="background2" w:themeShade="80"/>
                          <w:szCs w:val="22"/>
                        </w:rPr>
                        <w:t>Supervision/ICR</w:t>
                      </w:r>
                    </w:p>
                  </w:tc>
                </w:tr>
                <w:tr w:rsidR="00DD6229" w14:paraId="10F43603" w14:textId="77777777" w:rsidTr="007368CB">
                  <w:trPr>
                    <w:trHeight w:val="437"/>
                  </w:trPr>
                  <w:tc>
                    <w:tcPr>
                      <w:tcW w:w="11074" w:type="dxa"/>
                      <w:gridSpan w:val="3"/>
                      <w:tcBorders>
                        <w:top w:val="single" w:sz="4" w:space="0" w:color="AEAAAA"/>
                        <w:bottom w:val="single" w:sz="4" w:space="0" w:color="AEAAAA"/>
                      </w:tcBorders>
                      <w:shd w:val="clear" w:color="auto" w:fill="F2F2F2" w:themeFill="background1" w:themeFillShade="F2"/>
                      <w:tcMar>
                        <w:left w:w="0" w:type="dxa"/>
                      </w:tcMar>
                      <w:vAlign w:val="center"/>
                    </w:tcPr>
                    <w:tbl>
                      <w:tblPr>
                        <w:tblStyle w:val="MsoTableGrid0"/>
                        <w:tblW w:w="10890" w:type="dxa"/>
                        <w:tblLayout w:type="fixed"/>
                        <w:tblCellMar>
                          <w:left w:w="0" w:type="dxa"/>
                          <w:right w:w="0" w:type="dxa"/>
                        </w:tblCellMar>
                        <w:tblLook w:val="05E0" w:firstRow="1" w:lastRow="1" w:firstColumn="1" w:lastColumn="1" w:noHBand="0" w:noVBand="1"/>
                      </w:tblPr>
                      <w:tblGrid>
                        <w:gridCol w:w="3634"/>
                        <w:gridCol w:w="3130"/>
                        <w:gridCol w:w="4126"/>
                      </w:tblGrid>
                      <w:tr w:rsidR="00DD6229" w14:paraId="27E744FF"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71C5C2AE"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FY19</w:t>
                            </w:r>
                          </w:p>
                        </w:tc>
                        <w:tc>
                          <w:tcPr>
                            <w:tcW w:w="3330" w:type="dxa"/>
                            <w:tcBorders>
                              <w:bottom w:val="single" w:sz="8" w:space="0" w:color="AEAAAA"/>
                            </w:tcBorders>
                            <w:tcMar>
                              <w:top w:w="0" w:type="dxa"/>
                              <w:left w:w="120" w:type="dxa"/>
                              <w:bottom w:w="0" w:type="dxa"/>
                              <w:right w:w="120" w:type="dxa"/>
                            </w:tcMar>
                            <w:vAlign w:val="center"/>
                            <w:hideMark/>
                          </w:tcPr>
                          <w:p w14:paraId="4ACA7B94"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13.000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54F3CC08"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99,981.79</w:t>
                            </w:r>
                          </w:p>
                        </w:tc>
                      </w:tr>
                      <w:tr w:rsidR="00DD6229" w14:paraId="57B4557C"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6E4EA84D"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FY20</w:t>
                            </w:r>
                          </w:p>
                        </w:tc>
                        <w:tc>
                          <w:tcPr>
                            <w:tcW w:w="3330" w:type="dxa"/>
                            <w:tcBorders>
                              <w:bottom w:val="single" w:sz="8" w:space="0" w:color="AEAAAA"/>
                            </w:tcBorders>
                            <w:tcMar>
                              <w:top w:w="0" w:type="dxa"/>
                              <w:left w:w="120" w:type="dxa"/>
                              <w:bottom w:w="0" w:type="dxa"/>
                              <w:right w:w="120" w:type="dxa"/>
                            </w:tcMar>
                            <w:vAlign w:val="center"/>
                            <w:hideMark/>
                          </w:tcPr>
                          <w:p w14:paraId="5A9B7E9E"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30.876</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1A555BED"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299,229.70</w:t>
                            </w:r>
                          </w:p>
                        </w:tc>
                      </w:tr>
                      <w:tr w:rsidR="00DD6229" w14:paraId="4DCE7C24"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3C404D57"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FY21</w:t>
                            </w:r>
                          </w:p>
                        </w:tc>
                        <w:tc>
                          <w:tcPr>
                            <w:tcW w:w="3330" w:type="dxa"/>
                            <w:tcBorders>
                              <w:bottom w:val="single" w:sz="8" w:space="0" w:color="AEAAAA"/>
                            </w:tcBorders>
                            <w:tcMar>
                              <w:top w:w="0" w:type="dxa"/>
                              <w:left w:w="120" w:type="dxa"/>
                              <w:bottom w:w="0" w:type="dxa"/>
                              <w:right w:w="120" w:type="dxa"/>
                            </w:tcMar>
                            <w:vAlign w:val="center"/>
                            <w:hideMark/>
                          </w:tcPr>
                          <w:p w14:paraId="09E3CD8A"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10.065</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0350CCD3"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105,297.12</w:t>
                            </w:r>
                          </w:p>
                        </w:tc>
                      </w:tr>
                      <w:tr w:rsidR="00DD6229" w14:paraId="36B9CD13"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057D417C"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FY22</w:t>
                            </w:r>
                          </w:p>
                        </w:tc>
                        <w:tc>
                          <w:tcPr>
                            <w:tcW w:w="3330" w:type="dxa"/>
                            <w:tcBorders>
                              <w:bottom w:val="single" w:sz="8" w:space="0" w:color="AEAAAA"/>
                            </w:tcBorders>
                            <w:tcMar>
                              <w:top w:w="0" w:type="dxa"/>
                              <w:left w:w="120" w:type="dxa"/>
                              <w:bottom w:w="0" w:type="dxa"/>
                              <w:right w:w="120" w:type="dxa"/>
                            </w:tcMar>
                            <w:vAlign w:val="center"/>
                            <w:hideMark/>
                          </w:tcPr>
                          <w:p w14:paraId="3145D258"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9.240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5EA33875"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121,060.60</w:t>
                            </w:r>
                          </w:p>
                        </w:tc>
                      </w:tr>
                      <w:tr w:rsidR="00DD6229" w14:paraId="38012ACB"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10FD3350"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FY23</w:t>
                            </w:r>
                          </w:p>
                        </w:tc>
                        <w:tc>
                          <w:tcPr>
                            <w:tcW w:w="3330" w:type="dxa"/>
                            <w:tcBorders>
                              <w:bottom w:val="single" w:sz="8" w:space="0" w:color="AEAAAA"/>
                            </w:tcBorders>
                            <w:tcMar>
                              <w:top w:w="0" w:type="dxa"/>
                              <w:left w:w="120" w:type="dxa"/>
                              <w:bottom w:w="0" w:type="dxa"/>
                              <w:right w:w="120" w:type="dxa"/>
                            </w:tcMar>
                            <w:vAlign w:val="center"/>
                            <w:hideMark/>
                          </w:tcPr>
                          <w:p w14:paraId="5CA63CA2"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30.916</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7070F202"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305,311.12</w:t>
                            </w:r>
                          </w:p>
                        </w:tc>
                      </w:tr>
                      <w:tr w:rsidR="00DD6229" w14:paraId="4CAFEF6D"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1FD36F29"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FY24</w:t>
                            </w:r>
                          </w:p>
                        </w:tc>
                        <w:tc>
                          <w:tcPr>
                            <w:tcW w:w="3330" w:type="dxa"/>
                            <w:tcBorders>
                              <w:bottom w:val="single" w:sz="8" w:space="0" w:color="AEAAAA"/>
                            </w:tcBorders>
                            <w:tcMar>
                              <w:top w:w="0" w:type="dxa"/>
                              <w:left w:w="120" w:type="dxa"/>
                              <w:bottom w:w="0" w:type="dxa"/>
                              <w:right w:w="120" w:type="dxa"/>
                            </w:tcMar>
                            <w:vAlign w:val="center"/>
                            <w:hideMark/>
                          </w:tcPr>
                          <w:p w14:paraId="0D5C4154"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9.812</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2742E74B"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124,444.41</w:t>
                            </w:r>
                          </w:p>
                        </w:tc>
                      </w:tr>
                      <w:tr w:rsidR="00DD6229" w14:paraId="782B61C7" w14:textId="77777777">
                        <w:trPr>
                          <w:trHeight w:val="436"/>
                        </w:trPr>
                        <w:tc>
                          <w:tcPr>
                            <w:tcW w:w="3869" w:type="dxa"/>
                            <w:tcBorders>
                              <w:bottom w:val="single" w:sz="8" w:space="0" w:color="AEAAAA"/>
                              <w:right w:val="single" w:sz="8" w:space="0" w:color="D0CECE"/>
                            </w:tcBorders>
                            <w:tcMar>
                              <w:top w:w="0" w:type="dxa"/>
                              <w:left w:w="120" w:type="dxa"/>
                              <w:bottom w:w="0" w:type="dxa"/>
                              <w:right w:w="125" w:type="dxa"/>
                            </w:tcMar>
                            <w:vAlign w:val="center"/>
                            <w:hideMark/>
                          </w:tcPr>
                          <w:p w14:paraId="148117DF" w14:textId="77777777" w:rsidR="00DD6229" w:rsidRDefault="00D310E2" w:rsidP="004034EA">
                            <w:pPr>
                              <w:pStyle w:val="MsoNormal0"/>
                              <w:ind w:left="86"/>
                              <w:rPr>
                                <w:rFonts w:cstheme="minorHAnsi"/>
                                <w:noProof/>
                                <w:sz w:val="22"/>
                              </w:rPr>
                            </w:pPr>
                            <w:r>
                              <w:rPr>
                                <w:rFonts w:ascii="Calibri" w:eastAsia="Calibri" w:hAnsi="Calibri" w:cs="Calibri"/>
                                <w:noProof/>
                                <w:color w:val="767171"/>
                                <w:sz w:val="22"/>
                              </w:rPr>
                              <w:t>FY25</w:t>
                            </w:r>
                          </w:p>
                        </w:tc>
                        <w:tc>
                          <w:tcPr>
                            <w:tcW w:w="3330" w:type="dxa"/>
                            <w:tcBorders>
                              <w:bottom w:val="single" w:sz="8" w:space="0" w:color="AEAAAA"/>
                            </w:tcBorders>
                            <w:tcMar>
                              <w:top w:w="0" w:type="dxa"/>
                              <w:left w:w="120" w:type="dxa"/>
                              <w:bottom w:w="0" w:type="dxa"/>
                              <w:right w:w="120" w:type="dxa"/>
                            </w:tcMar>
                            <w:vAlign w:val="center"/>
                            <w:hideMark/>
                          </w:tcPr>
                          <w:p w14:paraId="377D6F5F"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7.760</w:t>
                            </w:r>
                          </w:p>
                        </w:tc>
                        <w:tc>
                          <w:tcPr>
                            <w:tcW w:w="4395" w:type="dxa"/>
                            <w:tcBorders>
                              <w:left w:val="single" w:sz="8" w:space="0" w:color="D0CECE"/>
                              <w:bottom w:val="single" w:sz="8" w:space="0" w:color="AEAAAA"/>
                            </w:tcBorders>
                            <w:tcMar>
                              <w:top w:w="0" w:type="dxa"/>
                              <w:left w:w="125" w:type="dxa"/>
                              <w:bottom w:w="0" w:type="dxa"/>
                              <w:right w:w="120" w:type="dxa"/>
                            </w:tcMar>
                            <w:vAlign w:val="center"/>
                            <w:hideMark/>
                          </w:tcPr>
                          <w:p w14:paraId="6226738A" w14:textId="77777777" w:rsidR="00DD6229" w:rsidRDefault="00D310E2" w:rsidP="004034EA">
                            <w:pPr>
                              <w:pStyle w:val="MsoNormal0"/>
                              <w:ind w:left="86"/>
                              <w:jc w:val="right"/>
                              <w:rPr>
                                <w:rFonts w:cstheme="minorHAnsi"/>
                                <w:noProof/>
                                <w:sz w:val="22"/>
                              </w:rPr>
                            </w:pPr>
                            <w:r>
                              <w:rPr>
                                <w:rFonts w:ascii="Calibri" w:eastAsia="Calibri" w:hAnsi="Calibri" w:cs="Calibri"/>
                                <w:noProof/>
                                <w:color w:val="767171"/>
                                <w:sz w:val="22"/>
                              </w:rPr>
                              <w:t>111,948.28</w:t>
                            </w:r>
                          </w:p>
                        </w:tc>
                      </w:tr>
                    </w:tbl>
                    <w:p w14:paraId="3352F7AB" w14:textId="77777777" w:rsidR="004034EA" w:rsidRPr="005264A3" w:rsidRDefault="004034EA" w:rsidP="004034EA">
                      <w:pPr>
                        <w:ind w:left="86"/>
                        <w:rPr>
                          <w:rFonts w:cstheme="minorHAnsi"/>
                          <w:szCs w:val="22"/>
                        </w:rPr>
                      </w:pPr>
                    </w:p>
                  </w:tc>
                </w:tr>
                <w:tr w:rsidR="00DD6229" w14:paraId="3F8E4CB3" w14:textId="77777777" w:rsidTr="007368CB">
                  <w:trPr>
                    <w:trHeight w:val="437"/>
                  </w:trPr>
                  <w:tc>
                    <w:tcPr>
                      <w:tcW w:w="3694" w:type="dxa"/>
                      <w:tcBorders>
                        <w:top w:val="single" w:sz="4" w:space="0" w:color="AEAAAA"/>
                        <w:bottom w:val="single" w:sz="4" w:space="0" w:color="AEAAAA"/>
                        <w:right w:val="single" w:sz="4" w:space="0" w:color="D0CECE"/>
                      </w:tcBorders>
                      <w:shd w:val="clear" w:color="auto" w:fill="F2F2F2" w:themeFill="background1" w:themeFillShade="F2"/>
                      <w:vAlign w:val="center"/>
                    </w:tcPr>
                    <w:p w14:paraId="03C8D13C" w14:textId="77777777" w:rsidR="004034EA" w:rsidRPr="005264A3" w:rsidRDefault="00D310E2" w:rsidP="004034EA">
                      <w:pPr>
                        <w:ind w:left="86"/>
                        <w:rPr>
                          <w:rFonts w:cstheme="minorHAnsi"/>
                          <w:color w:val="767171" w:themeColor="background2" w:themeShade="80"/>
                          <w:szCs w:val="22"/>
                        </w:rPr>
                      </w:pPr>
                      <w:r w:rsidRPr="005264A3">
                        <w:rPr>
                          <w:rFonts w:cstheme="minorHAnsi"/>
                          <w:color w:val="767171" w:themeColor="background2" w:themeShade="80"/>
                          <w:szCs w:val="22"/>
                        </w:rPr>
                        <w:t>Total</w:t>
                      </w:r>
                    </w:p>
                  </w:tc>
                  <w:tc>
                    <w:tcPr>
                      <w:tcW w:w="3149" w:type="dxa"/>
                      <w:tcBorders>
                        <w:top w:val="single" w:sz="4" w:space="0" w:color="AEAAAA"/>
                        <w:left w:val="single" w:sz="4" w:space="0" w:color="D0CECE"/>
                        <w:bottom w:val="single" w:sz="4" w:space="0" w:color="AEAAAA"/>
                      </w:tcBorders>
                      <w:shd w:val="clear" w:color="auto" w:fill="F2F2F2" w:themeFill="background1" w:themeFillShade="F2"/>
                      <w:vAlign w:val="center"/>
                    </w:tcPr>
                    <w:p w14:paraId="4A0F8A7E" w14:textId="77777777" w:rsidR="004034EA" w:rsidRPr="005264A3" w:rsidRDefault="00D310E2" w:rsidP="00913498">
                      <w:pPr>
                        <w:ind w:left="86"/>
                        <w:jc w:val="right"/>
                        <w:rPr>
                          <w:rFonts w:cstheme="minorHAnsi"/>
                          <w:color w:val="767171" w:themeColor="background2" w:themeShade="80"/>
                          <w:szCs w:val="22"/>
                        </w:rPr>
                      </w:pPr>
                      <w:r>
                        <w:rPr>
                          <w:rFonts w:cstheme="minorHAnsi"/>
                          <w:noProof/>
                          <w:szCs w:val="22"/>
                        </w:rPr>
                        <w:t>111.67</w:t>
                      </w:r>
                    </w:p>
                  </w:tc>
                  <w:tc>
                    <w:tcPr>
                      <w:tcW w:w="4230" w:type="dxa"/>
                      <w:tcBorders>
                        <w:top w:val="single" w:sz="4" w:space="0" w:color="AEAAAA"/>
                        <w:left w:val="single" w:sz="4" w:space="0" w:color="D0CECE"/>
                        <w:bottom w:val="single" w:sz="4" w:space="0" w:color="AEAAAA"/>
                      </w:tcBorders>
                      <w:shd w:val="clear" w:color="auto" w:fill="F2F2F2" w:themeFill="background1" w:themeFillShade="F2"/>
                      <w:vAlign w:val="center"/>
                    </w:tcPr>
                    <w:p w14:paraId="5140D73E" w14:textId="77777777" w:rsidR="004034EA" w:rsidRPr="005264A3" w:rsidRDefault="00D310E2" w:rsidP="007368CB">
                      <w:pPr>
                        <w:ind w:left="86" w:right="195"/>
                        <w:jc w:val="right"/>
                        <w:rPr>
                          <w:rFonts w:cstheme="minorHAnsi"/>
                          <w:color w:val="767171" w:themeColor="background2" w:themeShade="80"/>
                          <w:szCs w:val="22"/>
                        </w:rPr>
                      </w:pPr>
                      <w:r>
                        <w:rPr>
                          <w:rFonts w:cstheme="minorHAnsi"/>
                          <w:noProof/>
                          <w:szCs w:val="22"/>
                        </w:rPr>
                        <w:t>1,167,273.02</w:t>
                      </w:r>
                    </w:p>
                  </w:tc>
                </w:tr>
              </w:tbl>
              <w:bookmarkEnd w:id="30"/>
              <w:p w14:paraId="51214D70" w14:textId="77777777" w:rsidR="00BC5924" w:rsidRDefault="00D310E2" w:rsidP="004034EA">
                <w:pPr>
                  <w:tabs>
                    <w:tab w:val="left" w:pos="1230"/>
                  </w:tabs>
                  <w:spacing w:line="288" w:lineRule="auto"/>
                  <w:ind w:right="29"/>
                  <w:rPr>
                    <w:rFonts w:ascii="Calibri" w:eastAsia="Times New Roman" w:hAnsi="Calibri" w:cs="Times New Roman"/>
                    <w:sz w:val="21"/>
                  </w:rPr>
                </w:pPr>
                <w:r w:rsidRPr="00BC5924">
                  <w:rPr>
                    <w:rFonts w:ascii="Calibri" w:eastAsia="Times New Roman" w:hAnsi="Calibri" w:cs="Times New Roman"/>
                    <w:sz w:val="21"/>
                  </w:rPr>
                  <w:tab/>
                </w:r>
              </w:p>
              <w:p w14:paraId="05A4966F" w14:textId="77777777" w:rsidR="00C772E9" w:rsidRDefault="00000000" w:rsidP="004034EA">
                <w:pPr>
                  <w:tabs>
                    <w:tab w:val="left" w:pos="1230"/>
                  </w:tabs>
                  <w:spacing w:line="288" w:lineRule="auto"/>
                  <w:ind w:right="29"/>
                  <w:rPr>
                    <w:rFonts w:ascii="Calibri" w:eastAsia="Times New Roman" w:hAnsi="Calibri" w:cs="Times New Roman"/>
                    <w:sz w:val="21"/>
                  </w:rPr>
                </w:pPr>
              </w:p>
            </w:tc>
          </w:tr>
        </w:tbl>
      </w:sdtContent>
    </w:sdt>
    <w:p w14:paraId="2CEA344E" w14:textId="77777777" w:rsidR="005264A3" w:rsidRDefault="005264A3" w:rsidP="003B75BA">
      <w:pPr>
        <w:spacing w:line="259" w:lineRule="auto"/>
        <w:rPr>
          <w:rFonts w:ascii="Calibri" w:eastAsia="Calibri" w:hAnsi="Calibri" w:cs="Times New Roman"/>
          <w:szCs w:val="22"/>
        </w:rPr>
      </w:pPr>
    </w:p>
    <w:p w14:paraId="2FE56F73" w14:textId="77777777" w:rsidR="004034EA" w:rsidRDefault="00D310E2" w:rsidP="003B75BA">
      <w:pPr>
        <w:spacing w:line="259" w:lineRule="auto"/>
        <w:rPr>
          <w:rFonts w:ascii="Calibri" w:eastAsia="Calibri" w:hAnsi="Calibri" w:cs="Times New Roman"/>
          <w:szCs w:val="22"/>
        </w:rPr>
      </w:pPr>
      <w:r>
        <w:rPr>
          <w:rFonts w:ascii="Calibri" w:eastAsia="Calibri" w:hAnsi="Calibri" w:cs="Times New Roman"/>
          <w:szCs w:val="22"/>
        </w:rPr>
        <w:tab/>
      </w:r>
    </w:p>
    <w:p w14:paraId="0FF163D3" w14:textId="77777777" w:rsidR="004034EA" w:rsidRDefault="004034EA" w:rsidP="003B75BA">
      <w:pPr>
        <w:spacing w:line="259" w:lineRule="auto"/>
        <w:rPr>
          <w:rFonts w:ascii="Calibri" w:eastAsia="Calibri" w:hAnsi="Calibri" w:cs="Times New Roman"/>
          <w:szCs w:val="22"/>
        </w:rPr>
      </w:pPr>
    </w:p>
    <w:p w14:paraId="3A8F4F59" w14:textId="77777777" w:rsidR="005264A3" w:rsidRDefault="005264A3" w:rsidP="003B75BA">
      <w:pPr>
        <w:spacing w:line="259" w:lineRule="auto"/>
        <w:rPr>
          <w:rFonts w:ascii="Calibri" w:eastAsia="Calibri" w:hAnsi="Calibri" w:cs="Times New Roman"/>
          <w:szCs w:val="22"/>
        </w:rPr>
      </w:pPr>
    </w:p>
    <w:p w14:paraId="011B494B" w14:textId="1CBDAF9B" w:rsidR="005E793E" w:rsidRDefault="00D310E2" w:rsidP="0072486E">
      <w:pPr>
        <w:spacing w:line="259" w:lineRule="auto"/>
        <w:rPr>
          <w:noProof/>
        </w:rPr>
      </w:pPr>
      <w:r>
        <w:rPr>
          <w:rFonts w:ascii="Calibri" w:eastAsia="Calibri" w:hAnsi="Calibri" w:cs="Times New Roman"/>
          <w:szCs w:val="22"/>
        </w:rPr>
        <w:tab/>
      </w:r>
    </w:p>
    <w:p w14:paraId="0ED76CBC" w14:textId="77777777" w:rsidR="005E793E" w:rsidRDefault="005E793E" w:rsidP="0087351A">
      <w:pPr>
        <w:pStyle w:val="Normal4"/>
        <w:spacing w:after="0" w:line="240" w:lineRule="auto"/>
        <w:ind w:left="29" w:right="-58"/>
        <w:sectPr w:rsidR="005E793E" w:rsidSect="00F70582">
          <w:headerReference w:type="default" r:id="rId22"/>
          <w:footerReference w:type="default" r:id="rId23"/>
          <w:pgSz w:w="12240" w:h="15840" w:code="1"/>
          <w:pgMar w:top="1440" w:right="720" w:bottom="1440" w:left="720" w:header="720" w:footer="720" w:gutter="0"/>
          <w:cols w:space="720"/>
          <w:docGrid w:linePitch="286"/>
        </w:sect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ook w:val="04A0" w:firstRow="1" w:lastRow="0" w:firstColumn="1" w:lastColumn="0" w:noHBand="0" w:noVBand="1"/>
      </w:tblPr>
      <w:tblGrid>
        <w:gridCol w:w="11070"/>
      </w:tblGrid>
      <w:tr w:rsidR="00DD6229" w14:paraId="4FEEF8C0" w14:textId="77777777" w:rsidTr="00646A70">
        <w:trPr>
          <w:trHeight w:val="403"/>
        </w:trPr>
        <w:tc>
          <w:tcPr>
            <w:tcW w:w="11070" w:type="dxa"/>
            <w:shd w:val="clear" w:color="auto" w:fill="F2F7FC"/>
            <w:vAlign w:val="center"/>
          </w:tcPr>
          <w:p w14:paraId="79731B65" w14:textId="77777777" w:rsidR="00CD361A" w:rsidRPr="00CD361A" w:rsidRDefault="00D310E2" w:rsidP="00EB48E0">
            <w:pPr>
              <w:pStyle w:val="Heading3"/>
              <w:rPr>
                <w:rFonts w:eastAsia="Times New Roman"/>
              </w:rPr>
            </w:pPr>
            <w:bookmarkStart w:id="31" w:name="_Toc78351313"/>
            <w:bookmarkStart w:id="32" w:name="_Toc198922302"/>
            <w:r w:rsidRPr="00E06385">
              <w:rPr>
                <w:rFonts w:eastAsia="Times New Roman"/>
              </w:rPr>
              <w:lastRenderedPageBreak/>
              <w:t xml:space="preserve">ANNEX </w:t>
            </w:r>
            <w:r w:rsidR="0062118D">
              <w:rPr>
                <w:rFonts w:eastAsia="Times New Roman"/>
                <w:noProof/>
              </w:rPr>
              <w:t>3</w:t>
            </w:r>
            <w:r w:rsidRPr="00E06385">
              <w:rPr>
                <w:rFonts w:eastAsia="Times New Roman"/>
              </w:rPr>
              <w:t>. PROJECT COST BY COMPONENT</w:t>
            </w:r>
            <w:bookmarkEnd w:id="31"/>
            <w:bookmarkEnd w:id="32"/>
          </w:p>
        </w:tc>
      </w:tr>
    </w:tbl>
    <w:p w14:paraId="1DC9B425" w14:textId="77777777" w:rsidR="003A7006" w:rsidRDefault="003A7006" w:rsidP="00CD361A"/>
    <w:p w14:paraId="41C22676" w14:textId="77777777" w:rsidR="00402DA5" w:rsidRPr="00402DA5" w:rsidRDefault="00402DA5" w:rsidP="00402DA5">
      <w:pPr>
        <w:spacing w:line="259" w:lineRule="auto"/>
        <w:rPr>
          <w:rFonts w:ascii="Calibri" w:eastAsia="Calibri" w:hAnsi="Calibri" w:cs="Times New Roman"/>
          <w:szCs w:val="22"/>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ayout w:type="fixed"/>
        <w:tblLook w:val="04A0" w:firstRow="1" w:lastRow="0" w:firstColumn="1" w:lastColumn="0" w:noHBand="0" w:noVBand="1"/>
      </w:tblPr>
      <w:tblGrid>
        <w:gridCol w:w="10980"/>
      </w:tblGrid>
      <w:tr w:rsidR="00DD6229" w14:paraId="74CBFAD2" w14:textId="77777777" w:rsidTr="00D60615">
        <w:trPr>
          <w:trHeight w:val="403"/>
        </w:trPr>
        <w:tc>
          <w:tcPr>
            <w:tcW w:w="10980" w:type="dxa"/>
            <w:shd w:val="clear" w:color="auto" w:fill="auto"/>
            <w:tcMar>
              <w:left w:w="0" w:type="dxa"/>
              <w:right w:w="0" w:type="dxa"/>
            </w:tcMar>
            <w:vAlign w:val="center"/>
          </w:tcPr>
          <w:tbl>
            <w:tblPr>
              <w:tblStyle w:val="TableGrid161"/>
              <w:tblW w:w="5000" w:type="pct"/>
              <w:shd w:val="clear" w:color="auto" w:fill="F7F7F7"/>
              <w:tblLayout w:type="fixed"/>
              <w:tblCellMar>
                <w:left w:w="0" w:type="dxa"/>
                <w:right w:w="0" w:type="dxa"/>
              </w:tblCellMar>
              <w:tblLook w:val="05E0" w:firstRow="1" w:lastRow="1" w:firstColumn="1" w:lastColumn="1" w:noHBand="0" w:noVBand="1"/>
            </w:tblPr>
            <w:tblGrid>
              <w:gridCol w:w="3635"/>
              <w:gridCol w:w="3379"/>
              <w:gridCol w:w="3966"/>
            </w:tblGrid>
            <w:tr w:rsidR="00DD6229" w14:paraId="11691EE4" w14:textId="77777777">
              <w:trPr>
                <w:trHeight w:val="394"/>
              </w:trPr>
              <w:tc>
                <w:tcPr>
                  <w:tcW w:w="3874" w:type="dxa"/>
                  <w:tcBorders>
                    <w:bottom w:val="single" w:sz="8" w:space="0" w:color="D0CECE"/>
                    <w:right w:val="single" w:sz="8" w:space="0" w:color="D0CECE"/>
                  </w:tcBorders>
                  <w:tcMar>
                    <w:top w:w="0" w:type="dxa"/>
                    <w:left w:w="120" w:type="dxa"/>
                    <w:bottom w:w="0" w:type="dxa"/>
                    <w:right w:w="125" w:type="dxa"/>
                  </w:tcMar>
                  <w:vAlign w:val="center"/>
                  <w:hideMark/>
                </w:tcPr>
                <w:p w14:paraId="504A6039"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bookmarkStart w:id="33" w:name="_Hlk78994478_5"/>
                  <w:r w:rsidRPr="00567DED">
                    <w:rPr>
                      <w:rFonts w:asciiTheme="minorHAnsi" w:hAnsiTheme="minorHAnsi" w:cstheme="minorHAnsi"/>
                      <w:b/>
                      <w:bCs/>
                      <w:color w:val="767171" w:themeColor="background2" w:themeShade="80"/>
                      <w:sz w:val="22"/>
                    </w:rPr>
                    <w:t>Component</w:t>
                  </w:r>
                </w:p>
              </w:tc>
              <w:tc>
                <w:tcPr>
                  <w:tcW w:w="3600" w:type="dxa"/>
                  <w:tcBorders>
                    <w:bottom w:val="single" w:sz="8" w:space="0" w:color="D0CECE"/>
                  </w:tcBorders>
                  <w:tcMar>
                    <w:top w:w="0" w:type="dxa"/>
                    <w:left w:w="120" w:type="dxa"/>
                    <w:bottom w:w="0" w:type="dxa"/>
                    <w:right w:w="120" w:type="dxa"/>
                  </w:tcMar>
                  <w:vAlign w:val="center"/>
                  <w:hideMark/>
                </w:tcPr>
                <w:p w14:paraId="505A3F00"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r w:rsidRPr="00567DED">
                    <w:rPr>
                      <w:rFonts w:asciiTheme="minorHAnsi" w:hAnsiTheme="minorHAnsi" w:cstheme="minorHAnsi"/>
                      <w:b/>
                      <w:bCs/>
                      <w:color w:val="767171" w:themeColor="background2" w:themeShade="80"/>
                      <w:sz w:val="22"/>
                    </w:rPr>
                    <w:t>Amount at Approval (US$M)</w:t>
                  </w:r>
                </w:p>
              </w:tc>
              <w:tc>
                <w:tcPr>
                  <w:tcW w:w="4228" w:type="dxa"/>
                  <w:tcBorders>
                    <w:left w:val="single" w:sz="8" w:space="0" w:color="D0CECE"/>
                    <w:bottom w:val="single" w:sz="8" w:space="0" w:color="D0CECE"/>
                  </w:tcBorders>
                  <w:tcMar>
                    <w:top w:w="0" w:type="dxa"/>
                    <w:left w:w="125" w:type="dxa"/>
                    <w:bottom w:w="0" w:type="dxa"/>
                    <w:right w:w="120" w:type="dxa"/>
                  </w:tcMar>
                  <w:vAlign w:val="center"/>
                  <w:hideMark/>
                </w:tcPr>
                <w:p w14:paraId="312FCA1A"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r w:rsidRPr="00567DED">
                    <w:rPr>
                      <w:rFonts w:asciiTheme="minorHAnsi" w:hAnsiTheme="minorHAnsi" w:cstheme="minorHAnsi"/>
                      <w:b/>
                      <w:bCs/>
                      <w:color w:val="767171" w:themeColor="background2" w:themeShade="80"/>
                      <w:sz w:val="22"/>
                    </w:rPr>
                    <w:t>Actual at Project Closing (US$M)</w:t>
                  </w:r>
                </w:p>
              </w:tc>
            </w:tr>
            <w:tr w:rsidR="00DD6229" w14:paraId="7511EE7C" w14:textId="77777777">
              <w:trPr>
                <w:trHeight w:val="394"/>
              </w:trPr>
              <w:tc>
                <w:tcPr>
                  <w:tcW w:w="3874" w:type="dxa"/>
                  <w:tcBorders>
                    <w:bottom w:val="single" w:sz="8" w:space="0" w:color="D0CECE"/>
                    <w:right w:val="single" w:sz="8" w:space="0" w:color="D0CECE"/>
                  </w:tcBorders>
                  <w:tcMar>
                    <w:top w:w="0" w:type="dxa"/>
                    <w:left w:w="120" w:type="dxa"/>
                    <w:bottom w:w="0" w:type="dxa"/>
                    <w:right w:w="125" w:type="dxa"/>
                  </w:tcMar>
                  <w:vAlign w:val="center"/>
                  <w:hideMark/>
                </w:tcPr>
                <w:p w14:paraId="08D2C355"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Conditional cash transfer program for secondary school enrolment and attendance</w:t>
                  </w:r>
                </w:p>
              </w:tc>
              <w:tc>
                <w:tcPr>
                  <w:tcW w:w="3600" w:type="dxa"/>
                  <w:tcBorders>
                    <w:bottom w:val="single" w:sz="8" w:space="0" w:color="D0CECE"/>
                  </w:tcBorders>
                  <w:tcMar>
                    <w:top w:w="0" w:type="dxa"/>
                    <w:left w:w="120" w:type="dxa"/>
                    <w:bottom w:w="0" w:type="dxa"/>
                    <w:right w:w="120" w:type="dxa"/>
                  </w:tcMar>
                  <w:vAlign w:val="center"/>
                  <w:hideMark/>
                </w:tcPr>
                <w:p w14:paraId="189C57B1" w14:textId="77777777" w:rsidR="00DD6229" w:rsidRPr="00567DED" w:rsidRDefault="00D310E2" w:rsidP="00D60615">
                  <w:pPr>
                    <w:pStyle w:val="MsoNormal0"/>
                    <w:ind w:left="86"/>
                    <w:jc w:val="right"/>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7.3</w:t>
                  </w:r>
                </w:p>
              </w:tc>
              <w:tc>
                <w:tcPr>
                  <w:tcW w:w="4228" w:type="dxa"/>
                  <w:tcBorders>
                    <w:left w:val="single" w:sz="8" w:space="0" w:color="D0CECE"/>
                    <w:bottom w:val="single" w:sz="8" w:space="0" w:color="D0CECE"/>
                  </w:tcBorders>
                  <w:tcMar>
                    <w:top w:w="0" w:type="dxa"/>
                    <w:left w:w="125" w:type="dxa"/>
                    <w:bottom w:w="0" w:type="dxa"/>
                    <w:right w:w="120" w:type="dxa"/>
                  </w:tcMar>
                  <w:vAlign w:val="center"/>
                  <w:hideMark/>
                </w:tcPr>
                <w:p w14:paraId="40DCE38A" w14:textId="6414BCEE" w:rsidR="00DD6229" w:rsidRPr="00567DED" w:rsidRDefault="00F720A7" w:rsidP="00D60615">
                  <w:pPr>
                    <w:pStyle w:val="MsoNormal0"/>
                    <w:ind w:left="86"/>
                    <w:jc w:val="right"/>
                    <w:rPr>
                      <w:rFonts w:asciiTheme="minorHAnsi" w:hAnsiTheme="minorHAnsi" w:cstheme="minorHAnsi"/>
                      <w:color w:val="767171" w:themeColor="background2" w:themeShade="80"/>
                      <w:sz w:val="22"/>
                    </w:rPr>
                  </w:pPr>
                  <w:r>
                    <w:rPr>
                      <w:rFonts w:asciiTheme="minorHAnsi" w:hAnsiTheme="minorHAnsi" w:cstheme="minorHAnsi"/>
                      <w:color w:val="767171" w:themeColor="background2" w:themeShade="80"/>
                      <w:sz w:val="22"/>
                    </w:rPr>
                    <w:t>7.59</w:t>
                  </w:r>
                  <w:r w:rsidR="00D310E2" w:rsidRPr="00567DED">
                    <w:rPr>
                      <w:rFonts w:asciiTheme="minorHAnsi" w:hAnsiTheme="minorHAnsi" w:cstheme="minorHAnsi"/>
                      <w:color w:val="767171" w:themeColor="background2" w:themeShade="80"/>
                      <w:sz w:val="22"/>
                    </w:rPr>
                    <w:t> </w:t>
                  </w:r>
                </w:p>
              </w:tc>
            </w:tr>
            <w:tr w:rsidR="00DD6229" w14:paraId="4F8F6596" w14:textId="77777777">
              <w:trPr>
                <w:trHeight w:val="394"/>
              </w:trPr>
              <w:tc>
                <w:tcPr>
                  <w:tcW w:w="3874" w:type="dxa"/>
                  <w:tcBorders>
                    <w:bottom w:val="single" w:sz="8" w:space="0" w:color="D0CECE"/>
                    <w:right w:val="single" w:sz="8" w:space="0" w:color="D0CECE"/>
                  </w:tcBorders>
                  <w:tcMar>
                    <w:top w:w="0" w:type="dxa"/>
                    <w:left w:w="120" w:type="dxa"/>
                    <w:bottom w:w="0" w:type="dxa"/>
                    <w:right w:w="125" w:type="dxa"/>
                  </w:tcMar>
                  <w:vAlign w:val="center"/>
                  <w:hideMark/>
                </w:tcPr>
                <w:p w14:paraId="4BF70495"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Strengthening TVET provision</w:t>
                  </w:r>
                </w:p>
              </w:tc>
              <w:tc>
                <w:tcPr>
                  <w:tcW w:w="3600" w:type="dxa"/>
                  <w:tcBorders>
                    <w:bottom w:val="single" w:sz="8" w:space="0" w:color="D0CECE"/>
                  </w:tcBorders>
                  <w:tcMar>
                    <w:top w:w="0" w:type="dxa"/>
                    <w:left w:w="120" w:type="dxa"/>
                    <w:bottom w:w="0" w:type="dxa"/>
                    <w:right w:w="120" w:type="dxa"/>
                  </w:tcMar>
                  <w:vAlign w:val="center"/>
                  <w:hideMark/>
                </w:tcPr>
                <w:p w14:paraId="5E779395" w14:textId="77777777" w:rsidR="00DD6229" w:rsidRPr="00567DED" w:rsidRDefault="00D310E2" w:rsidP="00D60615">
                  <w:pPr>
                    <w:pStyle w:val="MsoNormal0"/>
                    <w:ind w:left="86"/>
                    <w:jc w:val="right"/>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3.8</w:t>
                  </w:r>
                </w:p>
              </w:tc>
              <w:tc>
                <w:tcPr>
                  <w:tcW w:w="4228" w:type="dxa"/>
                  <w:tcBorders>
                    <w:left w:val="single" w:sz="8" w:space="0" w:color="D0CECE"/>
                    <w:bottom w:val="single" w:sz="8" w:space="0" w:color="D0CECE"/>
                  </w:tcBorders>
                  <w:tcMar>
                    <w:top w:w="0" w:type="dxa"/>
                    <w:left w:w="125" w:type="dxa"/>
                    <w:bottom w:w="0" w:type="dxa"/>
                    <w:right w:w="120" w:type="dxa"/>
                  </w:tcMar>
                  <w:vAlign w:val="center"/>
                  <w:hideMark/>
                </w:tcPr>
                <w:p w14:paraId="2C659199" w14:textId="43FAF78D" w:rsidR="00DD6229" w:rsidRPr="00567DED" w:rsidRDefault="00014E44" w:rsidP="00D60615">
                  <w:pPr>
                    <w:pStyle w:val="MsoNormal0"/>
                    <w:ind w:left="86"/>
                    <w:jc w:val="right"/>
                    <w:rPr>
                      <w:rFonts w:asciiTheme="minorHAnsi" w:hAnsiTheme="minorHAnsi" w:cstheme="minorHAnsi"/>
                      <w:color w:val="767171" w:themeColor="background2" w:themeShade="80"/>
                      <w:sz w:val="22"/>
                    </w:rPr>
                  </w:pPr>
                  <w:r>
                    <w:rPr>
                      <w:rFonts w:asciiTheme="minorHAnsi" w:hAnsiTheme="minorHAnsi" w:cstheme="minorHAnsi"/>
                      <w:color w:val="767171" w:themeColor="background2" w:themeShade="80"/>
                      <w:sz w:val="22"/>
                    </w:rPr>
                    <w:t>3.95</w:t>
                  </w:r>
                  <w:r w:rsidR="00D310E2" w:rsidRPr="00567DED">
                    <w:rPr>
                      <w:rFonts w:asciiTheme="minorHAnsi" w:hAnsiTheme="minorHAnsi" w:cstheme="minorHAnsi"/>
                      <w:color w:val="767171" w:themeColor="background2" w:themeShade="80"/>
                      <w:sz w:val="22"/>
                    </w:rPr>
                    <w:t> </w:t>
                  </w:r>
                </w:p>
              </w:tc>
            </w:tr>
            <w:tr w:rsidR="00DD6229" w14:paraId="0F633BD0" w14:textId="77777777">
              <w:trPr>
                <w:trHeight w:val="394"/>
              </w:trPr>
              <w:tc>
                <w:tcPr>
                  <w:tcW w:w="3874" w:type="dxa"/>
                  <w:tcBorders>
                    <w:bottom w:val="single" w:sz="8" w:space="0" w:color="D0CECE"/>
                    <w:right w:val="single" w:sz="8" w:space="0" w:color="D0CECE"/>
                  </w:tcBorders>
                  <w:tcMar>
                    <w:top w:w="0" w:type="dxa"/>
                    <w:left w:w="120" w:type="dxa"/>
                    <w:bottom w:w="0" w:type="dxa"/>
                    <w:right w:w="125" w:type="dxa"/>
                  </w:tcMar>
                  <w:vAlign w:val="center"/>
                  <w:hideMark/>
                </w:tcPr>
                <w:p w14:paraId="4B38FE83"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Enhancing opportunities for labor migration</w:t>
                  </w:r>
                </w:p>
              </w:tc>
              <w:tc>
                <w:tcPr>
                  <w:tcW w:w="3600" w:type="dxa"/>
                  <w:tcBorders>
                    <w:bottom w:val="single" w:sz="8" w:space="0" w:color="D0CECE"/>
                  </w:tcBorders>
                  <w:tcMar>
                    <w:top w:w="0" w:type="dxa"/>
                    <w:left w:w="120" w:type="dxa"/>
                    <w:bottom w:w="0" w:type="dxa"/>
                    <w:right w:w="120" w:type="dxa"/>
                  </w:tcMar>
                  <w:vAlign w:val="center"/>
                  <w:hideMark/>
                </w:tcPr>
                <w:p w14:paraId="6488CB51" w14:textId="77777777" w:rsidR="00DD6229" w:rsidRPr="00567DED" w:rsidRDefault="00D310E2" w:rsidP="00D60615">
                  <w:pPr>
                    <w:pStyle w:val="MsoNormal0"/>
                    <w:ind w:left="86"/>
                    <w:jc w:val="right"/>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1.3</w:t>
                  </w:r>
                </w:p>
              </w:tc>
              <w:tc>
                <w:tcPr>
                  <w:tcW w:w="4228" w:type="dxa"/>
                  <w:tcBorders>
                    <w:left w:val="single" w:sz="8" w:space="0" w:color="D0CECE"/>
                    <w:bottom w:val="single" w:sz="8" w:space="0" w:color="D0CECE"/>
                  </w:tcBorders>
                  <w:tcMar>
                    <w:top w:w="0" w:type="dxa"/>
                    <w:left w:w="125" w:type="dxa"/>
                    <w:bottom w:w="0" w:type="dxa"/>
                    <w:right w:w="120" w:type="dxa"/>
                  </w:tcMar>
                  <w:vAlign w:val="center"/>
                  <w:hideMark/>
                </w:tcPr>
                <w:p w14:paraId="6EECD98F" w14:textId="1C505CB3" w:rsidR="00DD6229" w:rsidRPr="00567DED" w:rsidRDefault="00014E44" w:rsidP="00D60615">
                  <w:pPr>
                    <w:pStyle w:val="MsoNormal0"/>
                    <w:ind w:left="86"/>
                    <w:jc w:val="right"/>
                    <w:rPr>
                      <w:rFonts w:asciiTheme="minorHAnsi" w:hAnsiTheme="minorHAnsi" w:cstheme="minorHAnsi"/>
                      <w:color w:val="767171" w:themeColor="background2" w:themeShade="80"/>
                      <w:sz w:val="22"/>
                    </w:rPr>
                  </w:pPr>
                  <w:r>
                    <w:rPr>
                      <w:rFonts w:asciiTheme="minorHAnsi" w:hAnsiTheme="minorHAnsi" w:cstheme="minorHAnsi"/>
                      <w:color w:val="767171" w:themeColor="background2" w:themeShade="80"/>
                      <w:sz w:val="22"/>
                    </w:rPr>
                    <w:t>1.31</w:t>
                  </w:r>
                  <w:r w:rsidR="00D310E2" w:rsidRPr="00567DED">
                    <w:rPr>
                      <w:rFonts w:asciiTheme="minorHAnsi" w:hAnsiTheme="minorHAnsi" w:cstheme="minorHAnsi"/>
                      <w:color w:val="767171" w:themeColor="background2" w:themeShade="80"/>
                      <w:sz w:val="22"/>
                    </w:rPr>
                    <w:t> </w:t>
                  </w:r>
                </w:p>
              </w:tc>
            </w:tr>
            <w:tr w:rsidR="00DD6229" w14:paraId="3A7CB094" w14:textId="77777777">
              <w:trPr>
                <w:trHeight w:val="394"/>
              </w:trPr>
              <w:tc>
                <w:tcPr>
                  <w:tcW w:w="3874" w:type="dxa"/>
                  <w:tcBorders>
                    <w:bottom w:val="single" w:sz="8" w:space="0" w:color="D0CECE"/>
                    <w:right w:val="single" w:sz="8" w:space="0" w:color="D0CECE"/>
                  </w:tcBorders>
                  <w:tcMar>
                    <w:top w:w="0" w:type="dxa"/>
                    <w:left w:w="120" w:type="dxa"/>
                    <w:bottom w:w="0" w:type="dxa"/>
                    <w:right w:w="125" w:type="dxa"/>
                  </w:tcMar>
                  <w:vAlign w:val="center"/>
                  <w:hideMark/>
                </w:tcPr>
                <w:p w14:paraId="6CFA4D96" w14:textId="77777777" w:rsidR="00DD6229" w:rsidRPr="00567DED" w:rsidRDefault="00D310E2" w:rsidP="00D60615">
                  <w:pPr>
                    <w:pStyle w:val="MsoNormal0"/>
                    <w:ind w:left="86"/>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Project management, monitoring and evaluation, and centralized support</w:t>
                  </w:r>
                </w:p>
              </w:tc>
              <w:tc>
                <w:tcPr>
                  <w:tcW w:w="3600" w:type="dxa"/>
                  <w:tcBorders>
                    <w:bottom w:val="single" w:sz="8" w:space="0" w:color="D0CECE"/>
                  </w:tcBorders>
                  <w:tcMar>
                    <w:top w:w="0" w:type="dxa"/>
                    <w:left w:w="120" w:type="dxa"/>
                    <w:bottom w:w="0" w:type="dxa"/>
                    <w:right w:w="120" w:type="dxa"/>
                  </w:tcMar>
                  <w:vAlign w:val="center"/>
                  <w:hideMark/>
                </w:tcPr>
                <w:p w14:paraId="597F6814" w14:textId="77777777" w:rsidR="00DD6229" w:rsidRPr="00567DED" w:rsidRDefault="00D310E2" w:rsidP="00D60615">
                  <w:pPr>
                    <w:pStyle w:val="MsoNormal0"/>
                    <w:ind w:left="86"/>
                    <w:jc w:val="right"/>
                    <w:rPr>
                      <w:rFonts w:asciiTheme="minorHAnsi" w:hAnsiTheme="minorHAnsi" w:cstheme="minorHAnsi"/>
                      <w:color w:val="767171" w:themeColor="background2" w:themeShade="80"/>
                      <w:sz w:val="22"/>
                    </w:rPr>
                  </w:pPr>
                  <w:r w:rsidRPr="00567DED">
                    <w:rPr>
                      <w:rFonts w:asciiTheme="minorHAnsi" w:hAnsiTheme="minorHAnsi" w:cstheme="minorHAnsi"/>
                      <w:color w:val="767171" w:themeColor="background2" w:themeShade="80"/>
                      <w:sz w:val="22"/>
                    </w:rPr>
                    <w:t>7.4</w:t>
                  </w:r>
                </w:p>
              </w:tc>
              <w:tc>
                <w:tcPr>
                  <w:tcW w:w="4228" w:type="dxa"/>
                  <w:tcBorders>
                    <w:left w:val="single" w:sz="8" w:space="0" w:color="D0CECE"/>
                    <w:bottom w:val="single" w:sz="8" w:space="0" w:color="D0CECE"/>
                  </w:tcBorders>
                  <w:tcMar>
                    <w:top w:w="0" w:type="dxa"/>
                    <w:left w:w="125" w:type="dxa"/>
                    <w:bottom w:w="0" w:type="dxa"/>
                    <w:right w:w="120" w:type="dxa"/>
                  </w:tcMar>
                  <w:vAlign w:val="center"/>
                  <w:hideMark/>
                </w:tcPr>
                <w:p w14:paraId="07C8B963" w14:textId="4E49660F" w:rsidR="00DD6229" w:rsidRPr="00567DED" w:rsidRDefault="00004DBA" w:rsidP="00D60615">
                  <w:pPr>
                    <w:pStyle w:val="MsoNormal0"/>
                    <w:ind w:left="86"/>
                    <w:jc w:val="right"/>
                    <w:rPr>
                      <w:rFonts w:asciiTheme="minorHAnsi" w:hAnsiTheme="minorHAnsi" w:cstheme="minorHAnsi"/>
                      <w:color w:val="767171" w:themeColor="background2" w:themeShade="80"/>
                      <w:sz w:val="22"/>
                    </w:rPr>
                  </w:pPr>
                  <w:r>
                    <w:rPr>
                      <w:rFonts w:asciiTheme="minorHAnsi" w:hAnsiTheme="minorHAnsi" w:cstheme="minorHAnsi"/>
                      <w:color w:val="767171" w:themeColor="background2" w:themeShade="80"/>
                      <w:sz w:val="22"/>
                    </w:rPr>
                    <w:t>7.36</w:t>
                  </w:r>
                  <w:r w:rsidR="00D310E2" w:rsidRPr="00567DED">
                    <w:rPr>
                      <w:rFonts w:asciiTheme="minorHAnsi" w:hAnsiTheme="minorHAnsi" w:cstheme="minorHAnsi"/>
                      <w:color w:val="767171" w:themeColor="background2" w:themeShade="80"/>
                      <w:sz w:val="22"/>
                    </w:rPr>
                    <w:t> </w:t>
                  </w:r>
                </w:p>
              </w:tc>
            </w:tr>
          </w:tbl>
          <w:p w14:paraId="5C8EFEA6" w14:textId="77777777" w:rsidR="00F07DCA" w:rsidRPr="00274E7E" w:rsidRDefault="00F07DCA" w:rsidP="00D60615">
            <w:pPr>
              <w:rPr>
                <w:rFonts w:eastAsiaTheme="majorEastAsia" w:cstheme="minorHAnsi"/>
                <w:szCs w:val="22"/>
              </w:rPr>
            </w:pPr>
          </w:p>
        </w:tc>
      </w:tr>
      <w:bookmarkEnd w:id="33"/>
    </w:tbl>
    <w:p w14:paraId="5062464B" w14:textId="77777777" w:rsidR="00402DA5" w:rsidRPr="00402DA5" w:rsidRDefault="00402DA5" w:rsidP="003B75BA">
      <w:pPr>
        <w:spacing w:line="259" w:lineRule="auto"/>
        <w:rPr>
          <w:rFonts w:ascii="Calibri" w:eastAsia="Calibri" w:hAnsi="Calibri" w:cs="Times New Roman"/>
          <w:szCs w:val="22"/>
        </w:rPr>
        <w:sectPr w:rsidR="00402DA5" w:rsidRPr="00402DA5" w:rsidSect="00F70582">
          <w:pgSz w:w="12240" w:h="15840" w:code="1"/>
          <w:pgMar w:top="1440" w:right="720" w:bottom="1440" w:left="720" w:header="720" w:footer="720" w:gutter="0"/>
          <w:cols w:space="720"/>
          <w:docGrid w:linePitch="286"/>
        </w:sect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ook w:val="04A0" w:firstRow="1" w:lastRow="0" w:firstColumn="1" w:lastColumn="0" w:noHBand="0" w:noVBand="1"/>
      </w:tblPr>
      <w:tblGrid>
        <w:gridCol w:w="11070"/>
      </w:tblGrid>
      <w:tr w:rsidR="00DD6229" w14:paraId="6E9DC5CB" w14:textId="77777777" w:rsidTr="00646A70">
        <w:trPr>
          <w:trHeight w:val="403"/>
        </w:trPr>
        <w:tc>
          <w:tcPr>
            <w:tcW w:w="11070" w:type="dxa"/>
            <w:shd w:val="clear" w:color="auto" w:fill="F2F7FC"/>
            <w:vAlign w:val="center"/>
          </w:tcPr>
          <w:p w14:paraId="652F9CC3" w14:textId="77777777" w:rsidR="00CD361A" w:rsidRPr="00CD361A" w:rsidRDefault="00D310E2" w:rsidP="00C7140E">
            <w:pPr>
              <w:pStyle w:val="Heading3"/>
              <w:rPr>
                <w:rFonts w:eastAsia="Times New Roman"/>
              </w:rPr>
            </w:pPr>
            <w:bookmarkStart w:id="34" w:name="_Toc198922303"/>
            <w:r w:rsidRPr="00B20B41">
              <w:rPr>
                <w:rFonts w:eastAsia="Times New Roman"/>
              </w:rPr>
              <w:lastRenderedPageBreak/>
              <w:t>ANNEX 4. EFFICIENCY ANALYSIS</w:t>
            </w:r>
            <w:bookmarkEnd w:id="34"/>
          </w:p>
        </w:tc>
      </w:tr>
    </w:tbl>
    <w:p w14:paraId="35B9FE99" w14:textId="77777777" w:rsidR="00402DA5" w:rsidRPr="005C7B81" w:rsidRDefault="00402DA5" w:rsidP="3C717346">
      <w:pPr>
        <w:spacing w:line="259" w:lineRule="auto"/>
      </w:pPr>
    </w:p>
    <w:p w14:paraId="0B212735" w14:textId="776CC471" w:rsidR="0CFA3535" w:rsidRDefault="0CFA3535" w:rsidP="3C717346">
      <w:pPr>
        <w:tabs>
          <w:tab w:val="left" w:pos="3050"/>
        </w:tabs>
        <w:spacing w:after="160" w:line="276" w:lineRule="auto"/>
        <w:jc w:val="both"/>
        <w:rPr>
          <w:szCs w:val="22"/>
        </w:rPr>
      </w:pPr>
      <w:r w:rsidRPr="3C717346">
        <w:rPr>
          <w:szCs w:val="22"/>
        </w:rPr>
        <w:t xml:space="preserve">The economic analysis was updated using the economic model utilized at the appraisal stage, with updated data on actual realization of program costs and utilization of benefits. For component 1, the initial economic analysis estimated the internal rate of return by estimating expected earnings of those </w:t>
      </w:r>
      <w:r w:rsidR="006635AE">
        <w:rPr>
          <w:szCs w:val="22"/>
        </w:rPr>
        <w:t>targeted</w:t>
      </w:r>
      <w:r w:rsidRPr="3C717346">
        <w:rPr>
          <w:szCs w:val="22"/>
        </w:rPr>
        <w:t xml:space="preserve"> to be supported by the CCT program and receive more education (assuming an inflation </w:t>
      </w:r>
      <w:r w:rsidR="006635AE">
        <w:rPr>
          <w:szCs w:val="22"/>
        </w:rPr>
        <w:t xml:space="preserve">rate </w:t>
      </w:r>
      <w:r w:rsidRPr="3C717346">
        <w:rPr>
          <w:szCs w:val="22"/>
        </w:rPr>
        <w:t xml:space="preserve">of 3 percent) and calculating the present net value over an assumed working period of 40 years, based on the HIES estimate of the average working years in Tonga. For the initial analysis, a Mincer log earnings regression was used to estimate a rate of return to education, using 2009 HIES data. For the ICR, this regression was updated using 2021 HIES data and program costs were updated based on administrative data. This yielded the following results: </w:t>
      </w:r>
    </w:p>
    <w:tbl>
      <w:tblPr>
        <w:tblStyle w:val="TableGrid"/>
        <w:tblW w:w="0" w:type="auto"/>
        <w:tblLayout w:type="fixed"/>
        <w:tblLook w:val="04A0" w:firstRow="1" w:lastRow="0" w:firstColumn="1" w:lastColumn="0" w:noHBand="0" w:noVBand="1"/>
      </w:tblPr>
      <w:tblGrid>
        <w:gridCol w:w="2532"/>
        <w:gridCol w:w="1675"/>
        <w:gridCol w:w="1267"/>
        <w:gridCol w:w="1089"/>
        <w:gridCol w:w="1477"/>
        <w:gridCol w:w="2760"/>
      </w:tblGrid>
      <w:tr w:rsidR="3C717346" w14:paraId="377E3B87" w14:textId="77777777" w:rsidTr="3C717346">
        <w:trPr>
          <w:trHeight w:val="285"/>
        </w:trPr>
        <w:tc>
          <w:tcPr>
            <w:tcW w:w="2532" w:type="dxa"/>
            <w:tcBorders>
              <w:top w:val="single" w:sz="8" w:space="0" w:color="auto"/>
              <w:left w:val="single" w:sz="8" w:space="0" w:color="auto"/>
              <w:bottom w:val="single" w:sz="8" w:space="0" w:color="auto"/>
              <w:right w:val="single" w:sz="8" w:space="0" w:color="auto"/>
            </w:tcBorders>
            <w:tcMar>
              <w:left w:w="108" w:type="dxa"/>
              <w:right w:w="108" w:type="dxa"/>
            </w:tcMar>
          </w:tcPr>
          <w:p w14:paraId="71A7B89C" w14:textId="73FDEF0F" w:rsidR="3C717346" w:rsidRDefault="3C717346" w:rsidP="3C717346">
            <w:pPr>
              <w:rPr>
                <w:sz w:val="20"/>
                <w:szCs w:val="20"/>
              </w:rPr>
            </w:pPr>
          </w:p>
        </w:tc>
        <w:tc>
          <w:tcPr>
            <w:tcW w:w="1675" w:type="dxa"/>
            <w:tcBorders>
              <w:top w:val="single" w:sz="8" w:space="0" w:color="auto"/>
              <w:left w:val="single" w:sz="8" w:space="0" w:color="auto"/>
              <w:bottom w:val="single" w:sz="8" w:space="0" w:color="auto"/>
              <w:right w:val="single" w:sz="8" w:space="0" w:color="auto"/>
            </w:tcBorders>
            <w:tcMar>
              <w:left w:w="108" w:type="dxa"/>
              <w:right w:w="108" w:type="dxa"/>
            </w:tcMar>
          </w:tcPr>
          <w:p w14:paraId="7BA7B633" w14:textId="175ECA4D" w:rsidR="3C717346" w:rsidRDefault="3C717346" w:rsidP="3C717346">
            <w:pPr>
              <w:jc w:val="both"/>
              <w:rPr>
                <w:color w:val="000000" w:themeColor="text1"/>
                <w:sz w:val="20"/>
                <w:szCs w:val="20"/>
              </w:rPr>
            </w:pPr>
            <w:r w:rsidRPr="3C717346">
              <w:rPr>
                <w:color w:val="000000" w:themeColor="text1"/>
                <w:sz w:val="20"/>
                <w:szCs w:val="20"/>
              </w:rPr>
              <w:t>PV of future cash flows</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76E04F01" w14:textId="37A0A260" w:rsidR="3C717346" w:rsidRDefault="3C717346" w:rsidP="3C717346">
            <w:pPr>
              <w:jc w:val="both"/>
              <w:rPr>
                <w:color w:val="000000" w:themeColor="text1"/>
                <w:sz w:val="20"/>
                <w:szCs w:val="20"/>
              </w:rPr>
            </w:pPr>
            <w:r w:rsidRPr="3C717346">
              <w:rPr>
                <w:color w:val="000000" w:themeColor="text1"/>
                <w:sz w:val="20"/>
                <w:szCs w:val="20"/>
              </w:rPr>
              <w:t>Initial investment</w:t>
            </w:r>
          </w:p>
        </w:tc>
        <w:tc>
          <w:tcPr>
            <w:tcW w:w="1089" w:type="dxa"/>
            <w:tcBorders>
              <w:top w:val="single" w:sz="8" w:space="0" w:color="auto"/>
              <w:left w:val="single" w:sz="8" w:space="0" w:color="auto"/>
              <w:bottom w:val="single" w:sz="8" w:space="0" w:color="auto"/>
              <w:right w:val="single" w:sz="8" w:space="0" w:color="auto"/>
            </w:tcBorders>
            <w:tcMar>
              <w:left w:w="108" w:type="dxa"/>
              <w:right w:w="108" w:type="dxa"/>
            </w:tcMar>
          </w:tcPr>
          <w:p w14:paraId="1E5967BD" w14:textId="439ED30A" w:rsidR="3C717346" w:rsidRDefault="3C717346" w:rsidP="3C717346">
            <w:pPr>
              <w:jc w:val="both"/>
              <w:rPr>
                <w:color w:val="000000" w:themeColor="text1"/>
                <w:sz w:val="20"/>
                <w:szCs w:val="20"/>
              </w:rPr>
            </w:pPr>
            <w:r w:rsidRPr="3C717346">
              <w:rPr>
                <w:color w:val="000000" w:themeColor="text1"/>
                <w:sz w:val="20"/>
                <w:szCs w:val="20"/>
              </w:rPr>
              <w:t>NPV</w:t>
            </w:r>
          </w:p>
        </w:tc>
        <w:tc>
          <w:tcPr>
            <w:tcW w:w="1477" w:type="dxa"/>
            <w:tcBorders>
              <w:top w:val="single" w:sz="8" w:space="0" w:color="auto"/>
              <w:left w:val="single" w:sz="8" w:space="0" w:color="auto"/>
              <w:bottom w:val="single" w:sz="8" w:space="0" w:color="auto"/>
              <w:right w:val="single" w:sz="8" w:space="0" w:color="auto"/>
            </w:tcBorders>
            <w:tcMar>
              <w:left w:w="108" w:type="dxa"/>
              <w:right w:w="108" w:type="dxa"/>
            </w:tcMar>
          </w:tcPr>
          <w:p w14:paraId="497F84B7" w14:textId="213C8A97" w:rsidR="3C717346" w:rsidRDefault="3C717346" w:rsidP="3C717346">
            <w:pPr>
              <w:jc w:val="both"/>
              <w:rPr>
                <w:color w:val="000000" w:themeColor="text1"/>
                <w:sz w:val="20"/>
                <w:szCs w:val="20"/>
              </w:rPr>
            </w:pPr>
            <w:r w:rsidRPr="3C717346">
              <w:rPr>
                <w:color w:val="000000" w:themeColor="text1"/>
                <w:sz w:val="20"/>
                <w:szCs w:val="20"/>
              </w:rPr>
              <w:t>Benefit to cost Ratio</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5804CA79" w14:textId="18D906B7" w:rsidR="3C717346" w:rsidRDefault="3C717346" w:rsidP="3C717346">
            <w:pPr>
              <w:jc w:val="both"/>
              <w:rPr>
                <w:color w:val="000000" w:themeColor="text1"/>
                <w:sz w:val="20"/>
                <w:szCs w:val="20"/>
              </w:rPr>
            </w:pPr>
            <w:r w:rsidRPr="3C717346">
              <w:rPr>
                <w:color w:val="000000" w:themeColor="text1"/>
                <w:sz w:val="20"/>
                <w:szCs w:val="20"/>
              </w:rPr>
              <w:t>Internal Rate of Return</w:t>
            </w:r>
          </w:p>
        </w:tc>
      </w:tr>
      <w:tr w:rsidR="3C717346" w14:paraId="7203BB9B" w14:textId="77777777" w:rsidTr="3C717346">
        <w:trPr>
          <w:trHeight w:val="285"/>
        </w:trPr>
        <w:tc>
          <w:tcPr>
            <w:tcW w:w="2532" w:type="dxa"/>
            <w:tcBorders>
              <w:top w:val="single" w:sz="8" w:space="0" w:color="auto"/>
              <w:left w:val="single" w:sz="8" w:space="0" w:color="auto"/>
              <w:bottom w:val="single" w:sz="8" w:space="0" w:color="auto"/>
              <w:right w:val="single" w:sz="8" w:space="0" w:color="auto"/>
            </w:tcBorders>
            <w:tcMar>
              <w:left w:w="108" w:type="dxa"/>
              <w:right w:w="108" w:type="dxa"/>
            </w:tcMar>
          </w:tcPr>
          <w:p w14:paraId="73D2C4B1" w14:textId="1FB6DA99" w:rsidR="3C717346" w:rsidRDefault="3C717346" w:rsidP="3C717346">
            <w:pPr>
              <w:jc w:val="both"/>
              <w:rPr>
                <w:color w:val="000000" w:themeColor="text1"/>
                <w:sz w:val="20"/>
                <w:szCs w:val="20"/>
              </w:rPr>
            </w:pPr>
            <w:r w:rsidRPr="3C717346">
              <w:rPr>
                <w:color w:val="000000" w:themeColor="text1"/>
                <w:sz w:val="20"/>
                <w:szCs w:val="20"/>
              </w:rPr>
              <w:t>Additional 3 months of education</w:t>
            </w:r>
          </w:p>
        </w:tc>
        <w:tc>
          <w:tcPr>
            <w:tcW w:w="1675" w:type="dxa"/>
            <w:tcBorders>
              <w:top w:val="single" w:sz="8" w:space="0" w:color="auto"/>
              <w:left w:val="single" w:sz="8" w:space="0" w:color="auto"/>
              <w:bottom w:val="single" w:sz="8" w:space="0" w:color="auto"/>
              <w:right w:val="single" w:sz="8" w:space="0" w:color="auto"/>
            </w:tcBorders>
            <w:tcMar>
              <w:left w:w="108" w:type="dxa"/>
              <w:right w:w="108" w:type="dxa"/>
            </w:tcMar>
          </w:tcPr>
          <w:p w14:paraId="1B2A7120" w14:textId="7F8A5E56" w:rsidR="3C717346" w:rsidRDefault="3C717346" w:rsidP="3C717346">
            <w:pPr>
              <w:jc w:val="both"/>
              <w:rPr>
                <w:color w:val="000000" w:themeColor="text1"/>
                <w:sz w:val="20"/>
                <w:szCs w:val="20"/>
              </w:rPr>
            </w:pPr>
            <w:r w:rsidRPr="3C717346">
              <w:rPr>
                <w:color w:val="000000" w:themeColor="text1"/>
                <w:sz w:val="20"/>
                <w:szCs w:val="20"/>
              </w:rPr>
              <w:t xml:space="preserve">$16,326,990.29 </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53DB1F01" w14:textId="0A893B0D" w:rsidR="3C717346" w:rsidRDefault="3C717346" w:rsidP="3C717346">
            <w:pPr>
              <w:jc w:val="both"/>
              <w:rPr>
                <w:color w:val="000000" w:themeColor="text1"/>
                <w:sz w:val="20"/>
                <w:szCs w:val="20"/>
              </w:rPr>
            </w:pPr>
            <w:r w:rsidRPr="3C717346">
              <w:rPr>
                <w:color w:val="000000" w:themeColor="text1"/>
                <w:sz w:val="20"/>
                <w:szCs w:val="20"/>
              </w:rPr>
              <w:t xml:space="preserve"> $7,590,000 </w:t>
            </w:r>
          </w:p>
        </w:tc>
        <w:tc>
          <w:tcPr>
            <w:tcW w:w="1089" w:type="dxa"/>
            <w:tcBorders>
              <w:top w:val="single" w:sz="8" w:space="0" w:color="auto"/>
              <w:left w:val="single" w:sz="8" w:space="0" w:color="auto"/>
              <w:bottom w:val="single" w:sz="8" w:space="0" w:color="auto"/>
              <w:right w:val="single" w:sz="8" w:space="0" w:color="auto"/>
            </w:tcBorders>
            <w:tcMar>
              <w:left w:w="108" w:type="dxa"/>
              <w:right w:w="108" w:type="dxa"/>
            </w:tcMar>
          </w:tcPr>
          <w:p w14:paraId="6A2DE76A" w14:textId="630D9CF8" w:rsidR="3C717346" w:rsidRDefault="3C717346" w:rsidP="3C717346">
            <w:pPr>
              <w:jc w:val="both"/>
              <w:rPr>
                <w:color w:val="000000" w:themeColor="text1"/>
                <w:sz w:val="20"/>
                <w:szCs w:val="20"/>
              </w:rPr>
            </w:pPr>
            <w:r w:rsidRPr="3C717346">
              <w:rPr>
                <w:color w:val="000000" w:themeColor="text1"/>
                <w:sz w:val="20"/>
                <w:szCs w:val="20"/>
              </w:rPr>
              <w:t xml:space="preserve">$8,736,990 </w:t>
            </w:r>
          </w:p>
        </w:tc>
        <w:tc>
          <w:tcPr>
            <w:tcW w:w="1477" w:type="dxa"/>
            <w:tcBorders>
              <w:top w:val="single" w:sz="8" w:space="0" w:color="auto"/>
              <w:left w:val="single" w:sz="8" w:space="0" w:color="auto"/>
              <w:bottom w:val="single" w:sz="8" w:space="0" w:color="auto"/>
              <w:right w:val="single" w:sz="8" w:space="0" w:color="auto"/>
            </w:tcBorders>
            <w:tcMar>
              <w:left w:w="108" w:type="dxa"/>
              <w:right w:w="108" w:type="dxa"/>
            </w:tcMar>
          </w:tcPr>
          <w:p w14:paraId="41683534" w14:textId="1C8D68A9" w:rsidR="3C717346" w:rsidRDefault="3C717346" w:rsidP="3C717346">
            <w:pPr>
              <w:jc w:val="both"/>
              <w:rPr>
                <w:color w:val="000000" w:themeColor="text1"/>
                <w:sz w:val="20"/>
                <w:szCs w:val="20"/>
              </w:rPr>
            </w:pPr>
            <w:r w:rsidRPr="3C717346">
              <w:rPr>
                <w:color w:val="000000" w:themeColor="text1"/>
                <w:sz w:val="20"/>
                <w:szCs w:val="20"/>
              </w:rPr>
              <w:t>1.28</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3DEB32E7" w14:textId="7A9AD15D" w:rsidR="3C717346" w:rsidRDefault="3C717346" w:rsidP="3C717346">
            <w:pPr>
              <w:jc w:val="both"/>
              <w:rPr>
                <w:color w:val="000000" w:themeColor="text1"/>
                <w:sz w:val="20"/>
                <w:szCs w:val="20"/>
              </w:rPr>
            </w:pPr>
            <w:r w:rsidRPr="3C717346">
              <w:rPr>
                <w:color w:val="000000" w:themeColor="text1"/>
                <w:sz w:val="20"/>
                <w:szCs w:val="20"/>
              </w:rPr>
              <w:t>7.6%</w:t>
            </w:r>
          </w:p>
        </w:tc>
      </w:tr>
      <w:tr w:rsidR="3C717346" w14:paraId="3A71F3FE" w14:textId="77777777" w:rsidTr="3C717346">
        <w:trPr>
          <w:trHeight w:val="285"/>
        </w:trPr>
        <w:tc>
          <w:tcPr>
            <w:tcW w:w="2532" w:type="dxa"/>
            <w:tcBorders>
              <w:top w:val="single" w:sz="8" w:space="0" w:color="auto"/>
              <w:left w:val="single" w:sz="8" w:space="0" w:color="auto"/>
              <w:bottom w:val="single" w:sz="8" w:space="0" w:color="auto"/>
              <w:right w:val="single" w:sz="8" w:space="0" w:color="auto"/>
            </w:tcBorders>
            <w:tcMar>
              <w:left w:w="108" w:type="dxa"/>
              <w:right w:w="108" w:type="dxa"/>
            </w:tcMar>
          </w:tcPr>
          <w:p w14:paraId="442B0B1A" w14:textId="472120F1" w:rsidR="3C717346" w:rsidRDefault="3C717346" w:rsidP="3C717346">
            <w:pPr>
              <w:jc w:val="both"/>
              <w:rPr>
                <w:color w:val="000000" w:themeColor="text1"/>
                <w:sz w:val="20"/>
                <w:szCs w:val="20"/>
              </w:rPr>
            </w:pPr>
            <w:r w:rsidRPr="3C717346">
              <w:rPr>
                <w:color w:val="000000" w:themeColor="text1"/>
                <w:sz w:val="20"/>
                <w:szCs w:val="20"/>
              </w:rPr>
              <w:t>Additional 6 months of education</w:t>
            </w:r>
          </w:p>
        </w:tc>
        <w:tc>
          <w:tcPr>
            <w:tcW w:w="1675" w:type="dxa"/>
            <w:tcBorders>
              <w:top w:val="single" w:sz="8" w:space="0" w:color="auto"/>
              <w:left w:val="single" w:sz="8" w:space="0" w:color="auto"/>
              <w:bottom w:val="single" w:sz="8" w:space="0" w:color="auto"/>
              <w:right w:val="single" w:sz="8" w:space="0" w:color="auto"/>
            </w:tcBorders>
            <w:tcMar>
              <w:left w:w="108" w:type="dxa"/>
              <w:right w:w="108" w:type="dxa"/>
            </w:tcMar>
          </w:tcPr>
          <w:p w14:paraId="3F61303C" w14:textId="7A06E0D9" w:rsidR="3C717346" w:rsidRDefault="3C717346" w:rsidP="3C717346">
            <w:pPr>
              <w:jc w:val="both"/>
              <w:rPr>
                <w:color w:val="000000" w:themeColor="text1"/>
                <w:sz w:val="20"/>
                <w:szCs w:val="20"/>
              </w:rPr>
            </w:pPr>
            <w:r w:rsidRPr="3C717346">
              <w:rPr>
                <w:color w:val="000000" w:themeColor="text1"/>
                <w:sz w:val="20"/>
                <w:szCs w:val="20"/>
              </w:rPr>
              <w:t xml:space="preserve">$32,653,980.58 </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128444C8" w14:textId="46CFA7EB" w:rsidR="3C717346" w:rsidRDefault="3C717346" w:rsidP="3C717346">
            <w:pPr>
              <w:jc w:val="both"/>
              <w:rPr>
                <w:color w:val="000000" w:themeColor="text1"/>
                <w:sz w:val="20"/>
                <w:szCs w:val="20"/>
              </w:rPr>
            </w:pPr>
            <w:r w:rsidRPr="3C717346">
              <w:rPr>
                <w:color w:val="000000" w:themeColor="text1"/>
                <w:sz w:val="20"/>
                <w:szCs w:val="20"/>
              </w:rPr>
              <w:t xml:space="preserve"> $7,590,000 </w:t>
            </w:r>
          </w:p>
        </w:tc>
        <w:tc>
          <w:tcPr>
            <w:tcW w:w="1089" w:type="dxa"/>
            <w:tcBorders>
              <w:top w:val="single" w:sz="8" w:space="0" w:color="auto"/>
              <w:left w:val="single" w:sz="8" w:space="0" w:color="auto"/>
              <w:bottom w:val="single" w:sz="8" w:space="0" w:color="auto"/>
              <w:right w:val="single" w:sz="8" w:space="0" w:color="auto"/>
            </w:tcBorders>
            <w:tcMar>
              <w:left w:w="108" w:type="dxa"/>
              <w:right w:w="108" w:type="dxa"/>
            </w:tcMar>
          </w:tcPr>
          <w:p w14:paraId="62A72A29" w14:textId="1A52778D" w:rsidR="3C717346" w:rsidRDefault="3C717346" w:rsidP="3C717346">
            <w:pPr>
              <w:jc w:val="both"/>
              <w:rPr>
                <w:color w:val="000000" w:themeColor="text1"/>
                <w:sz w:val="20"/>
                <w:szCs w:val="20"/>
              </w:rPr>
            </w:pPr>
            <w:r w:rsidRPr="3C717346">
              <w:rPr>
                <w:color w:val="000000" w:themeColor="text1"/>
                <w:sz w:val="20"/>
                <w:szCs w:val="20"/>
              </w:rPr>
              <w:t xml:space="preserve">$25,063,981 </w:t>
            </w:r>
          </w:p>
        </w:tc>
        <w:tc>
          <w:tcPr>
            <w:tcW w:w="1477" w:type="dxa"/>
            <w:tcBorders>
              <w:top w:val="single" w:sz="8" w:space="0" w:color="auto"/>
              <w:left w:val="single" w:sz="8" w:space="0" w:color="auto"/>
              <w:bottom w:val="single" w:sz="8" w:space="0" w:color="auto"/>
              <w:right w:val="single" w:sz="8" w:space="0" w:color="auto"/>
            </w:tcBorders>
            <w:tcMar>
              <w:left w:w="108" w:type="dxa"/>
              <w:right w:w="108" w:type="dxa"/>
            </w:tcMar>
          </w:tcPr>
          <w:p w14:paraId="1C440575" w14:textId="6DF399B2" w:rsidR="3C717346" w:rsidRDefault="3C717346" w:rsidP="3C717346">
            <w:pPr>
              <w:jc w:val="both"/>
              <w:rPr>
                <w:color w:val="000000" w:themeColor="text1"/>
                <w:sz w:val="20"/>
                <w:szCs w:val="20"/>
              </w:rPr>
            </w:pPr>
            <w:r w:rsidRPr="3C717346">
              <w:rPr>
                <w:color w:val="000000" w:themeColor="text1"/>
                <w:sz w:val="20"/>
                <w:szCs w:val="20"/>
              </w:rPr>
              <w:t>2.56</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3C53B668" w14:textId="0FD150F9" w:rsidR="3C717346" w:rsidRDefault="3C717346" w:rsidP="3C717346">
            <w:pPr>
              <w:jc w:val="both"/>
              <w:rPr>
                <w:color w:val="000000" w:themeColor="text1"/>
                <w:sz w:val="20"/>
                <w:szCs w:val="20"/>
              </w:rPr>
            </w:pPr>
            <w:r w:rsidRPr="3C717346">
              <w:rPr>
                <w:color w:val="000000" w:themeColor="text1"/>
                <w:sz w:val="20"/>
                <w:szCs w:val="20"/>
              </w:rPr>
              <w:t>13.9%</w:t>
            </w:r>
          </w:p>
        </w:tc>
      </w:tr>
      <w:tr w:rsidR="3C717346" w14:paraId="05DF2B9C" w14:textId="77777777" w:rsidTr="3C717346">
        <w:trPr>
          <w:trHeight w:val="285"/>
        </w:trPr>
        <w:tc>
          <w:tcPr>
            <w:tcW w:w="2532" w:type="dxa"/>
            <w:tcBorders>
              <w:top w:val="single" w:sz="8" w:space="0" w:color="auto"/>
              <w:left w:val="single" w:sz="8" w:space="0" w:color="auto"/>
              <w:bottom w:val="single" w:sz="8" w:space="0" w:color="auto"/>
              <w:right w:val="single" w:sz="8" w:space="0" w:color="auto"/>
            </w:tcBorders>
            <w:tcMar>
              <w:left w:w="108" w:type="dxa"/>
              <w:right w:w="108" w:type="dxa"/>
            </w:tcMar>
          </w:tcPr>
          <w:p w14:paraId="2F01691C" w14:textId="26BFC0C2" w:rsidR="3C717346" w:rsidRDefault="3C717346" w:rsidP="3C717346">
            <w:pPr>
              <w:jc w:val="both"/>
              <w:rPr>
                <w:color w:val="000000" w:themeColor="text1"/>
                <w:sz w:val="20"/>
                <w:szCs w:val="20"/>
              </w:rPr>
            </w:pPr>
            <w:r w:rsidRPr="3C717346">
              <w:rPr>
                <w:color w:val="000000" w:themeColor="text1"/>
                <w:sz w:val="20"/>
                <w:szCs w:val="20"/>
              </w:rPr>
              <w:t>Additional 12 months of education</w:t>
            </w:r>
          </w:p>
        </w:tc>
        <w:tc>
          <w:tcPr>
            <w:tcW w:w="1675" w:type="dxa"/>
            <w:tcBorders>
              <w:top w:val="single" w:sz="8" w:space="0" w:color="auto"/>
              <w:left w:val="single" w:sz="8" w:space="0" w:color="auto"/>
              <w:bottom w:val="single" w:sz="8" w:space="0" w:color="auto"/>
              <w:right w:val="single" w:sz="8" w:space="0" w:color="auto"/>
            </w:tcBorders>
            <w:tcMar>
              <w:left w:w="108" w:type="dxa"/>
              <w:right w:w="108" w:type="dxa"/>
            </w:tcMar>
          </w:tcPr>
          <w:p w14:paraId="4F5C832A" w14:textId="36A53E82" w:rsidR="3C717346" w:rsidRDefault="3C717346" w:rsidP="3C717346">
            <w:pPr>
              <w:jc w:val="both"/>
              <w:rPr>
                <w:color w:val="000000" w:themeColor="text1"/>
                <w:sz w:val="20"/>
                <w:szCs w:val="20"/>
              </w:rPr>
            </w:pPr>
            <w:r w:rsidRPr="3C717346">
              <w:rPr>
                <w:color w:val="000000" w:themeColor="text1"/>
                <w:sz w:val="20"/>
                <w:szCs w:val="20"/>
              </w:rPr>
              <w:t xml:space="preserve">$65,307,961.17 </w:t>
            </w:r>
          </w:p>
        </w:tc>
        <w:tc>
          <w:tcPr>
            <w:tcW w:w="1267" w:type="dxa"/>
            <w:tcBorders>
              <w:top w:val="single" w:sz="8" w:space="0" w:color="auto"/>
              <w:left w:val="single" w:sz="8" w:space="0" w:color="auto"/>
              <w:bottom w:val="single" w:sz="8" w:space="0" w:color="auto"/>
              <w:right w:val="single" w:sz="8" w:space="0" w:color="auto"/>
            </w:tcBorders>
            <w:tcMar>
              <w:left w:w="108" w:type="dxa"/>
              <w:right w:w="108" w:type="dxa"/>
            </w:tcMar>
          </w:tcPr>
          <w:p w14:paraId="30018A40" w14:textId="2EEC890A" w:rsidR="3C717346" w:rsidRDefault="3C717346" w:rsidP="3C717346">
            <w:pPr>
              <w:jc w:val="both"/>
              <w:rPr>
                <w:color w:val="000000" w:themeColor="text1"/>
                <w:sz w:val="20"/>
                <w:szCs w:val="20"/>
              </w:rPr>
            </w:pPr>
            <w:r w:rsidRPr="3C717346">
              <w:rPr>
                <w:color w:val="000000" w:themeColor="text1"/>
                <w:sz w:val="20"/>
                <w:szCs w:val="20"/>
              </w:rPr>
              <w:t xml:space="preserve"> $7,590,000 </w:t>
            </w:r>
          </w:p>
        </w:tc>
        <w:tc>
          <w:tcPr>
            <w:tcW w:w="1089" w:type="dxa"/>
            <w:tcBorders>
              <w:top w:val="single" w:sz="8" w:space="0" w:color="auto"/>
              <w:left w:val="single" w:sz="8" w:space="0" w:color="auto"/>
              <w:bottom w:val="single" w:sz="8" w:space="0" w:color="auto"/>
              <w:right w:val="single" w:sz="8" w:space="0" w:color="auto"/>
            </w:tcBorders>
            <w:tcMar>
              <w:left w:w="108" w:type="dxa"/>
              <w:right w:w="108" w:type="dxa"/>
            </w:tcMar>
          </w:tcPr>
          <w:p w14:paraId="0BBFC6A9" w14:textId="2E01AF2A" w:rsidR="3C717346" w:rsidRDefault="3C717346" w:rsidP="3C717346">
            <w:pPr>
              <w:jc w:val="both"/>
              <w:rPr>
                <w:color w:val="000000" w:themeColor="text1"/>
                <w:sz w:val="20"/>
                <w:szCs w:val="20"/>
              </w:rPr>
            </w:pPr>
            <w:r w:rsidRPr="3C717346">
              <w:rPr>
                <w:color w:val="000000" w:themeColor="text1"/>
                <w:sz w:val="20"/>
                <w:szCs w:val="20"/>
              </w:rPr>
              <w:t xml:space="preserve">$57,717,961 </w:t>
            </w:r>
          </w:p>
        </w:tc>
        <w:tc>
          <w:tcPr>
            <w:tcW w:w="1477" w:type="dxa"/>
            <w:tcBorders>
              <w:top w:val="single" w:sz="8" w:space="0" w:color="auto"/>
              <w:left w:val="single" w:sz="8" w:space="0" w:color="auto"/>
              <w:bottom w:val="single" w:sz="8" w:space="0" w:color="auto"/>
              <w:right w:val="single" w:sz="8" w:space="0" w:color="auto"/>
            </w:tcBorders>
            <w:tcMar>
              <w:left w:w="108" w:type="dxa"/>
              <w:right w:w="108" w:type="dxa"/>
            </w:tcMar>
          </w:tcPr>
          <w:p w14:paraId="1F9F79C8" w14:textId="00859618" w:rsidR="3C717346" w:rsidRDefault="3C717346" w:rsidP="3C717346">
            <w:pPr>
              <w:jc w:val="both"/>
              <w:rPr>
                <w:color w:val="000000" w:themeColor="text1"/>
                <w:sz w:val="20"/>
                <w:szCs w:val="20"/>
              </w:rPr>
            </w:pPr>
            <w:r w:rsidRPr="3C717346">
              <w:rPr>
                <w:color w:val="000000" w:themeColor="text1"/>
                <w:sz w:val="20"/>
                <w:szCs w:val="20"/>
              </w:rPr>
              <w:t>5.12</w:t>
            </w:r>
          </w:p>
        </w:tc>
        <w:tc>
          <w:tcPr>
            <w:tcW w:w="2760" w:type="dxa"/>
            <w:tcBorders>
              <w:top w:val="single" w:sz="8" w:space="0" w:color="auto"/>
              <w:left w:val="single" w:sz="8" w:space="0" w:color="auto"/>
              <w:bottom w:val="single" w:sz="8" w:space="0" w:color="auto"/>
              <w:right w:val="single" w:sz="8" w:space="0" w:color="auto"/>
            </w:tcBorders>
            <w:tcMar>
              <w:left w:w="108" w:type="dxa"/>
              <w:right w:w="108" w:type="dxa"/>
            </w:tcMar>
          </w:tcPr>
          <w:p w14:paraId="653EF10D" w14:textId="04C55912" w:rsidR="3C717346" w:rsidRDefault="3C717346" w:rsidP="3C717346">
            <w:pPr>
              <w:jc w:val="both"/>
              <w:rPr>
                <w:color w:val="000000" w:themeColor="text1"/>
                <w:sz w:val="20"/>
                <w:szCs w:val="20"/>
              </w:rPr>
            </w:pPr>
            <w:r w:rsidRPr="3C717346">
              <w:rPr>
                <w:color w:val="000000" w:themeColor="text1"/>
                <w:sz w:val="20"/>
                <w:szCs w:val="20"/>
              </w:rPr>
              <w:t>25.1%</w:t>
            </w:r>
          </w:p>
        </w:tc>
      </w:tr>
    </w:tbl>
    <w:p w14:paraId="4242B839" w14:textId="77777777" w:rsidR="00287A9C" w:rsidRDefault="00287A9C" w:rsidP="00287A9C">
      <w:pPr>
        <w:tabs>
          <w:tab w:val="left" w:pos="3050"/>
        </w:tabs>
        <w:spacing w:line="276" w:lineRule="auto"/>
        <w:jc w:val="both"/>
        <w:rPr>
          <w:szCs w:val="22"/>
        </w:rPr>
      </w:pPr>
    </w:p>
    <w:p w14:paraId="2C2E7523" w14:textId="27765451" w:rsidR="0CFA3535" w:rsidRDefault="0CFA3535" w:rsidP="3C717346">
      <w:pPr>
        <w:tabs>
          <w:tab w:val="left" w:pos="3050"/>
        </w:tabs>
        <w:spacing w:after="160" w:line="276" w:lineRule="auto"/>
        <w:jc w:val="both"/>
        <w:rPr>
          <w:szCs w:val="22"/>
        </w:rPr>
      </w:pPr>
      <w:r w:rsidRPr="3C717346">
        <w:rPr>
          <w:szCs w:val="22"/>
        </w:rPr>
        <w:t xml:space="preserve">For component 2, the initial economic analysis estimated the lifetime earnings of workers who received TVET education. For the update, the number of beneficiaries and the costs of training provision and cost of living support </w:t>
      </w:r>
      <w:proofErr w:type="gramStart"/>
      <w:r w:rsidRPr="3C717346">
        <w:rPr>
          <w:szCs w:val="22"/>
        </w:rPr>
        <w:t>was</w:t>
      </w:r>
      <w:proofErr w:type="gramEnd"/>
      <w:r w:rsidRPr="3C717346">
        <w:rPr>
          <w:szCs w:val="22"/>
        </w:rPr>
        <w:t xml:space="preserve"> updated using administrative data. It was assumed that 65 percent of beneficiaries are employed, and all participants are employed domestically, given the validity of the TVET certification.</w:t>
      </w:r>
      <w:r w:rsidR="00D902E7">
        <w:rPr>
          <w:szCs w:val="22"/>
        </w:rPr>
        <w:t xml:space="preserve"> </w:t>
      </w:r>
      <w:r w:rsidRPr="3C717346">
        <w:rPr>
          <w:szCs w:val="22"/>
        </w:rPr>
        <w:t xml:space="preserve">The average annual wages of those with and without TVET education were estimated using 2021 HIES. Assuming a discount rate of 3 percent, the following NPV and internal rate of return </w:t>
      </w:r>
      <w:proofErr w:type="gramStart"/>
      <w:r w:rsidRPr="3C717346">
        <w:rPr>
          <w:szCs w:val="22"/>
        </w:rPr>
        <w:t>was</w:t>
      </w:r>
      <w:proofErr w:type="gramEnd"/>
      <w:r w:rsidRPr="3C717346">
        <w:rPr>
          <w:szCs w:val="22"/>
        </w:rPr>
        <w:t xml:space="preserve"> estimated: </w:t>
      </w:r>
    </w:p>
    <w:tbl>
      <w:tblPr>
        <w:tblStyle w:val="TableGrid"/>
        <w:tblW w:w="0" w:type="auto"/>
        <w:tblLayout w:type="fixed"/>
        <w:tblLook w:val="04A0" w:firstRow="1" w:lastRow="0" w:firstColumn="1" w:lastColumn="0" w:noHBand="0" w:noVBand="1"/>
      </w:tblPr>
      <w:tblGrid>
        <w:gridCol w:w="2084"/>
        <w:gridCol w:w="1720"/>
        <w:gridCol w:w="1346"/>
        <w:gridCol w:w="1441"/>
        <w:gridCol w:w="1477"/>
        <w:gridCol w:w="3175"/>
      </w:tblGrid>
      <w:tr w:rsidR="3C717346" w14:paraId="2F7680BC" w14:textId="77777777" w:rsidTr="3C717346">
        <w:trPr>
          <w:trHeight w:val="150"/>
        </w:trPr>
        <w:tc>
          <w:tcPr>
            <w:tcW w:w="2084" w:type="dxa"/>
            <w:tcBorders>
              <w:top w:val="single" w:sz="8" w:space="0" w:color="auto"/>
              <w:left w:val="single" w:sz="8" w:space="0" w:color="auto"/>
              <w:bottom w:val="single" w:sz="8" w:space="0" w:color="auto"/>
              <w:right w:val="single" w:sz="8" w:space="0" w:color="auto"/>
            </w:tcBorders>
            <w:tcMar>
              <w:left w:w="108" w:type="dxa"/>
              <w:right w:w="108" w:type="dxa"/>
            </w:tcMar>
          </w:tcPr>
          <w:p w14:paraId="7917FD48" w14:textId="42F34693" w:rsidR="3C717346" w:rsidRDefault="3C717346" w:rsidP="3C717346"/>
        </w:tc>
        <w:tc>
          <w:tcPr>
            <w:tcW w:w="1720" w:type="dxa"/>
            <w:tcBorders>
              <w:top w:val="single" w:sz="8" w:space="0" w:color="auto"/>
              <w:left w:val="single" w:sz="8" w:space="0" w:color="auto"/>
              <w:bottom w:val="single" w:sz="8" w:space="0" w:color="auto"/>
              <w:right w:val="single" w:sz="8" w:space="0" w:color="auto"/>
            </w:tcBorders>
            <w:tcMar>
              <w:left w:w="108" w:type="dxa"/>
              <w:right w:w="108" w:type="dxa"/>
            </w:tcMar>
          </w:tcPr>
          <w:p w14:paraId="4D29F2F8" w14:textId="44465072" w:rsidR="3C717346" w:rsidRDefault="3C717346" w:rsidP="3C717346">
            <w:pPr>
              <w:jc w:val="both"/>
              <w:rPr>
                <w:color w:val="000000" w:themeColor="text1"/>
                <w:sz w:val="18"/>
                <w:szCs w:val="18"/>
              </w:rPr>
            </w:pPr>
            <w:r w:rsidRPr="3C717346">
              <w:rPr>
                <w:color w:val="000000" w:themeColor="text1"/>
                <w:sz w:val="18"/>
                <w:szCs w:val="18"/>
              </w:rPr>
              <w:t>PV of future cash flows</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46D155D5" w14:textId="29B98100" w:rsidR="3C717346" w:rsidRDefault="00D902E7" w:rsidP="3C717346">
            <w:pPr>
              <w:jc w:val="both"/>
              <w:rPr>
                <w:color w:val="000000" w:themeColor="text1"/>
                <w:sz w:val="18"/>
                <w:szCs w:val="18"/>
              </w:rPr>
            </w:pPr>
            <w:r w:rsidRPr="3C717346">
              <w:rPr>
                <w:color w:val="000000" w:themeColor="text1"/>
                <w:sz w:val="18"/>
                <w:szCs w:val="18"/>
              </w:rPr>
              <w:t>Initial</w:t>
            </w:r>
            <w:r w:rsidR="3C717346" w:rsidRPr="3C717346">
              <w:rPr>
                <w:color w:val="000000" w:themeColor="text1"/>
                <w:sz w:val="18"/>
                <w:szCs w:val="18"/>
              </w:rPr>
              <w:t xml:space="preserve"> investment</w:t>
            </w:r>
          </w:p>
        </w:tc>
        <w:tc>
          <w:tcPr>
            <w:tcW w:w="1441" w:type="dxa"/>
            <w:tcBorders>
              <w:top w:val="single" w:sz="8" w:space="0" w:color="auto"/>
              <w:left w:val="single" w:sz="8" w:space="0" w:color="auto"/>
              <w:bottom w:val="single" w:sz="8" w:space="0" w:color="auto"/>
              <w:right w:val="single" w:sz="8" w:space="0" w:color="auto"/>
            </w:tcBorders>
            <w:tcMar>
              <w:left w:w="108" w:type="dxa"/>
              <w:right w:w="108" w:type="dxa"/>
            </w:tcMar>
          </w:tcPr>
          <w:p w14:paraId="673CF9B1" w14:textId="4C7B8C26" w:rsidR="3C717346" w:rsidRDefault="3C717346" w:rsidP="3C717346">
            <w:pPr>
              <w:jc w:val="both"/>
              <w:rPr>
                <w:color w:val="000000" w:themeColor="text1"/>
                <w:sz w:val="18"/>
                <w:szCs w:val="18"/>
              </w:rPr>
            </w:pPr>
            <w:r w:rsidRPr="3C717346">
              <w:rPr>
                <w:color w:val="000000" w:themeColor="text1"/>
                <w:sz w:val="18"/>
                <w:szCs w:val="18"/>
              </w:rPr>
              <w:t>NPV</w:t>
            </w:r>
          </w:p>
        </w:tc>
        <w:tc>
          <w:tcPr>
            <w:tcW w:w="1477" w:type="dxa"/>
            <w:tcBorders>
              <w:top w:val="single" w:sz="8" w:space="0" w:color="auto"/>
              <w:left w:val="single" w:sz="8" w:space="0" w:color="auto"/>
              <w:bottom w:val="single" w:sz="8" w:space="0" w:color="auto"/>
              <w:right w:val="single" w:sz="8" w:space="0" w:color="auto"/>
            </w:tcBorders>
            <w:tcMar>
              <w:left w:w="108" w:type="dxa"/>
              <w:right w:w="108" w:type="dxa"/>
            </w:tcMar>
          </w:tcPr>
          <w:p w14:paraId="4FF08772" w14:textId="60B8E8A1" w:rsidR="3C717346" w:rsidRDefault="3C717346" w:rsidP="3C717346">
            <w:pPr>
              <w:jc w:val="both"/>
              <w:rPr>
                <w:color w:val="000000" w:themeColor="text1"/>
                <w:sz w:val="18"/>
                <w:szCs w:val="18"/>
              </w:rPr>
            </w:pPr>
            <w:r w:rsidRPr="3C717346">
              <w:rPr>
                <w:color w:val="000000" w:themeColor="text1"/>
                <w:sz w:val="18"/>
                <w:szCs w:val="18"/>
              </w:rPr>
              <w:t>Benefit to cost Ratio</w:t>
            </w:r>
          </w:p>
        </w:tc>
        <w:tc>
          <w:tcPr>
            <w:tcW w:w="3175" w:type="dxa"/>
            <w:tcBorders>
              <w:top w:val="single" w:sz="8" w:space="0" w:color="auto"/>
              <w:left w:val="single" w:sz="8" w:space="0" w:color="auto"/>
              <w:bottom w:val="single" w:sz="8" w:space="0" w:color="auto"/>
              <w:right w:val="single" w:sz="8" w:space="0" w:color="auto"/>
            </w:tcBorders>
            <w:tcMar>
              <w:left w:w="108" w:type="dxa"/>
              <w:right w:w="108" w:type="dxa"/>
            </w:tcMar>
          </w:tcPr>
          <w:p w14:paraId="45CEBE6F" w14:textId="7466A7D4" w:rsidR="3C717346" w:rsidRDefault="3C717346" w:rsidP="3C717346">
            <w:pPr>
              <w:jc w:val="both"/>
              <w:rPr>
                <w:color w:val="000000" w:themeColor="text1"/>
                <w:sz w:val="18"/>
                <w:szCs w:val="18"/>
              </w:rPr>
            </w:pPr>
            <w:r w:rsidRPr="3C717346">
              <w:rPr>
                <w:color w:val="000000" w:themeColor="text1"/>
                <w:sz w:val="18"/>
                <w:szCs w:val="18"/>
              </w:rPr>
              <w:t>Internal Rate of Return</w:t>
            </w:r>
          </w:p>
        </w:tc>
      </w:tr>
      <w:tr w:rsidR="3C717346" w14:paraId="72699ECE" w14:textId="77777777" w:rsidTr="3C717346">
        <w:trPr>
          <w:trHeight w:val="150"/>
        </w:trPr>
        <w:tc>
          <w:tcPr>
            <w:tcW w:w="2084" w:type="dxa"/>
            <w:tcBorders>
              <w:top w:val="single" w:sz="8" w:space="0" w:color="auto"/>
              <w:left w:val="single" w:sz="8" w:space="0" w:color="auto"/>
              <w:bottom w:val="single" w:sz="8" w:space="0" w:color="auto"/>
              <w:right w:val="single" w:sz="8" w:space="0" w:color="auto"/>
            </w:tcBorders>
            <w:tcMar>
              <w:left w:w="108" w:type="dxa"/>
              <w:right w:w="108" w:type="dxa"/>
            </w:tcMar>
          </w:tcPr>
          <w:p w14:paraId="54264293" w14:textId="4DDE2126" w:rsidR="3C717346" w:rsidRDefault="3C717346" w:rsidP="3C717346">
            <w:pPr>
              <w:jc w:val="both"/>
              <w:rPr>
                <w:color w:val="000000" w:themeColor="text1"/>
                <w:sz w:val="18"/>
                <w:szCs w:val="18"/>
              </w:rPr>
            </w:pPr>
            <w:r w:rsidRPr="3C717346">
              <w:rPr>
                <w:color w:val="000000" w:themeColor="text1"/>
                <w:sz w:val="18"/>
                <w:szCs w:val="18"/>
              </w:rPr>
              <w:t>TVET Student Support Funds</w:t>
            </w:r>
          </w:p>
        </w:tc>
        <w:tc>
          <w:tcPr>
            <w:tcW w:w="1720" w:type="dxa"/>
            <w:tcBorders>
              <w:top w:val="single" w:sz="8" w:space="0" w:color="auto"/>
              <w:left w:val="single" w:sz="8" w:space="0" w:color="auto"/>
              <w:bottom w:val="single" w:sz="8" w:space="0" w:color="auto"/>
              <w:right w:val="single" w:sz="8" w:space="0" w:color="auto"/>
            </w:tcBorders>
            <w:tcMar>
              <w:left w:w="108" w:type="dxa"/>
              <w:right w:w="108" w:type="dxa"/>
            </w:tcMar>
          </w:tcPr>
          <w:p w14:paraId="118C472B" w14:textId="0CAC363D" w:rsidR="3C717346" w:rsidRDefault="3C717346" w:rsidP="3C717346">
            <w:pPr>
              <w:jc w:val="both"/>
              <w:rPr>
                <w:color w:val="000000" w:themeColor="text1"/>
                <w:sz w:val="18"/>
                <w:szCs w:val="18"/>
              </w:rPr>
            </w:pPr>
            <w:r w:rsidRPr="3C717346">
              <w:rPr>
                <w:color w:val="000000" w:themeColor="text1"/>
                <w:sz w:val="18"/>
                <w:szCs w:val="18"/>
              </w:rPr>
              <w:t xml:space="preserve">$114,057,193.63 </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7063739C" w14:textId="745877E1" w:rsidR="3C717346" w:rsidRDefault="3C717346" w:rsidP="3C717346">
            <w:pPr>
              <w:jc w:val="both"/>
              <w:rPr>
                <w:color w:val="000000" w:themeColor="text1"/>
                <w:sz w:val="18"/>
                <w:szCs w:val="18"/>
              </w:rPr>
            </w:pPr>
            <w:r w:rsidRPr="3C717346">
              <w:rPr>
                <w:color w:val="000000" w:themeColor="text1"/>
                <w:sz w:val="18"/>
                <w:szCs w:val="18"/>
              </w:rPr>
              <w:t xml:space="preserve"> $3,950,000 </w:t>
            </w:r>
          </w:p>
        </w:tc>
        <w:tc>
          <w:tcPr>
            <w:tcW w:w="1441" w:type="dxa"/>
            <w:tcBorders>
              <w:top w:val="single" w:sz="8" w:space="0" w:color="auto"/>
              <w:left w:val="single" w:sz="8" w:space="0" w:color="auto"/>
              <w:bottom w:val="single" w:sz="8" w:space="0" w:color="auto"/>
              <w:right w:val="single" w:sz="8" w:space="0" w:color="auto"/>
            </w:tcBorders>
            <w:tcMar>
              <w:left w:w="108" w:type="dxa"/>
              <w:right w:w="108" w:type="dxa"/>
            </w:tcMar>
          </w:tcPr>
          <w:p w14:paraId="4ABE395A" w14:textId="57EA874B" w:rsidR="3C717346" w:rsidRDefault="3C717346" w:rsidP="3C717346">
            <w:pPr>
              <w:jc w:val="both"/>
              <w:rPr>
                <w:color w:val="000000" w:themeColor="text1"/>
                <w:sz w:val="18"/>
                <w:szCs w:val="18"/>
              </w:rPr>
            </w:pPr>
            <w:r w:rsidRPr="3C717346">
              <w:rPr>
                <w:color w:val="000000" w:themeColor="text1"/>
                <w:sz w:val="18"/>
                <w:szCs w:val="18"/>
              </w:rPr>
              <w:t xml:space="preserve">$110,107,194 </w:t>
            </w:r>
          </w:p>
        </w:tc>
        <w:tc>
          <w:tcPr>
            <w:tcW w:w="1477" w:type="dxa"/>
            <w:tcBorders>
              <w:top w:val="single" w:sz="8" w:space="0" w:color="auto"/>
              <w:left w:val="single" w:sz="8" w:space="0" w:color="auto"/>
              <w:bottom w:val="single" w:sz="8" w:space="0" w:color="auto"/>
              <w:right w:val="single" w:sz="8" w:space="0" w:color="auto"/>
            </w:tcBorders>
            <w:tcMar>
              <w:left w:w="108" w:type="dxa"/>
              <w:right w:w="108" w:type="dxa"/>
            </w:tcMar>
          </w:tcPr>
          <w:p w14:paraId="70E5770F" w14:textId="0C1F55EF" w:rsidR="3C717346" w:rsidRDefault="3C717346" w:rsidP="3C717346">
            <w:pPr>
              <w:jc w:val="both"/>
              <w:rPr>
                <w:color w:val="000000" w:themeColor="text1"/>
                <w:sz w:val="18"/>
                <w:szCs w:val="18"/>
              </w:rPr>
            </w:pPr>
            <w:r w:rsidRPr="3C717346">
              <w:rPr>
                <w:color w:val="000000" w:themeColor="text1"/>
                <w:sz w:val="18"/>
                <w:szCs w:val="18"/>
              </w:rPr>
              <w:t>17.19</w:t>
            </w:r>
          </w:p>
        </w:tc>
        <w:tc>
          <w:tcPr>
            <w:tcW w:w="3175" w:type="dxa"/>
            <w:tcBorders>
              <w:top w:val="single" w:sz="8" w:space="0" w:color="auto"/>
              <w:left w:val="single" w:sz="8" w:space="0" w:color="auto"/>
              <w:bottom w:val="single" w:sz="8" w:space="0" w:color="auto"/>
              <w:right w:val="single" w:sz="8" w:space="0" w:color="auto"/>
            </w:tcBorders>
            <w:tcMar>
              <w:left w:w="108" w:type="dxa"/>
              <w:right w:w="108" w:type="dxa"/>
            </w:tcMar>
          </w:tcPr>
          <w:p w14:paraId="52D5F684" w14:textId="67B41258" w:rsidR="3C717346" w:rsidRDefault="3C717346" w:rsidP="3C717346">
            <w:pPr>
              <w:jc w:val="both"/>
              <w:rPr>
                <w:color w:val="000000" w:themeColor="text1"/>
                <w:sz w:val="18"/>
                <w:szCs w:val="18"/>
              </w:rPr>
            </w:pPr>
            <w:r w:rsidRPr="3C717346">
              <w:rPr>
                <w:color w:val="000000" w:themeColor="text1"/>
                <w:sz w:val="18"/>
                <w:szCs w:val="18"/>
              </w:rPr>
              <w:t>77.4%</w:t>
            </w:r>
          </w:p>
        </w:tc>
      </w:tr>
    </w:tbl>
    <w:p w14:paraId="44BBB363" w14:textId="77777777" w:rsidR="00D902E7" w:rsidRDefault="00D902E7" w:rsidP="00D902E7">
      <w:pPr>
        <w:tabs>
          <w:tab w:val="left" w:pos="3050"/>
        </w:tabs>
        <w:spacing w:line="276" w:lineRule="auto"/>
        <w:jc w:val="both"/>
        <w:rPr>
          <w:sz w:val="24"/>
          <w:szCs w:val="24"/>
        </w:rPr>
      </w:pPr>
    </w:p>
    <w:p w14:paraId="6CE4E507" w14:textId="4C7878B6" w:rsidR="0CFA3535" w:rsidRDefault="0CFA3535" w:rsidP="3C717346">
      <w:pPr>
        <w:tabs>
          <w:tab w:val="left" w:pos="3050"/>
        </w:tabs>
        <w:spacing w:after="160" w:line="276" w:lineRule="auto"/>
        <w:jc w:val="both"/>
        <w:rPr>
          <w:szCs w:val="22"/>
        </w:rPr>
      </w:pPr>
      <w:r w:rsidRPr="3C717346">
        <w:rPr>
          <w:szCs w:val="22"/>
        </w:rPr>
        <w:t xml:space="preserve">For Component 3, the initial analysis estimated the internal rate of return of the program on the earnings of annual seasonal workers. For the update, the number of actual seasonal workers who benefitted from the program was obtained from administrative data. The </w:t>
      </w:r>
      <w:r w:rsidR="17E5FB77" w:rsidRPr="3C717346">
        <w:rPr>
          <w:szCs w:val="22"/>
        </w:rPr>
        <w:t>current</w:t>
      </w:r>
      <w:r w:rsidRPr="3C717346">
        <w:rPr>
          <w:szCs w:val="22"/>
        </w:rPr>
        <w:t xml:space="preserve"> wages of seasonal workers </w:t>
      </w:r>
      <w:proofErr w:type="gramStart"/>
      <w:r w:rsidRPr="3C717346">
        <w:rPr>
          <w:szCs w:val="22"/>
        </w:rPr>
        <w:t>was</w:t>
      </w:r>
      <w:proofErr w:type="gramEnd"/>
      <w:r w:rsidRPr="3C717346">
        <w:rPr>
          <w:szCs w:val="22"/>
        </w:rPr>
        <w:t xml:space="preserve"> obtained from the report the “Gains and Pains of Working away from home: the case of pacific workers”, using the Pacific Labor Mobility Survey results, where the wages for three schemes were averaged and multiplied by 24 to estimate wages for 6 months. The employment rate of seasonal workers was assumed at 14 percent, </w:t>
      </w:r>
      <w:r w:rsidR="5D83C15C" w:rsidRPr="3C717346">
        <w:rPr>
          <w:szCs w:val="22"/>
        </w:rPr>
        <w:t>as in</w:t>
      </w:r>
      <w:r w:rsidRPr="3C717346">
        <w:rPr>
          <w:szCs w:val="22"/>
        </w:rPr>
        <w:t xml:space="preserve"> the initial analysis. The following internal rate of return was obtained: </w:t>
      </w:r>
    </w:p>
    <w:tbl>
      <w:tblPr>
        <w:tblStyle w:val="TableGrid"/>
        <w:tblW w:w="11070" w:type="dxa"/>
        <w:tblInd w:w="-100" w:type="dxa"/>
        <w:tblLayout w:type="fixed"/>
        <w:tblLook w:val="04A0" w:firstRow="1" w:lastRow="0" w:firstColumn="1" w:lastColumn="0" w:noHBand="0" w:noVBand="1"/>
      </w:tblPr>
      <w:tblGrid>
        <w:gridCol w:w="100"/>
        <w:gridCol w:w="1518"/>
        <w:gridCol w:w="2046"/>
        <w:gridCol w:w="1549"/>
        <w:gridCol w:w="1113"/>
        <w:gridCol w:w="1805"/>
        <w:gridCol w:w="2039"/>
        <w:gridCol w:w="900"/>
      </w:tblGrid>
      <w:tr w:rsidR="3C717346" w14:paraId="59ED5BD7" w14:textId="77777777" w:rsidTr="00C35F22">
        <w:trPr>
          <w:gridBefore w:val="1"/>
          <w:gridAfter w:val="1"/>
          <w:wBefore w:w="100" w:type="dxa"/>
          <w:wAfter w:w="900" w:type="dxa"/>
          <w:trHeight w:val="285"/>
        </w:trPr>
        <w:tc>
          <w:tcPr>
            <w:tcW w:w="1518" w:type="dxa"/>
            <w:tcBorders>
              <w:top w:val="single" w:sz="8" w:space="0" w:color="auto"/>
              <w:left w:val="single" w:sz="8" w:space="0" w:color="auto"/>
              <w:bottom w:val="single" w:sz="8" w:space="0" w:color="auto"/>
              <w:right w:val="single" w:sz="8" w:space="0" w:color="auto"/>
            </w:tcBorders>
            <w:tcMar>
              <w:left w:w="108" w:type="dxa"/>
              <w:right w:w="108" w:type="dxa"/>
            </w:tcMar>
          </w:tcPr>
          <w:p w14:paraId="3CD5327B" w14:textId="79F0FA3B" w:rsidR="3C717346" w:rsidRDefault="3C717346" w:rsidP="3C717346">
            <w:pPr>
              <w:rPr>
                <w:sz w:val="20"/>
                <w:szCs w:val="20"/>
              </w:rPr>
            </w:pPr>
          </w:p>
        </w:tc>
        <w:tc>
          <w:tcPr>
            <w:tcW w:w="2046" w:type="dxa"/>
            <w:tcBorders>
              <w:top w:val="single" w:sz="8" w:space="0" w:color="auto"/>
              <w:left w:val="single" w:sz="8" w:space="0" w:color="auto"/>
              <w:bottom w:val="single" w:sz="8" w:space="0" w:color="auto"/>
              <w:right w:val="single" w:sz="8" w:space="0" w:color="auto"/>
            </w:tcBorders>
            <w:tcMar>
              <w:left w:w="108" w:type="dxa"/>
              <w:right w:w="108" w:type="dxa"/>
            </w:tcMar>
          </w:tcPr>
          <w:p w14:paraId="6E8470E3" w14:textId="39A453C2" w:rsidR="3C717346" w:rsidRDefault="3C717346" w:rsidP="3C717346">
            <w:pPr>
              <w:jc w:val="both"/>
              <w:rPr>
                <w:color w:val="000000" w:themeColor="text1"/>
                <w:sz w:val="20"/>
                <w:szCs w:val="20"/>
              </w:rPr>
            </w:pPr>
            <w:r w:rsidRPr="3C717346">
              <w:rPr>
                <w:color w:val="000000" w:themeColor="text1"/>
                <w:sz w:val="20"/>
                <w:szCs w:val="20"/>
              </w:rPr>
              <w:t>PV of future cash flows</w:t>
            </w:r>
          </w:p>
        </w:tc>
        <w:tc>
          <w:tcPr>
            <w:tcW w:w="1549" w:type="dxa"/>
            <w:tcBorders>
              <w:top w:val="single" w:sz="8" w:space="0" w:color="auto"/>
              <w:left w:val="single" w:sz="8" w:space="0" w:color="auto"/>
              <w:bottom w:val="single" w:sz="8" w:space="0" w:color="auto"/>
              <w:right w:val="single" w:sz="8" w:space="0" w:color="auto"/>
            </w:tcBorders>
            <w:tcMar>
              <w:left w:w="108" w:type="dxa"/>
              <w:right w:w="108" w:type="dxa"/>
            </w:tcMar>
          </w:tcPr>
          <w:p w14:paraId="3ACE78DA" w14:textId="7B41A37A" w:rsidR="3C717346" w:rsidRDefault="3C717346" w:rsidP="3C717346">
            <w:pPr>
              <w:jc w:val="both"/>
              <w:rPr>
                <w:color w:val="000000" w:themeColor="text1"/>
                <w:sz w:val="20"/>
                <w:szCs w:val="20"/>
              </w:rPr>
            </w:pPr>
            <w:r w:rsidRPr="3C717346">
              <w:rPr>
                <w:color w:val="000000" w:themeColor="text1"/>
                <w:sz w:val="20"/>
                <w:szCs w:val="20"/>
              </w:rPr>
              <w:t>Initial investment</w:t>
            </w:r>
          </w:p>
        </w:tc>
        <w:tc>
          <w:tcPr>
            <w:tcW w:w="1113" w:type="dxa"/>
            <w:tcBorders>
              <w:top w:val="single" w:sz="8" w:space="0" w:color="auto"/>
              <w:left w:val="single" w:sz="8" w:space="0" w:color="auto"/>
              <w:bottom w:val="single" w:sz="8" w:space="0" w:color="auto"/>
              <w:right w:val="single" w:sz="8" w:space="0" w:color="auto"/>
            </w:tcBorders>
            <w:tcMar>
              <w:left w:w="108" w:type="dxa"/>
              <w:right w:w="108" w:type="dxa"/>
            </w:tcMar>
          </w:tcPr>
          <w:p w14:paraId="438464FC" w14:textId="312794AF" w:rsidR="3C717346" w:rsidRDefault="3C717346" w:rsidP="3C717346">
            <w:pPr>
              <w:jc w:val="both"/>
              <w:rPr>
                <w:color w:val="000000" w:themeColor="text1"/>
                <w:sz w:val="20"/>
                <w:szCs w:val="20"/>
              </w:rPr>
            </w:pPr>
            <w:r w:rsidRPr="3C717346">
              <w:rPr>
                <w:color w:val="000000" w:themeColor="text1"/>
                <w:sz w:val="20"/>
                <w:szCs w:val="20"/>
              </w:rPr>
              <w:t>NPV</w:t>
            </w:r>
          </w:p>
        </w:tc>
        <w:tc>
          <w:tcPr>
            <w:tcW w:w="1805" w:type="dxa"/>
            <w:tcBorders>
              <w:top w:val="single" w:sz="8" w:space="0" w:color="auto"/>
              <w:left w:val="single" w:sz="8" w:space="0" w:color="auto"/>
              <w:bottom w:val="single" w:sz="8" w:space="0" w:color="auto"/>
              <w:right w:val="single" w:sz="8" w:space="0" w:color="auto"/>
            </w:tcBorders>
            <w:tcMar>
              <w:left w:w="108" w:type="dxa"/>
              <w:right w:w="108" w:type="dxa"/>
            </w:tcMar>
          </w:tcPr>
          <w:p w14:paraId="1FDD2E9E" w14:textId="0F5B33EC" w:rsidR="3C717346" w:rsidRDefault="3C717346" w:rsidP="3C717346">
            <w:pPr>
              <w:jc w:val="both"/>
              <w:rPr>
                <w:color w:val="000000" w:themeColor="text1"/>
                <w:sz w:val="20"/>
                <w:szCs w:val="20"/>
              </w:rPr>
            </w:pPr>
            <w:r w:rsidRPr="3C717346">
              <w:rPr>
                <w:color w:val="000000" w:themeColor="text1"/>
                <w:sz w:val="20"/>
                <w:szCs w:val="20"/>
              </w:rPr>
              <w:t>Benefit to cost Ratio</w:t>
            </w:r>
          </w:p>
        </w:tc>
        <w:tc>
          <w:tcPr>
            <w:tcW w:w="2039" w:type="dxa"/>
            <w:tcBorders>
              <w:top w:val="single" w:sz="8" w:space="0" w:color="auto"/>
              <w:left w:val="single" w:sz="8" w:space="0" w:color="auto"/>
              <w:bottom w:val="single" w:sz="8" w:space="0" w:color="auto"/>
              <w:right w:val="single" w:sz="8" w:space="0" w:color="auto"/>
            </w:tcBorders>
            <w:tcMar>
              <w:left w:w="108" w:type="dxa"/>
              <w:right w:w="108" w:type="dxa"/>
            </w:tcMar>
          </w:tcPr>
          <w:p w14:paraId="3D712F73" w14:textId="03816653" w:rsidR="3C717346" w:rsidRDefault="3C717346" w:rsidP="3C717346">
            <w:pPr>
              <w:jc w:val="both"/>
              <w:rPr>
                <w:color w:val="000000" w:themeColor="text1"/>
                <w:sz w:val="20"/>
                <w:szCs w:val="20"/>
              </w:rPr>
            </w:pPr>
            <w:r w:rsidRPr="3C717346">
              <w:rPr>
                <w:color w:val="000000" w:themeColor="text1"/>
                <w:sz w:val="20"/>
                <w:szCs w:val="20"/>
              </w:rPr>
              <w:t>Internal Rate of Return</w:t>
            </w:r>
          </w:p>
        </w:tc>
      </w:tr>
      <w:tr w:rsidR="3C717346" w14:paraId="58A7E26A" w14:textId="77777777" w:rsidTr="00C35F22">
        <w:trPr>
          <w:gridBefore w:val="1"/>
          <w:gridAfter w:val="1"/>
          <w:wBefore w:w="100" w:type="dxa"/>
          <w:wAfter w:w="900" w:type="dxa"/>
          <w:trHeight w:val="285"/>
        </w:trPr>
        <w:tc>
          <w:tcPr>
            <w:tcW w:w="1518" w:type="dxa"/>
            <w:tcBorders>
              <w:top w:val="single" w:sz="8" w:space="0" w:color="auto"/>
              <w:left w:val="single" w:sz="8" w:space="0" w:color="auto"/>
              <w:bottom w:val="single" w:sz="8" w:space="0" w:color="auto"/>
              <w:right w:val="single" w:sz="8" w:space="0" w:color="auto"/>
            </w:tcBorders>
            <w:tcMar>
              <w:left w:w="108" w:type="dxa"/>
              <w:right w:w="108" w:type="dxa"/>
            </w:tcMar>
          </w:tcPr>
          <w:p w14:paraId="3C6ED96E" w14:textId="666872BB" w:rsidR="3C717346" w:rsidRDefault="3C717346" w:rsidP="3C717346">
            <w:pPr>
              <w:jc w:val="both"/>
              <w:rPr>
                <w:color w:val="000000" w:themeColor="text1"/>
                <w:sz w:val="20"/>
                <w:szCs w:val="20"/>
              </w:rPr>
            </w:pPr>
            <w:r w:rsidRPr="3C717346">
              <w:rPr>
                <w:color w:val="000000" w:themeColor="text1"/>
                <w:sz w:val="20"/>
                <w:szCs w:val="20"/>
              </w:rPr>
              <w:t>Training program</w:t>
            </w:r>
          </w:p>
        </w:tc>
        <w:tc>
          <w:tcPr>
            <w:tcW w:w="2046" w:type="dxa"/>
            <w:tcBorders>
              <w:top w:val="single" w:sz="8" w:space="0" w:color="auto"/>
              <w:left w:val="single" w:sz="8" w:space="0" w:color="auto"/>
              <w:bottom w:val="single" w:sz="8" w:space="0" w:color="auto"/>
              <w:right w:val="single" w:sz="8" w:space="0" w:color="auto"/>
            </w:tcBorders>
            <w:tcMar>
              <w:left w:w="108" w:type="dxa"/>
              <w:right w:w="108" w:type="dxa"/>
            </w:tcMar>
          </w:tcPr>
          <w:p w14:paraId="34EE2BCF" w14:textId="32980565" w:rsidR="3C717346" w:rsidRDefault="3C717346" w:rsidP="3C717346">
            <w:pPr>
              <w:jc w:val="both"/>
              <w:rPr>
                <w:color w:val="000000" w:themeColor="text1"/>
                <w:sz w:val="20"/>
                <w:szCs w:val="20"/>
              </w:rPr>
            </w:pPr>
            <w:r w:rsidRPr="3C717346">
              <w:rPr>
                <w:color w:val="000000" w:themeColor="text1"/>
                <w:sz w:val="20"/>
                <w:szCs w:val="20"/>
              </w:rPr>
              <w:t xml:space="preserve">$23,359,400.16 </w:t>
            </w:r>
          </w:p>
        </w:tc>
        <w:tc>
          <w:tcPr>
            <w:tcW w:w="1549" w:type="dxa"/>
            <w:tcBorders>
              <w:top w:val="single" w:sz="8" w:space="0" w:color="auto"/>
              <w:left w:val="single" w:sz="8" w:space="0" w:color="auto"/>
              <w:bottom w:val="single" w:sz="8" w:space="0" w:color="auto"/>
              <w:right w:val="single" w:sz="8" w:space="0" w:color="auto"/>
            </w:tcBorders>
            <w:tcMar>
              <w:left w:w="108" w:type="dxa"/>
              <w:right w:w="108" w:type="dxa"/>
            </w:tcMar>
          </w:tcPr>
          <w:p w14:paraId="0841DFEA" w14:textId="024CCD1B" w:rsidR="3C717346" w:rsidRDefault="3C717346" w:rsidP="3C717346">
            <w:pPr>
              <w:jc w:val="both"/>
              <w:rPr>
                <w:color w:val="000000" w:themeColor="text1"/>
                <w:sz w:val="20"/>
                <w:szCs w:val="20"/>
              </w:rPr>
            </w:pPr>
            <w:r w:rsidRPr="3C717346">
              <w:rPr>
                <w:color w:val="000000" w:themeColor="text1"/>
                <w:sz w:val="20"/>
                <w:szCs w:val="20"/>
              </w:rPr>
              <w:t xml:space="preserve"> $1,310,000.0 </w:t>
            </w:r>
          </w:p>
        </w:tc>
        <w:tc>
          <w:tcPr>
            <w:tcW w:w="1113" w:type="dxa"/>
            <w:tcBorders>
              <w:top w:val="single" w:sz="8" w:space="0" w:color="auto"/>
              <w:left w:val="single" w:sz="8" w:space="0" w:color="auto"/>
              <w:bottom w:val="single" w:sz="8" w:space="0" w:color="auto"/>
              <w:right w:val="single" w:sz="8" w:space="0" w:color="auto"/>
            </w:tcBorders>
            <w:tcMar>
              <w:left w:w="108" w:type="dxa"/>
              <w:right w:w="108" w:type="dxa"/>
            </w:tcMar>
          </w:tcPr>
          <w:p w14:paraId="0289842B" w14:textId="1B31C968" w:rsidR="3C717346" w:rsidRDefault="3C717346" w:rsidP="3C717346">
            <w:pPr>
              <w:jc w:val="both"/>
              <w:rPr>
                <w:color w:val="000000" w:themeColor="text1"/>
                <w:sz w:val="20"/>
                <w:szCs w:val="20"/>
              </w:rPr>
            </w:pPr>
            <w:r w:rsidRPr="3C717346">
              <w:rPr>
                <w:color w:val="000000" w:themeColor="text1"/>
                <w:sz w:val="20"/>
                <w:szCs w:val="20"/>
              </w:rPr>
              <w:t xml:space="preserve">$22,049,400 </w:t>
            </w:r>
          </w:p>
        </w:tc>
        <w:tc>
          <w:tcPr>
            <w:tcW w:w="1805" w:type="dxa"/>
            <w:tcBorders>
              <w:top w:val="single" w:sz="8" w:space="0" w:color="auto"/>
              <w:left w:val="single" w:sz="8" w:space="0" w:color="auto"/>
              <w:bottom w:val="single" w:sz="8" w:space="0" w:color="auto"/>
              <w:right w:val="single" w:sz="8" w:space="0" w:color="auto"/>
            </w:tcBorders>
            <w:tcMar>
              <w:left w:w="108" w:type="dxa"/>
              <w:right w:w="108" w:type="dxa"/>
            </w:tcMar>
          </w:tcPr>
          <w:p w14:paraId="12480E0A" w14:textId="6962CC4B" w:rsidR="3C717346" w:rsidRDefault="3C717346" w:rsidP="3C717346">
            <w:pPr>
              <w:jc w:val="both"/>
              <w:rPr>
                <w:color w:val="000000" w:themeColor="text1"/>
                <w:sz w:val="20"/>
                <w:szCs w:val="20"/>
              </w:rPr>
            </w:pPr>
            <w:r w:rsidRPr="3C717346">
              <w:rPr>
                <w:color w:val="000000" w:themeColor="text1"/>
                <w:sz w:val="20"/>
                <w:szCs w:val="20"/>
              </w:rPr>
              <w:t>17.30</w:t>
            </w:r>
          </w:p>
        </w:tc>
        <w:tc>
          <w:tcPr>
            <w:tcW w:w="2039" w:type="dxa"/>
            <w:tcBorders>
              <w:top w:val="single" w:sz="8" w:space="0" w:color="auto"/>
              <w:left w:val="single" w:sz="8" w:space="0" w:color="auto"/>
              <w:bottom w:val="single" w:sz="8" w:space="0" w:color="auto"/>
              <w:right w:val="single" w:sz="8" w:space="0" w:color="auto"/>
            </w:tcBorders>
            <w:tcMar>
              <w:left w:w="108" w:type="dxa"/>
              <w:right w:w="108" w:type="dxa"/>
            </w:tcMar>
          </w:tcPr>
          <w:p w14:paraId="7074B849" w14:textId="14456B88" w:rsidR="3C717346" w:rsidRDefault="3C717346" w:rsidP="3C717346">
            <w:pPr>
              <w:jc w:val="both"/>
              <w:rPr>
                <w:color w:val="000000" w:themeColor="text1"/>
                <w:sz w:val="20"/>
                <w:szCs w:val="20"/>
              </w:rPr>
            </w:pPr>
            <w:r w:rsidRPr="3C717346">
              <w:rPr>
                <w:color w:val="000000" w:themeColor="text1"/>
                <w:sz w:val="20"/>
                <w:szCs w:val="20"/>
              </w:rPr>
              <w:t>150.5%</w:t>
            </w:r>
          </w:p>
        </w:tc>
      </w:tr>
      <w:tr w:rsidR="00DD6229" w14:paraId="65F64DCC" w14:textId="77777777" w:rsidTr="00C35F2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PrEx>
        <w:trPr>
          <w:trHeight w:val="403"/>
        </w:trPr>
        <w:tc>
          <w:tcPr>
            <w:tcW w:w="11070" w:type="dxa"/>
            <w:gridSpan w:val="8"/>
            <w:shd w:val="clear" w:color="auto" w:fill="F2F7FC"/>
            <w:vAlign w:val="center"/>
          </w:tcPr>
          <w:p w14:paraId="7A2E86CD" w14:textId="292739C4" w:rsidR="00CD361A" w:rsidRPr="00CD361A" w:rsidRDefault="0CFA3535" w:rsidP="00804229">
            <w:pPr>
              <w:pStyle w:val="Heading3"/>
              <w:rPr>
                <w:rFonts w:eastAsia="Times New Roman"/>
                <w:b w:val="0"/>
              </w:rPr>
            </w:pPr>
            <w:r w:rsidRPr="3C717346">
              <w:rPr>
                <w:rFonts w:ascii="Aptos" w:eastAsia="Aptos" w:hAnsi="Aptos" w:cs="Aptos"/>
                <w:sz w:val="24"/>
              </w:rPr>
              <w:lastRenderedPageBreak/>
              <w:t xml:space="preserve"> </w:t>
            </w:r>
            <w:bookmarkStart w:id="35" w:name="_Toc198922304"/>
            <w:r w:rsidR="00D310E2" w:rsidRPr="0072404C">
              <w:rPr>
                <w:rFonts w:eastAsia="Times New Roman"/>
              </w:rPr>
              <w:t>ANNEX 5. BORROWER, CO-FINANCIER AND OTHER PARTNER/STAKEHOLDER COMMENTS</w:t>
            </w:r>
            <w:bookmarkEnd w:id="35"/>
          </w:p>
        </w:tc>
      </w:tr>
    </w:tbl>
    <w:p w14:paraId="35137788" w14:textId="77777777" w:rsidR="00402DA5" w:rsidRDefault="00402DA5" w:rsidP="003B75BA">
      <w:pPr>
        <w:spacing w:line="259" w:lineRule="auto"/>
        <w:rPr>
          <w:rFonts w:ascii="Calibri" w:hAnsi="Calibri" w:cs="Times New Roman"/>
          <w:szCs w:val="22"/>
        </w:rPr>
      </w:pPr>
    </w:p>
    <w:p w14:paraId="3819CB8D" w14:textId="5CC88BD4" w:rsidR="004F4C96" w:rsidRDefault="00B71B0F" w:rsidP="003B75BA">
      <w:pPr>
        <w:spacing w:line="259" w:lineRule="auto"/>
        <w:rPr>
          <w:rFonts w:ascii="Calibri" w:hAnsi="Calibri" w:cs="Times New Roman"/>
          <w:szCs w:val="22"/>
        </w:rPr>
      </w:pPr>
      <w:r>
        <w:rPr>
          <w:rFonts w:ascii="Calibri" w:hAnsi="Calibri" w:cs="Times New Roman"/>
          <w:szCs w:val="22"/>
          <w:highlight w:val="yellow"/>
        </w:rPr>
        <w:t>THE ICR REPORT WILL B</w:t>
      </w:r>
      <w:r w:rsidRPr="000C4BA2">
        <w:rPr>
          <w:rFonts w:ascii="Calibri" w:hAnsi="Calibri" w:cs="Times New Roman"/>
          <w:szCs w:val="22"/>
          <w:highlight w:val="yellow"/>
        </w:rPr>
        <w:t xml:space="preserve">E </w:t>
      </w:r>
      <w:r w:rsidR="008C31DF">
        <w:rPr>
          <w:rFonts w:ascii="Calibri" w:hAnsi="Calibri" w:cs="Times New Roman"/>
          <w:szCs w:val="22"/>
          <w:highlight w:val="yellow"/>
        </w:rPr>
        <w:t xml:space="preserve">INCLUDED AS AN ATTACHMENT AFTER THE REVIEW MEETING </w:t>
      </w:r>
    </w:p>
    <w:p w14:paraId="6F167A47" w14:textId="77777777" w:rsidR="004F4C96" w:rsidRPr="00402DA5" w:rsidRDefault="004F4C96" w:rsidP="003B75BA">
      <w:pPr>
        <w:spacing w:line="259" w:lineRule="auto"/>
        <w:rPr>
          <w:rFonts w:ascii="Calibri" w:eastAsia="Calibri" w:hAnsi="Calibri" w:cs="Times New Roman"/>
          <w:szCs w:val="22"/>
        </w:r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7FC"/>
        <w:tblLook w:val="04A0" w:firstRow="1" w:lastRow="0" w:firstColumn="1" w:lastColumn="0" w:noHBand="0" w:noVBand="1"/>
      </w:tblPr>
      <w:tblGrid>
        <w:gridCol w:w="11070"/>
      </w:tblGrid>
      <w:tr w:rsidR="00DD6229" w14:paraId="4BE3E71C" w14:textId="77777777" w:rsidTr="00646A70">
        <w:trPr>
          <w:trHeight w:val="403"/>
        </w:trPr>
        <w:tc>
          <w:tcPr>
            <w:tcW w:w="11070" w:type="dxa"/>
            <w:shd w:val="clear" w:color="auto" w:fill="F2F7FC"/>
            <w:vAlign w:val="center"/>
          </w:tcPr>
          <w:p w14:paraId="4C5DF745" w14:textId="77777777" w:rsidR="00CD361A" w:rsidRPr="00CD361A" w:rsidRDefault="00D310E2" w:rsidP="004F30DD">
            <w:pPr>
              <w:pStyle w:val="Heading3"/>
              <w:rPr>
                <w:rFonts w:eastAsia="Times New Roman"/>
              </w:rPr>
            </w:pPr>
            <w:bookmarkStart w:id="36" w:name="_Toc198922305"/>
            <w:r w:rsidRPr="00C44FF5">
              <w:rPr>
                <w:rFonts w:eastAsia="Times New Roman"/>
              </w:rPr>
              <w:t>ANNEX 6. SUPPORTING DOCUMENTS (IF ANY)</w:t>
            </w:r>
            <w:bookmarkEnd w:id="36"/>
          </w:p>
        </w:tc>
      </w:tr>
    </w:tbl>
    <w:p w14:paraId="0125FD3C" w14:textId="77777777" w:rsidR="00402DA5" w:rsidRDefault="00402DA5" w:rsidP="00C44FF5">
      <w:pPr>
        <w:rPr>
          <w:rFonts w:ascii="Calibri" w:eastAsia="Calibri" w:hAnsi="Calibri" w:cs="Times New Roman"/>
          <w:szCs w:val="22"/>
        </w:rPr>
      </w:pPr>
    </w:p>
    <w:p w14:paraId="29709508" w14:textId="623E4B56" w:rsidR="00C44FF5" w:rsidRPr="004B5CB2" w:rsidRDefault="00380785" w:rsidP="00C44FF5">
      <w:pPr>
        <w:rPr>
          <w:rFonts w:ascii="Calibri" w:eastAsia="Calibri" w:hAnsi="Calibri" w:cs="Times New Roman"/>
          <w:b/>
          <w:bCs/>
          <w:szCs w:val="22"/>
        </w:rPr>
      </w:pPr>
      <w:r w:rsidRPr="004B5CB2">
        <w:rPr>
          <w:rFonts w:ascii="Calibri" w:eastAsia="Calibri" w:hAnsi="Calibri" w:cs="Times New Roman"/>
          <w:b/>
          <w:bCs/>
          <w:szCs w:val="22"/>
        </w:rPr>
        <w:t>R</w:t>
      </w:r>
      <w:r w:rsidR="004B5CB2" w:rsidRPr="004B5CB2">
        <w:rPr>
          <w:rFonts w:ascii="Calibri" w:eastAsia="Calibri" w:hAnsi="Calibri" w:cs="Times New Roman"/>
          <w:b/>
          <w:bCs/>
          <w:szCs w:val="22"/>
        </w:rPr>
        <w:t xml:space="preserve">EFERENCES </w:t>
      </w:r>
    </w:p>
    <w:p w14:paraId="2906988F" w14:textId="77777777" w:rsidR="004B5CB2" w:rsidRDefault="004B5CB2" w:rsidP="001B5BF3">
      <w:pPr>
        <w:spacing w:line="240" w:lineRule="auto"/>
        <w:rPr>
          <w:rFonts w:ascii="Calibri" w:hAnsi="Calibri" w:cs="Calibri"/>
          <w:color w:val="222222"/>
          <w:szCs w:val="22"/>
          <w:shd w:val="clear" w:color="auto" w:fill="FFFFFF"/>
        </w:rPr>
      </w:pPr>
      <w:r w:rsidRPr="00401BF0">
        <w:rPr>
          <w:rFonts w:ascii="Calibri" w:hAnsi="Calibri" w:cs="Calibri"/>
          <w:color w:val="222222"/>
          <w:szCs w:val="22"/>
          <w:shd w:val="clear" w:color="auto" w:fill="FFFFFF"/>
        </w:rPr>
        <w:t>Doan, D., M. Dornan, and R. Edwards. "The gains and Pains of working away from home: The case of pacific temporary migrant workers in Australia and New Zealand." </w:t>
      </w:r>
      <w:r w:rsidRPr="00401BF0">
        <w:rPr>
          <w:rFonts w:ascii="Calibri" w:hAnsi="Calibri" w:cs="Calibri"/>
          <w:i/>
          <w:iCs/>
          <w:color w:val="222222"/>
          <w:szCs w:val="22"/>
          <w:shd w:val="clear" w:color="auto" w:fill="FFFFFF"/>
        </w:rPr>
        <w:t>World Bank and Development Policy Centre of the Australian National University, Canberra</w:t>
      </w:r>
      <w:r w:rsidRPr="00401BF0">
        <w:rPr>
          <w:rFonts w:ascii="Calibri" w:hAnsi="Calibri" w:cs="Calibri"/>
          <w:color w:val="222222"/>
          <w:szCs w:val="22"/>
          <w:shd w:val="clear" w:color="auto" w:fill="FFFFFF"/>
        </w:rPr>
        <w:t> (2023).</w:t>
      </w:r>
    </w:p>
    <w:p w14:paraId="51C85B5F" w14:textId="77777777" w:rsidR="001B5BF3" w:rsidRPr="00401BF0" w:rsidRDefault="001B5BF3" w:rsidP="001B5BF3">
      <w:pPr>
        <w:spacing w:line="240" w:lineRule="auto"/>
        <w:rPr>
          <w:rFonts w:ascii="Calibri" w:hAnsi="Calibri" w:cs="Calibri"/>
          <w:color w:val="222222"/>
          <w:szCs w:val="22"/>
          <w:shd w:val="clear" w:color="auto" w:fill="FFFFFF"/>
        </w:rPr>
      </w:pPr>
    </w:p>
    <w:p w14:paraId="7D177FDC" w14:textId="77777777" w:rsidR="004B5CB2" w:rsidRDefault="004B5CB2" w:rsidP="001B5BF3">
      <w:pPr>
        <w:spacing w:line="240" w:lineRule="auto"/>
        <w:rPr>
          <w:rFonts w:ascii="Calibri" w:hAnsi="Calibri" w:cs="Calibri"/>
          <w:szCs w:val="22"/>
        </w:rPr>
      </w:pPr>
      <w:r w:rsidRPr="00401BF0">
        <w:rPr>
          <w:rFonts w:ascii="Calibri" w:hAnsi="Calibri" w:cs="Calibri"/>
          <w:szCs w:val="22"/>
        </w:rPr>
        <w:t xml:space="preserve">Gould, David M. and Wai-Poi, Matthew (eds.). “Growth and Resilience: Pacific Islands Systematic Country Diagnostic Update.” Washington, DC: World Bank. </w:t>
      </w:r>
      <w:proofErr w:type="spellStart"/>
      <w:proofErr w:type="gramStart"/>
      <w:r w:rsidRPr="00401BF0">
        <w:rPr>
          <w:rFonts w:ascii="Calibri" w:hAnsi="Calibri" w:cs="Calibri"/>
          <w:szCs w:val="22"/>
        </w:rPr>
        <w:t>doi</w:t>
      </w:r>
      <w:proofErr w:type="spellEnd"/>
      <w:r w:rsidRPr="00401BF0">
        <w:rPr>
          <w:rFonts w:ascii="Calibri" w:hAnsi="Calibri" w:cs="Calibri"/>
          <w:szCs w:val="22"/>
        </w:rPr>
        <w:t>: —</w:t>
      </w:r>
      <w:proofErr w:type="gramEnd"/>
      <w:r w:rsidRPr="00401BF0">
        <w:rPr>
          <w:rFonts w:ascii="Calibri" w:hAnsi="Calibri" w:cs="Calibri"/>
          <w:szCs w:val="22"/>
        </w:rPr>
        <w:t xml:space="preserve"> License: Creative Commons Attribution CC BY 3.0 IGO. (2022).</w:t>
      </w:r>
    </w:p>
    <w:p w14:paraId="099119EE" w14:textId="77777777" w:rsidR="004B5CB2" w:rsidRDefault="004B5CB2" w:rsidP="001B5BF3">
      <w:pPr>
        <w:spacing w:line="240" w:lineRule="auto"/>
        <w:rPr>
          <w:rFonts w:ascii="Calibri" w:hAnsi="Calibri" w:cs="Calibri"/>
          <w:szCs w:val="22"/>
        </w:rPr>
      </w:pPr>
      <w:r w:rsidRPr="00401BF0">
        <w:rPr>
          <w:rFonts w:ascii="Calibri" w:hAnsi="Calibri" w:cs="Calibri"/>
          <w:szCs w:val="22"/>
        </w:rPr>
        <w:t>Leng</w:t>
      </w:r>
      <w:r>
        <w:rPr>
          <w:rFonts w:ascii="Calibri" w:hAnsi="Calibri" w:cs="Calibri"/>
          <w:szCs w:val="22"/>
        </w:rPr>
        <w:t xml:space="preserve">, </w:t>
      </w:r>
      <w:r w:rsidRPr="00401BF0">
        <w:rPr>
          <w:rFonts w:ascii="Calibri" w:hAnsi="Calibri" w:cs="Calibri"/>
          <w:szCs w:val="22"/>
        </w:rPr>
        <w:t>Alyssa and Darian Naidoo</w:t>
      </w:r>
      <w:r>
        <w:rPr>
          <w:rFonts w:ascii="Calibri" w:hAnsi="Calibri" w:cs="Calibri"/>
          <w:szCs w:val="22"/>
        </w:rPr>
        <w:t>. “</w:t>
      </w:r>
      <w:r w:rsidRPr="00401BF0">
        <w:rPr>
          <w:rFonts w:ascii="Calibri" w:hAnsi="Calibri" w:cs="Calibri"/>
          <w:szCs w:val="22"/>
        </w:rPr>
        <w:t>The Skills and Employment for Tongans Conditional Cash Transfer- Impact Evaluation Proposal</w:t>
      </w:r>
      <w:r>
        <w:rPr>
          <w:rFonts w:ascii="Calibri" w:hAnsi="Calibri" w:cs="Calibri"/>
          <w:szCs w:val="22"/>
        </w:rPr>
        <w:t xml:space="preserve">” (2024). </w:t>
      </w:r>
    </w:p>
    <w:p w14:paraId="0330DFF1" w14:textId="77777777" w:rsidR="00787229" w:rsidRDefault="00787229" w:rsidP="001B5BF3">
      <w:pPr>
        <w:spacing w:line="240" w:lineRule="auto"/>
        <w:rPr>
          <w:rFonts w:ascii="Calibri" w:hAnsi="Calibri" w:cs="Calibri"/>
          <w:szCs w:val="22"/>
        </w:rPr>
      </w:pPr>
    </w:p>
    <w:p w14:paraId="1E9C6E71" w14:textId="54123180" w:rsidR="004B5CB2" w:rsidRDefault="004B5CB2" w:rsidP="001B5BF3">
      <w:pPr>
        <w:spacing w:line="240" w:lineRule="auto"/>
        <w:rPr>
          <w:rFonts w:ascii="Calibri" w:hAnsi="Calibri" w:cs="Calibri"/>
          <w:szCs w:val="22"/>
        </w:rPr>
      </w:pPr>
      <w:r w:rsidRPr="00401BF0">
        <w:rPr>
          <w:rFonts w:ascii="Calibri" w:hAnsi="Calibri" w:cs="Calibri"/>
          <w:szCs w:val="22"/>
        </w:rPr>
        <w:t>Leng</w:t>
      </w:r>
      <w:r>
        <w:rPr>
          <w:rFonts w:ascii="Calibri" w:hAnsi="Calibri" w:cs="Calibri"/>
          <w:szCs w:val="22"/>
        </w:rPr>
        <w:t xml:space="preserve">, </w:t>
      </w:r>
      <w:r w:rsidRPr="00401BF0">
        <w:rPr>
          <w:rFonts w:ascii="Calibri" w:hAnsi="Calibri" w:cs="Calibri"/>
          <w:szCs w:val="22"/>
        </w:rPr>
        <w:t>Alyssa and Darian Naidoo</w:t>
      </w:r>
      <w:r>
        <w:rPr>
          <w:rFonts w:ascii="Calibri" w:hAnsi="Calibri" w:cs="Calibri"/>
          <w:szCs w:val="22"/>
        </w:rPr>
        <w:t>. “</w:t>
      </w:r>
      <w:r w:rsidRPr="00401BF0">
        <w:rPr>
          <w:rFonts w:ascii="Calibri" w:hAnsi="Calibri" w:cs="Calibri"/>
          <w:szCs w:val="22"/>
        </w:rPr>
        <w:t>Impact Evaluation of the Skills and Employment for Tongans (SET) Conditional Cash Transfer Program</w:t>
      </w:r>
      <w:r>
        <w:rPr>
          <w:rFonts w:ascii="Calibri" w:hAnsi="Calibri" w:cs="Calibri"/>
          <w:szCs w:val="22"/>
        </w:rPr>
        <w:t xml:space="preserve"> </w:t>
      </w:r>
      <w:r w:rsidRPr="00401BF0">
        <w:rPr>
          <w:rFonts w:ascii="Calibri" w:hAnsi="Calibri" w:cs="Calibri"/>
          <w:szCs w:val="22"/>
        </w:rPr>
        <w:t>Data Collection and Preliminary Findings</w:t>
      </w:r>
      <w:r>
        <w:rPr>
          <w:rFonts w:ascii="Calibri" w:hAnsi="Calibri" w:cs="Calibri"/>
          <w:szCs w:val="22"/>
        </w:rPr>
        <w:t>.” (</w:t>
      </w:r>
      <w:r w:rsidR="006F624A">
        <w:rPr>
          <w:rFonts w:ascii="Calibri" w:hAnsi="Calibri" w:cs="Calibri"/>
          <w:szCs w:val="22"/>
        </w:rPr>
        <w:t>f</w:t>
      </w:r>
      <w:r w:rsidR="00DA0BF7">
        <w:rPr>
          <w:rFonts w:ascii="Calibri" w:hAnsi="Calibri" w:cs="Calibri"/>
          <w:szCs w:val="22"/>
        </w:rPr>
        <w:t>orthcoming</w:t>
      </w:r>
      <w:r>
        <w:rPr>
          <w:rFonts w:ascii="Calibri" w:hAnsi="Calibri" w:cs="Calibri"/>
          <w:szCs w:val="22"/>
        </w:rPr>
        <w:t xml:space="preserve">). </w:t>
      </w:r>
    </w:p>
    <w:p w14:paraId="389EB401" w14:textId="77777777" w:rsidR="00787229" w:rsidRDefault="00787229" w:rsidP="001B5BF3">
      <w:pPr>
        <w:spacing w:line="240" w:lineRule="auto"/>
        <w:rPr>
          <w:rFonts w:ascii="Calibri" w:hAnsi="Calibri" w:cs="Calibri"/>
          <w:szCs w:val="22"/>
        </w:rPr>
      </w:pPr>
    </w:p>
    <w:p w14:paraId="7245BA9E" w14:textId="3B6C622E" w:rsidR="004B5CB2" w:rsidRDefault="004B5CB2" w:rsidP="001B5BF3">
      <w:pPr>
        <w:spacing w:line="240" w:lineRule="auto"/>
        <w:rPr>
          <w:rFonts w:ascii="Calibri" w:hAnsi="Calibri" w:cs="Calibri"/>
          <w:szCs w:val="22"/>
        </w:rPr>
      </w:pPr>
      <w:r w:rsidRPr="00401BF0">
        <w:rPr>
          <w:rFonts w:ascii="Calibri" w:hAnsi="Calibri" w:cs="Calibri"/>
          <w:szCs w:val="22"/>
        </w:rPr>
        <w:t>The World Bank. “Navigating Turbulent Waves Toward Sustained Poverty Reduction. Tonga Poverty and Equity Assessment 2024.” (2024)</w:t>
      </w:r>
      <w:r w:rsidR="00787229">
        <w:rPr>
          <w:rFonts w:ascii="Calibri" w:hAnsi="Calibri" w:cs="Calibri"/>
          <w:szCs w:val="22"/>
        </w:rPr>
        <w:t>.</w:t>
      </w:r>
    </w:p>
    <w:p w14:paraId="2F28A0DE" w14:textId="77777777" w:rsidR="00787229" w:rsidRPr="00401BF0" w:rsidRDefault="00787229" w:rsidP="001B5BF3">
      <w:pPr>
        <w:spacing w:line="240" w:lineRule="auto"/>
        <w:rPr>
          <w:rFonts w:ascii="Calibri" w:hAnsi="Calibri" w:cs="Calibri"/>
          <w:szCs w:val="22"/>
        </w:rPr>
      </w:pPr>
    </w:p>
    <w:p w14:paraId="781529DE" w14:textId="2B1AE1F1" w:rsidR="004B5CB2" w:rsidRDefault="004B5CB2" w:rsidP="001B5BF3">
      <w:pPr>
        <w:spacing w:line="240" w:lineRule="auto"/>
        <w:rPr>
          <w:rFonts w:ascii="Calibri" w:hAnsi="Calibri" w:cs="Calibri"/>
          <w:szCs w:val="22"/>
        </w:rPr>
      </w:pPr>
      <w:r w:rsidRPr="00401BF0">
        <w:rPr>
          <w:rFonts w:ascii="Calibri" w:hAnsi="Calibri" w:cs="Calibri"/>
          <w:szCs w:val="22"/>
        </w:rPr>
        <w:t xml:space="preserve">The World Bank. “Completion And Learning Review </w:t>
      </w:r>
      <w:proofErr w:type="gramStart"/>
      <w:r w:rsidRPr="00401BF0">
        <w:rPr>
          <w:rFonts w:ascii="Calibri" w:hAnsi="Calibri" w:cs="Calibri"/>
          <w:szCs w:val="22"/>
        </w:rPr>
        <w:t>Of</w:t>
      </w:r>
      <w:proofErr w:type="gramEnd"/>
      <w:r w:rsidRPr="00401BF0">
        <w:rPr>
          <w:rFonts w:ascii="Calibri" w:hAnsi="Calibri" w:cs="Calibri"/>
          <w:szCs w:val="22"/>
        </w:rPr>
        <w:t xml:space="preserve"> </w:t>
      </w:r>
      <w:proofErr w:type="gramStart"/>
      <w:r w:rsidRPr="00401BF0">
        <w:rPr>
          <w:rFonts w:ascii="Calibri" w:hAnsi="Calibri" w:cs="Calibri"/>
          <w:szCs w:val="22"/>
        </w:rPr>
        <w:t>The</w:t>
      </w:r>
      <w:proofErr w:type="gramEnd"/>
      <w:r w:rsidRPr="00401BF0">
        <w:rPr>
          <w:rFonts w:ascii="Calibri" w:hAnsi="Calibri" w:cs="Calibri"/>
          <w:szCs w:val="22"/>
        </w:rPr>
        <w:t xml:space="preserve"> Regional Partnership Framework </w:t>
      </w:r>
      <w:proofErr w:type="gramStart"/>
      <w:r w:rsidRPr="00401BF0">
        <w:rPr>
          <w:rFonts w:ascii="Calibri" w:hAnsi="Calibri" w:cs="Calibri"/>
          <w:szCs w:val="22"/>
        </w:rPr>
        <w:t>For</w:t>
      </w:r>
      <w:proofErr w:type="gramEnd"/>
      <w:r w:rsidRPr="00401BF0">
        <w:rPr>
          <w:rFonts w:ascii="Calibri" w:hAnsi="Calibri" w:cs="Calibri"/>
          <w:szCs w:val="22"/>
        </w:rPr>
        <w:t xml:space="preserve"> Nine Pacific Island Countries (PIC9): The Republic </w:t>
      </w:r>
      <w:proofErr w:type="gramStart"/>
      <w:r w:rsidRPr="00401BF0">
        <w:rPr>
          <w:rFonts w:ascii="Calibri" w:hAnsi="Calibri" w:cs="Calibri"/>
          <w:szCs w:val="22"/>
        </w:rPr>
        <w:t>Of</w:t>
      </w:r>
      <w:proofErr w:type="gramEnd"/>
      <w:r w:rsidRPr="00401BF0">
        <w:rPr>
          <w:rFonts w:ascii="Calibri" w:hAnsi="Calibri" w:cs="Calibri"/>
          <w:szCs w:val="22"/>
        </w:rPr>
        <w:t xml:space="preserve"> Kiribati, The Republic </w:t>
      </w:r>
      <w:proofErr w:type="gramStart"/>
      <w:r w:rsidRPr="00401BF0">
        <w:rPr>
          <w:rFonts w:ascii="Calibri" w:hAnsi="Calibri" w:cs="Calibri"/>
          <w:szCs w:val="22"/>
        </w:rPr>
        <w:t>Of</w:t>
      </w:r>
      <w:proofErr w:type="gramEnd"/>
      <w:r w:rsidRPr="00401BF0">
        <w:rPr>
          <w:rFonts w:ascii="Calibri" w:hAnsi="Calibri" w:cs="Calibri"/>
          <w:szCs w:val="22"/>
        </w:rPr>
        <w:t xml:space="preserve"> </w:t>
      </w:r>
      <w:proofErr w:type="gramStart"/>
      <w:r w:rsidRPr="00401BF0">
        <w:rPr>
          <w:rFonts w:ascii="Calibri" w:hAnsi="Calibri" w:cs="Calibri"/>
          <w:szCs w:val="22"/>
        </w:rPr>
        <w:t>The</w:t>
      </w:r>
      <w:proofErr w:type="gramEnd"/>
      <w:r w:rsidRPr="00401BF0">
        <w:rPr>
          <w:rFonts w:ascii="Calibri" w:hAnsi="Calibri" w:cs="Calibri"/>
          <w:szCs w:val="22"/>
        </w:rPr>
        <w:t xml:space="preserve"> Marshall Islands, The Federated States </w:t>
      </w:r>
      <w:proofErr w:type="gramStart"/>
      <w:r w:rsidRPr="00401BF0">
        <w:rPr>
          <w:rFonts w:ascii="Calibri" w:hAnsi="Calibri" w:cs="Calibri"/>
          <w:szCs w:val="22"/>
        </w:rPr>
        <w:t>Of</w:t>
      </w:r>
      <w:proofErr w:type="gramEnd"/>
      <w:r w:rsidRPr="00401BF0">
        <w:rPr>
          <w:rFonts w:ascii="Calibri" w:hAnsi="Calibri" w:cs="Calibri"/>
          <w:szCs w:val="22"/>
        </w:rPr>
        <w:t xml:space="preserve"> Micronesia, The Republic </w:t>
      </w:r>
      <w:proofErr w:type="gramStart"/>
      <w:r w:rsidRPr="00401BF0">
        <w:rPr>
          <w:rFonts w:ascii="Calibri" w:hAnsi="Calibri" w:cs="Calibri"/>
          <w:szCs w:val="22"/>
        </w:rPr>
        <w:t>Of</w:t>
      </w:r>
      <w:proofErr w:type="gramEnd"/>
      <w:r w:rsidRPr="00401BF0">
        <w:rPr>
          <w:rFonts w:ascii="Calibri" w:hAnsi="Calibri" w:cs="Calibri"/>
          <w:szCs w:val="22"/>
        </w:rPr>
        <w:t xml:space="preserve"> Nauru, The Republic </w:t>
      </w:r>
      <w:proofErr w:type="gramStart"/>
      <w:r w:rsidRPr="00401BF0">
        <w:rPr>
          <w:rFonts w:ascii="Calibri" w:hAnsi="Calibri" w:cs="Calibri"/>
          <w:szCs w:val="22"/>
        </w:rPr>
        <w:t>Of</w:t>
      </w:r>
      <w:proofErr w:type="gramEnd"/>
      <w:r w:rsidRPr="00401BF0">
        <w:rPr>
          <w:rFonts w:ascii="Calibri" w:hAnsi="Calibri" w:cs="Calibri"/>
          <w:szCs w:val="22"/>
        </w:rPr>
        <w:t xml:space="preserve"> Palau, The Independent State </w:t>
      </w:r>
      <w:proofErr w:type="gramStart"/>
      <w:r w:rsidRPr="00401BF0">
        <w:rPr>
          <w:rFonts w:ascii="Calibri" w:hAnsi="Calibri" w:cs="Calibri"/>
          <w:szCs w:val="22"/>
        </w:rPr>
        <w:t>Of</w:t>
      </w:r>
      <w:proofErr w:type="gramEnd"/>
      <w:r w:rsidRPr="00401BF0">
        <w:rPr>
          <w:rFonts w:ascii="Calibri" w:hAnsi="Calibri" w:cs="Calibri"/>
          <w:szCs w:val="22"/>
        </w:rPr>
        <w:t xml:space="preserve"> Samoa, The Kingdom </w:t>
      </w:r>
      <w:proofErr w:type="gramStart"/>
      <w:r w:rsidRPr="00401BF0">
        <w:rPr>
          <w:rFonts w:ascii="Calibri" w:hAnsi="Calibri" w:cs="Calibri"/>
          <w:szCs w:val="22"/>
        </w:rPr>
        <w:t>Of</w:t>
      </w:r>
      <w:proofErr w:type="gramEnd"/>
      <w:r w:rsidRPr="00401BF0">
        <w:rPr>
          <w:rFonts w:ascii="Calibri" w:hAnsi="Calibri" w:cs="Calibri"/>
          <w:szCs w:val="22"/>
        </w:rPr>
        <w:t xml:space="preserve"> Tonga, Tuvalu, And </w:t>
      </w:r>
      <w:proofErr w:type="gramStart"/>
      <w:r w:rsidRPr="00401BF0">
        <w:rPr>
          <w:rFonts w:ascii="Calibri" w:hAnsi="Calibri" w:cs="Calibri"/>
          <w:szCs w:val="22"/>
        </w:rPr>
        <w:t>The</w:t>
      </w:r>
      <w:proofErr w:type="gramEnd"/>
      <w:r w:rsidRPr="00401BF0">
        <w:rPr>
          <w:rFonts w:ascii="Calibri" w:hAnsi="Calibri" w:cs="Calibri"/>
          <w:szCs w:val="22"/>
        </w:rPr>
        <w:t xml:space="preserve"> Republic </w:t>
      </w:r>
      <w:proofErr w:type="gramStart"/>
      <w:r w:rsidRPr="00401BF0">
        <w:rPr>
          <w:rFonts w:ascii="Calibri" w:hAnsi="Calibri" w:cs="Calibri"/>
          <w:szCs w:val="22"/>
        </w:rPr>
        <w:t>Of</w:t>
      </w:r>
      <w:proofErr w:type="gramEnd"/>
      <w:r w:rsidRPr="00401BF0">
        <w:rPr>
          <w:rFonts w:ascii="Calibri" w:hAnsi="Calibri" w:cs="Calibri"/>
          <w:szCs w:val="22"/>
        </w:rPr>
        <w:t xml:space="preserve"> Vanuatu </w:t>
      </w:r>
      <w:proofErr w:type="gramStart"/>
      <w:r w:rsidRPr="00401BF0">
        <w:rPr>
          <w:rFonts w:ascii="Calibri" w:hAnsi="Calibri" w:cs="Calibri"/>
          <w:szCs w:val="22"/>
        </w:rPr>
        <w:t>For</w:t>
      </w:r>
      <w:proofErr w:type="gramEnd"/>
      <w:r w:rsidRPr="00401BF0">
        <w:rPr>
          <w:rFonts w:ascii="Calibri" w:hAnsi="Calibri" w:cs="Calibri"/>
          <w:szCs w:val="22"/>
        </w:rPr>
        <w:t xml:space="preserve"> </w:t>
      </w:r>
      <w:proofErr w:type="gramStart"/>
      <w:r w:rsidRPr="00401BF0">
        <w:rPr>
          <w:rFonts w:ascii="Calibri" w:hAnsi="Calibri" w:cs="Calibri"/>
          <w:szCs w:val="22"/>
        </w:rPr>
        <w:t>The</w:t>
      </w:r>
      <w:proofErr w:type="gramEnd"/>
      <w:r w:rsidRPr="00401BF0">
        <w:rPr>
          <w:rFonts w:ascii="Calibri" w:hAnsi="Calibri" w:cs="Calibri"/>
          <w:szCs w:val="22"/>
        </w:rPr>
        <w:t xml:space="preserve"> Period FY17-FY23.” (</w:t>
      </w:r>
      <w:r w:rsidR="00CB49C3">
        <w:rPr>
          <w:rFonts w:ascii="Calibri" w:hAnsi="Calibri" w:cs="Calibri"/>
          <w:szCs w:val="22"/>
        </w:rPr>
        <w:t>2017</w:t>
      </w:r>
      <w:r w:rsidRPr="00401BF0">
        <w:rPr>
          <w:rFonts w:ascii="Calibri" w:hAnsi="Calibri" w:cs="Calibri"/>
          <w:szCs w:val="22"/>
        </w:rPr>
        <w:t>).</w:t>
      </w:r>
    </w:p>
    <w:p w14:paraId="294872A8" w14:textId="77777777" w:rsidR="00787229" w:rsidRPr="00401BF0" w:rsidRDefault="00787229" w:rsidP="001B5BF3">
      <w:pPr>
        <w:spacing w:line="240" w:lineRule="auto"/>
        <w:rPr>
          <w:rFonts w:ascii="Calibri" w:hAnsi="Calibri" w:cs="Calibri"/>
          <w:szCs w:val="22"/>
        </w:rPr>
      </w:pPr>
    </w:p>
    <w:p w14:paraId="5EF42E32" w14:textId="77777777" w:rsidR="004B5CB2" w:rsidRDefault="004B5CB2" w:rsidP="001B5BF3">
      <w:pPr>
        <w:spacing w:line="240" w:lineRule="auto"/>
        <w:rPr>
          <w:rFonts w:ascii="Calibri" w:hAnsi="Calibri" w:cs="Calibri"/>
          <w:szCs w:val="22"/>
        </w:rPr>
      </w:pPr>
      <w:r w:rsidRPr="00401BF0">
        <w:rPr>
          <w:rFonts w:ascii="Calibri" w:hAnsi="Calibri" w:cs="Calibri"/>
          <w:szCs w:val="22"/>
        </w:rPr>
        <w:t>Tonga Statistics Department</w:t>
      </w:r>
      <w:r>
        <w:rPr>
          <w:rFonts w:ascii="Calibri" w:hAnsi="Calibri" w:cs="Calibri"/>
          <w:szCs w:val="22"/>
        </w:rPr>
        <w:t>. “</w:t>
      </w:r>
      <w:r w:rsidRPr="00401BF0">
        <w:rPr>
          <w:rFonts w:ascii="Calibri" w:hAnsi="Calibri" w:cs="Calibri"/>
          <w:szCs w:val="22"/>
        </w:rPr>
        <w:t>Household Income and Expenditure Survey 2021 (HIES 2021)</w:t>
      </w:r>
      <w:r>
        <w:rPr>
          <w:rFonts w:ascii="Calibri" w:hAnsi="Calibri" w:cs="Calibri"/>
          <w:szCs w:val="22"/>
        </w:rPr>
        <w:t xml:space="preserve">” </w:t>
      </w:r>
      <w:r w:rsidRPr="00401BF0">
        <w:rPr>
          <w:rFonts w:ascii="Calibri" w:hAnsi="Calibri" w:cs="Calibri"/>
          <w:szCs w:val="22"/>
        </w:rPr>
        <w:t xml:space="preserve">version 01 of the licensed dataset (October 2022), provided by the Microdata Library. </w:t>
      </w:r>
      <w:hyperlink r:id="rId24" w:history="1">
        <w:r w:rsidRPr="00401BF0">
          <w:rPr>
            <w:rStyle w:val="Hyperlink"/>
            <w:rFonts w:ascii="Calibri" w:hAnsi="Calibri" w:cs="Calibri"/>
            <w:szCs w:val="22"/>
          </w:rPr>
          <w:t>https://microdata.pacificdata.org/index.php/home</w:t>
        </w:r>
      </w:hyperlink>
    </w:p>
    <w:p w14:paraId="0DAC5231" w14:textId="77777777" w:rsidR="00787229" w:rsidRPr="00401BF0" w:rsidRDefault="00787229" w:rsidP="001B5BF3">
      <w:pPr>
        <w:spacing w:line="240" w:lineRule="auto"/>
        <w:rPr>
          <w:rFonts w:ascii="Calibri" w:hAnsi="Calibri" w:cs="Calibri"/>
          <w:szCs w:val="22"/>
        </w:rPr>
      </w:pPr>
    </w:p>
    <w:p w14:paraId="0E53762C" w14:textId="01F6D6EE" w:rsidR="00C44FF5" w:rsidRPr="00402DA5" w:rsidRDefault="004B5CB2" w:rsidP="008C31DF">
      <w:pPr>
        <w:spacing w:line="240" w:lineRule="auto"/>
        <w:rPr>
          <w:rFonts w:ascii="Calibri" w:eastAsia="Calibri" w:hAnsi="Calibri" w:cs="Times New Roman"/>
          <w:szCs w:val="22"/>
        </w:rPr>
      </w:pPr>
      <w:r w:rsidRPr="00401BF0">
        <w:rPr>
          <w:rFonts w:ascii="Calibri" w:hAnsi="Calibri" w:cs="Calibri"/>
          <w:szCs w:val="22"/>
        </w:rPr>
        <w:t>World Bank and Australian National University. Pacific Labor Mobility Survey (PLMS) 2021-2023, Waves 1. Ref ITA_2024_UKR-REF_v01_M. Washington D.C. (2023).</w:t>
      </w:r>
    </w:p>
    <w:sectPr w:rsidR="00C44FF5" w:rsidRPr="00402DA5" w:rsidSect="00F70582">
      <w:pgSz w:w="12240" w:h="15840" w:code="1"/>
      <w:pgMar w:top="1440" w:right="720" w:bottom="144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CE3C8" w14:textId="77777777" w:rsidR="00E021DD" w:rsidRDefault="00E021DD">
      <w:pPr>
        <w:spacing w:line="240" w:lineRule="auto"/>
      </w:pPr>
      <w:r>
        <w:separator/>
      </w:r>
    </w:p>
  </w:endnote>
  <w:endnote w:type="continuationSeparator" w:id="0">
    <w:p w14:paraId="79224AFA" w14:textId="77777777" w:rsidR="00E021DD" w:rsidRDefault="00E021DD">
      <w:pPr>
        <w:spacing w:line="240" w:lineRule="auto"/>
      </w:pPr>
      <w:r>
        <w:continuationSeparator/>
      </w:r>
    </w:p>
  </w:endnote>
  <w:endnote w:type="continuationNotice" w:id="1">
    <w:p w14:paraId="1E195BA7" w14:textId="77777777" w:rsidR="00E021DD" w:rsidRDefault="00E021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160" w:type="dxa"/>
      <w:tblInd w:w="-180" w:type="dxa"/>
      <w:tblCellMar>
        <w:left w:w="0" w:type="dxa"/>
        <w:right w:w="0" w:type="dxa"/>
      </w:tblCellMar>
      <w:tblLook w:val="04A0" w:firstRow="1" w:lastRow="0" w:firstColumn="1" w:lastColumn="0" w:noHBand="0" w:noVBand="1"/>
    </w:tblPr>
    <w:tblGrid>
      <w:gridCol w:w="5580"/>
      <w:gridCol w:w="5580"/>
    </w:tblGrid>
    <w:tr w:rsidR="00DD6229" w14:paraId="2B971DEC" w14:textId="77777777" w:rsidTr="00C60A33">
      <w:trPr>
        <w:trHeight w:val="80"/>
      </w:trPr>
      <w:tc>
        <w:tcPr>
          <w:tcW w:w="5580" w:type="dxa"/>
          <w:tcBorders>
            <w:top w:val="nil"/>
            <w:left w:val="nil"/>
            <w:bottom w:val="nil"/>
            <w:right w:val="nil"/>
          </w:tcBorders>
          <w:vAlign w:val="center"/>
        </w:tcPr>
        <w:p w14:paraId="1F1F0C9D" w14:textId="77777777" w:rsidR="00961720" w:rsidRPr="008C3869" w:rsidRDefault="00961720" w:rsidP="00961720">
          <w:pPr>
            <w:pStyle w:val="Footer"/>
            <w:rPr>
              <w:color w:val="7F7F7F" w:themeColor="text1" w:themeTint="80"/>
              <w:sz w:val="16"/>
              <w:szCs w:val="16"/>
            </w:rPr>
          </w:pPr>
        </w:p>
      </w:tc>
      <w:tc>
        <w:tcPr>
          <w:tcW w:w="5580" w:type="dxa"/>
          <w:tcBorders>
            <w:top w:val="nil"/>
            <w:left w:val="nil"/>
            <w:bottom w:val="nil"/>
            <w:right w:val="nil"/>
          </w:tcBorders>
          <w:vAlign w:val="center"/>
        </w:tcPr>
        <w:p w14:paraId="0533B443" w14:textId="77777777" w:rsidR="00961720" w:rsidRDefault="00961720" w:rsidP="00961720">
          <w:pPr>
            <w:pStyle w:val="Footer"/>
            <w:tabs>
              <w:tab w:val="clear" w:pos="4680"/>
              <w:tab w:val="center" w:pos="3870"/>
            </w:tabs>
            <w:ind w:right="89"/>
            <w:jc w:val="right"/>
            <w:rPr>
              <w:color w:val="7F7F7F" w:themeColor="text1" w:themeTint="80"/>
              <w:sz w:val="16"/>
              <w:szCs w:val="16"/>
            </w:rPr>
          </w:pPr>
        </w:p>
      </w:tc>
    </w:tr>
  </w:tbl>
  <w:p w14:paraId="5F63A752" w14:textId="77777777" w:rsidR="00961720" w:rsidRDefault="00D310E2">
    <w:pPr>
      <w:pStyle w:val="Footer"/>
    </w:pPr>
    <w:r>
      <w:rPr>
        <w:noProof/>
        <w:sz w:val="16"/>
        <w:szCs w:val="16"/>
      </w:rPr>
      <mc:AlternateContent>
        <mc:Choice Requires="wps">
          <w:drawing>
            <wp:anchor distT="0" distB="0" distL="114300" distR="114300" simplePos="0" relativeHeight="251656704" behindDoc="0" locked="0" layoutInCell="1" allowOverlap="1" wp14:anchorId="1DE3F675" wp14:editId="4D72BA0C">
              <wp:simplePos x="0" y="0"/>
              <wp:positionH relativeFrom="margin">
                <wp:posOffset>-161925</wp:posOffset>
              </wp:positionH>
              <wp:positionV relativeFrom="paragraph">
                <wp:posOffset>-191770</wp:posOffset>
              </wp:positionV>
              <wp:extent cx="7248525" cy="0"/>
              <wp:effectExtent l="0" t="0" r="28575" b="19050"/>
              <wp:wrapNone/>
              <wp:docPr id="32775" name="Straight Connector 3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852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ECC4D" id="Straight Connector 32775" o:spid="_x0000_s1026" style="position:absolute;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75pt,-15.1pt" to="55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" strokecolor="#4e92d1 [3044]">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160" w:type="dxa"/>
      <w:tblInd w:w="-180" w:type="dxa"/>
      <w:tblCellMar>
        <w:left w:w="0" w:type="dxa"/>
        <w:right w:w="0" w:type="dxa"/>
      </w:tblCellMar>
      <w:tblLook w:val="04A0" w:firstRow="1" w:lastRow="0" w:firstColumn="1" w:lastColumn="0" w:noHBand="0" w:noVBand="1"/>
    </w:tblPr>
    <w:tblGrid>
      <w:gridCol w:w="5580"/>
      <w:gridCol w:w="5580"/>
    </w:tblGrid>
    <w:tr w:rsidR="00DD6229" w14:paraId="3316528D" w14:textId="77777777" w:rsidTr="00C60A33">
      <w:trPr>
        <w:trHeight w:val="80"/>
      </w:trPr>
      <w:tc>
        <w:tcPr>
          <w:tcW w:w="5580" w:type="dxa"/>
          <w:tcBorders>
            <w:top w:val="nil"/>
            <w:left w:val="nil"/>
            <w:bottom w:val="nil"/>
            <w:right w:val="nil"/>
          </w:tcBorders>
          <w:vAlign w:val="center"/>
        </w:tcPr>
        <w:p w14:paraId="0D64285D" w14:textId="77777777" w:rsidR="00F53F75" w:rsidRPr="008C3869" w:rsidRDefault="00F53F75" w:rsidP="00961720">
          <w:pPr>
            <w:pStyle w:val="Footer"/>
            <w:rPr>
              <w:color w:val="7F7F7F" w:themeColor="text1" w:themeTint="80"/>
              <w:sz w:val="16"/>
              <w:szCs w:val="16"/>
            </w:rPr>
          </w:pPr>
        </w:p>
      </w:tc>
      <w:tc>
        <w:tcPr>
          <w:tcW w:w="5580" w:type="dxa"/>
          <w:tcBorders>
            <w:top w:val="nil"/>
            <w:left w:val="nil"/>
            <w:bottom w:val="nil"/>
            <w:right w:val="nil"/>
          </w:tcBorders>
          <w:vAlign w:val="center"/>
        </w:tcPr>
        <w:p w14:paraId="566D1D9F" w14:textId="77777777" w:rsidR="00F53F75" w:rsidRDefault="00F53F75" w:rsidP="00961720">
          <w:pPr>
            <w:pStyle w:val="Footer"/>
            <w:tabs>
              <w:tab w:val="clear" w:pos="4680"/>
              <w:tab w:val="center" w:pos="3870"/>
            </w:tabs>
            <w:ind w:right="89"/>
            <w:jc w:val="right"/>
            <w:rPr>
              <w:color w:val="7F7F7F" w:themeColor="text1" w:themeTint="80"/>
              <w:sz w:val="16"/>
              <w:szCs w:val="16"/>
            </w:rPr>
          </w:pPr>
        </w:p>
      </w:tc>
    </w:tr>
  </w:tbl>
  <w:p w14:paraId="7A69B360" w14:textId="77777777" w:rsidR="00F53F75" w:rsidRDefault="00D310E2">
    <w:pPr>
      <w:pStyle w:val="Footer"/>
    </w:pPr>
    <w:r>
      <w:rPr>
        <w:noProof/>
        <w:sz w:val="16"/>
        <w:szCs w:val="16"/>
      </w:rPr>
      <mc:AlternateContent>
        <mc:Choice Requires="wps">
          <w:drawing>
            <wp:anchor distT="0" distB="0" distL="114300" distR="114300" simplePos="0" relativeHeight="251659776" behindDoc="0" locked="0" layoutInCell="1" allowOverlap="1" wp14:anchorId="50A0138C" wp14:editId="281AB256">
              <wp:simplePos x="0" y="0"/>
              <wp:positionH relativeFrom="margin">
                <wp:posOffset>-161925</wp:posOffset>
              </wp:positionH>
              <wp:positionV relativeFrom="paragraph">
                <wp:posOffset>-191770</wp:posOffset>
              </wp:positionV>
              <wp:extent cx="72485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852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CD67" id="Straight Connector 3" o:spid="_x0000_s1026" style="position:absolute;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75pt,-15.1pt" to="55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" strokecolor="#4e92d1 [3044]">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160" w:type="dxa"/>
      <w:tblInd w:w="-180" w:type="dxa"/>
      <w:tblCellMar>
        <w:left w:w="0" w:type="dxa"/>
        <w:right w:w="0" w:type="dxa"/>
      </w:tblCellMar>
      <w:tblLook w:val="04A0" w:firstRow="1" w:lastRow="0" w:firstColumn="1" w:lastColumn="0" w:noHBand="0" w:noVBand="1"/>
    </w:tblPr>
    <w:tblGrid>
      <w:gridCol w:w="5580"/>
      <w:gridCol w:w="5580"/>
    </w:tblGrid>
    <w:tr w:rsidR="00DD6229" w14:paraId="093DE976" w14:textId="77777777" w:rsidTr="00C60A33">
      <w:trPr>
        <w:trHeight w:val="80"/>
      </w:trPr>
      <w:tc>
        <w:tcPr>
          <w:tcW w:w="5580" w:type="dxa"/>
          <w:tcBorders>
            <w:top w:val="nil"/>
            <w:left w:val="nil"/>
            <w:bottom w:val="nil"/>
            <w:right w:val="nil"/>
          </w:tcBorders>
          <w:vAlign w:val="center"/>
        </w:tcPr>
        <w:p w14:paraId="37637864" w14:textId="77777777" w:rsidR="00F53F75" w:rsidRPr="008C3869" w:rsidRDefault="00F53F75" w:rsidP="00961720">
          <w:pPr>
            <w:pStyle w:val="Footer"/>
            <w:rPr>
              <w:color w:val="7F7F7F" w:themeColor="text1" w:themeTint="80"/>
              <w:sz w:val="16"/>
              <w:szCs w:val="16"/>
            </w:rPr>
          </w:pPr>
        </w:p>
      </w:tc>
      <w:tc>
        <w:tcPr>
          <w:tcW w:w="5580" w:type="dxa"/>
          <w:tcBorders>
            <w:top w:val="nil"/>
            <w:left w:val="nil"/>
            <w:bottom w:val="nil"/>
            <w:right w:val="nil"/>
          </w:tcBorders>
          <w:vAlign w:val="center"/>
        </w:tcPr>
        <w:p w14:paraId="7E0E64CC" w14:textId="77777777" w:rsidR="00F53F75" w:rsidRDefault="00F53F75" w:rsidP="00961720">
          <w:pPr>
            <w:pStyle w:val="Footer"/>
            <w:tabs>
              <w:tab w:val="clear" w:pos="4680"/>
              <w:tab w:val="center" w:pos="3870"/>
            </w:tabs>
            <w:ind w:right="89"/>
            <w:jc w:val="right"/>
            <w:rPr>
              <w:color w:val="7F7F7F" w:themeColor="text1" w:themeTint="80"/>
              <w:sz w:val="16"/>
              <w:szCs w:val="16"/>
            </w:rPr>
          </w:pPr>
        </w:p>
      </w:tc>
    </w:tr>
  </w:tbl>
  <w:p w14:paraId="27321761" w14:textId="77777777" w:rsidR="00F53F75" w:rsidRDefault="00D310E2">
    <w:pPr>
      <w:pStyle w:val="Footer"/>
    </w:pPr>
    <w:r>
      <w:rPr>
        <w:noProof/>
        <w:sz w:val="16"/>
        <w:szCs w:val="16"/>
      </w:rPr>
      <mc:AlternateContent>
        <mc:Choice Requires="wps">
          <w:drawing>
            <wp:anchor distT="0" distB="0" distL="114300" distR="114300" simplePos="0" relativeHeight="251660800" behindDoc="0" locked="0" layoutInCell="1" allowOverlap="1" wp14:anchorId="233843DE" wp14:editId="40905F16">
              <wp:simplePos x="0" y="0"/>
              <wp:positionH relativeFrom="margin">
                <wp:posOffset>-161925</wp:posOffset>
              </wp:positionH>
              <wp:positionV relativeFrom="paragraph">
                <wp:posOffset>-191770</wp:posOffset>
              </wp:positionV>
              <wp:extent cx="72485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852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3348C" id="Straight Connector 8" o:spid="_x0000_s1026" style="position:absolute;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75pt,-15.1pt" to="55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" strokecolor="#4e92d1 [3044]">
              <w10:wrap anchorx="margin"/>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46808"/>
      <w:docPartObj>
        <w:docPartGallery w:val="Page Numbers (Bottom of Page)"/>
        <w:docPartUnique/>
      </w:docPartObj>
    </w:sdtPr>
    <w:sdtEndPr>
      <w:rPr>
        <w:noProof/>
      </w:rPr>
    </w:sdtEndPr>
    <w:sdtContent>
      <w:p w14:paraId="6D0CCD91" w14:textId="77777777" w:rsidR="00F53F75" w:rsidRDefault="00000000">
        <w:pPr>
          <w:pStyle w:val="Footer"/>
          <w:jc w:val="right"/>
        </w:pPr>
      </w:p>
    </w:sdtContent>
  </w:sdt>
  <w:p w14:paraId="1F372BB7" w14:textId="77777777" w:rsidR="00F53F75" w:rsidRDefault="00F53F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23211"/>
      <w:docPartObj>
        <w:docPartGallery w:val="Page Numbers (Bottom of Page)"/>
        <w:docPartUnique/>
      </w:docPartObj>
    </w:sdtPr>
    <w:sdtEndPr>
      <w:rPr>
        <w:noProof/>
      </w:rPr>
    </w:sdtEndPr>
    <w:sdtContent>
      <w:p w14:paraId="3F630F32" w14:textId="77777777" w:rsidR="00F53F75" w:rsidRDefault="00D310E2">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564AB4AC" w14:textId="77777777" w:rsidR="00F53F75" w:rsidRDefault="00F53F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710" w:type="dxa"/>
      <w:tblCellMar>
        <w:left w:w="0" w:type="dxa"/>
        <w:right w:w="0" w:type="dxa"/>
      </w:tblCellMar>
      <w:tblLook w:val="04A0" w:firstRow="1" w:lastRow="0" w:firstColumn="1" w:lastColumn="0" w:noHBand="0" w:noVBand="1"/>
    </w:tblPr>
    <w:tblGrid>
      <w:gridCol w:w="5580"/>
      <w:gridCol w:w="5130"/>
    </w:tblGrid>
    <w:tr w:rsidR="00DD6229" w14:paraId="6C76BDB3" w14:textId="77777777" w:rsidTr="00035EE0">
      <w:trPr>
        <w:trHeight w:val="80"/>
      </w:trPr>
      <w:tc>
        <w:tcPr>
          <w:tcW w:w="5580" w:type="dxa"/>
          <w:tcBorders>
            <w:top w:val="nil"/>
            <w:left w:val="nil"/>
            <w:bottom w:val="nil"/>
            <w:right w:val="nil"/>
          </w:tcBorders>
          <w:vAlign w:val="center"/>
        </w:tcPr>
        <w:p w14:paraId="6B356A3D" w14:textId="77777777" w:rsidR="00EE131D" w:rsidRPr="003E3AFB" w:rsidRDefault="00EE131D" w:rsidP="003E3AFB">
          <w:pPr>
            <w:pStyle w:val="Footer"/>
            <w:rPr>
              <w:sz w:val="16"/>
              <w:szCs w:val="16"/>
            </w:rPr>
          </w:pPr>
        </w:p>
      </w:tc>
      <w:tc>
        <w:tcPr>
          <w:tcW w:w="5130" w:type="dxa"/>
          <w:tcBorders>
            <w:top w:val="nil"/>
            <w:left w:val="nil"/>
            <w:bottom w:val="nil"/>
            <w:right w:val="nil"/>
          </w:tcBorders>
          <w:vAlign w:val="center"/>
        </w:tcPr>
        <w:p w14:paraId="7B399E31" w14:textId="77777777" w:rsidR="00EE131D" w:rsidRPr="003E3AFB" w:rsidRDefault="00D310E2" w:rsidP="003E3AFB">
          <w:pPr>
            <w:pStyle w:val="Footer"/>
            <w:tabs>
              <w:tab w:val="clear" w:pos="4680"/>
              <w:tab w:val="center" w:pos="3870"/>
            </w:tabs>
            <w:ind w:right="89"/>
            <w:jc w:val="right"/>
            <w:rPr>
              <w:sz w:val="16"/>
              <w:szCs w:val="16"/>
            </w:rPr>
          </w:pPr>
          <w:r w:rsidRPr="003E3AFB">
            <w:rPr>
              <w:sz w:val="16"/>
              <w:szCs w:val="16"/>
            </w:rPr>
            <w:t xml:space="preserve">Page </w:t>
          </w:r>
          <w:r w:rsidRPr="003E3AFB">
            <w:rPr>
              <w:bCs/>
              <w:sz w:val="16"/>
              <w:szCs w:val="16"/>
            </w:rPr>
            <w:fldChar w:fldCharType="begin"/>
          </w:r>
          <w:r w:rsidRPr="003E3AFB">
            <w:rPr>
              <w:bCs/>
              <w:sz w:val="16"/>
              <w:szCs w:val="16"/>
            </w:rPr>
            <w:instrText xml:space="preserve"> PAGE  \* Arabic </w:instrText>
          </w:r>
          <w:r w:rsidRPr="003E3AFB">
            <w:rPr>
              <w:bCs/>
              <w:sz w:val="16"/>
              <w:szCs w:val="16"/>
            </w:rPr>
            <w:fldChar w:fldCharType="separate"/>
          </w:r>
          <w:r w:rsidRPr="003E3AFB">
            <w:rPr>
              <w:bCs/>
              <w:sz w:val="16"/>
              <w:szCs w:val="16"/>
            </w:rPr>
            <w:t>6</w:t>
          </w:r>
          <w:r w:rsidRPr="003E3AFB">
            <w:rPr>
              <w:bCs/>
              <w:sz w:val="16"/>
              <w:szCs w:val="16"/>
            </w:rPr>
            <w:fldChar w:fldCharType="end"/>
          </w:r>
        </w:p>
      </w:tc>
    </w:tr>
  </w:tbl>
  <w:p w14:paraId="22587EA1" w14:textId="77777777" w:rsidR="00EE131D" w:rsidRPr="0018140C" w:rsidRDefault="00D310E2" w:rsidP="0018140C">
    <w:pPr>
      <w:pStyle w:val="Footer"/>
    </w:pPr>
    <w:r>
      <w:rPr>
        <w:noProof/>
      </w:rPr>
      <mc:AlternateContent>
        <mc:Choice Requires="wps">
          <w:drawing>
            <wp:anchor distT="0" distB="0" distL="114300" distR="114300" simplePos="0" relativeHeight="251652608" behindDoc="0" locked="0" layoutInCell="1" allowOverlap="1" wp14:anchorId="7D9C94BF" wp14:editId="7B0367B5">
              <wp:simplePos x="0" y="0"/>
              <wp:positionH relativeFrom="column">
                <wp:posOffset>-47626</wp:posOffset>
              </wp:positionH>
              <wp:positionV relativeFrom="paragraph">
                <wp:posOffset>-170815</wp:posOffset>
              </wp:positionV>
              <wp:extent cx="697166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E0B82" id="Straight Connector 4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5pt,-13.45pt" to="545.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" strokecolor="#5b9bd5 [3204]" strokeweight=".5pt">
              <v:stroke joinstyle="miter"/>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710" w:type="dxa"/>
      <w:tblCellMar>
        <w:left w:w="0" w:type="dxa"/>
        <w:right w:w="0" w:type="dxa"/>
      </w:tblCellMar>
      <w:tblLook w:val="04A0" w:firstRow="1" w:lastRow="0" w:firstColumn="1" w:lastColumn="0" w:noHBand="0" w:noVBand="1"/>
    </w:tblPr>
    <w:tblGrid>
      <w:gridCol w:w="5580"/>
      <w:gridCol w:w="5130"/>
    </w:tblGrid>
    <w:tr w:rsidR="00DD6229" w14:paraId="48D4B3E0" w14:textId="77777777" w:rsidTr="00035EE0">
      <w:trPr>
        <w:trHeight w:val="80"/>
      </w:trPr>
      <w:tc>
        <w:tcPr>
          <w:tcW w:w="5580" w:type="dxa"/>
          <w:tcBorders>
            <w:top w:val="nil"/>
            <w:left w:val="nil"/>
            <w:bottom w:val="nil"/>
            <w:right w:val="nil"/>
          </w:tcBorders>
          <w:vAlign w:val="center"/>
        </w:tcPr>
        <w:p w14:paraId="40DAC292" w14:textId="77777777" w:rsidR="00F953F7" w:rsidRPr="003E3AFB" w:rsidRDefault="00F953F7" w:rsidP="003E3AFB">
          <w:pPr>
            <w:pStyle w:val="Footer"/>
            <w:rPr>
              <w:sz w:val="16"/>
              <w:szCs w:val="16"/>
            </w:rPr>
          </w:pPr>
        </w:p>
      </w:tc>
      <w:tc>
        <w:tcPr>
          <w:tcW w:w="5130" w:type="dxa"/>
          <w:tcBorders>
            <w:top w:val="nil"/>
            <w:left w:val="nil"/>
            <w:bottom w:val="nil"/>
            <w:right w:val="nil"/>
          </w:tcBorders>
          <w:vAlign w:val="center"/>
        </w:tcPr>
        <w:p w14:paraId="23673122" w14:textId="77777777" w:rsidR="00F953F7" w:rsidRPr="003E3AFB" w:rsidRDefault="00D310E2" w:rsidP="003E3AFB">
          <w:pPr>
            <w:pStyle w:val="Footer"/>
            <w:tabs>
              <w:tab w:val="clear" w:pos="4680"/>
              <w:tab w:val="center" w:pos="3870"/>
            </w:tabs>
            <w:ind w:right="89"/>
            <w:jc w:val="right"/>
            <w:rPr>
              <w:sz w:val="16"/>
              <w:szCs w:val="16"/>
            </w:rPr>
          </w:pPr>
          <w:r w:rsidRPr="003E3AFB">
            <w:rPr>
              <w:sz w:val="16"/>
              <w:szCs w:val="16"/>
            </w:rPr>
            <w:t xml:space="preserve">Page </w:t>
          </w:r>
          <w:r w:rsidRPr="003E3AFB">
            <w:rPr>
              <w:bCs/>
              <w:sz w:val="16"/>
              <w:szCs w:val="16"/>
            </w:rPr>
            <w:fldChar w:fldCharType="begin"/>
          </w:r>
          <w:r w:rsidRPr="003E3AFB">
            <w:rPr>
              <w:bCs/>
              <w:sz w:val="16"/>
              <w:szCs w:val="16"/>
            </w:rPr>
            <w:instrText xml:space="preserve"> PAGE  \* Arabic </w:instrText>
          </w:r>
          <w:r w:rsidRPr="003E3AFB">
            <w:rPr>
              <w:bCs/>
              <w:sz w:val="16"/>
              <w:szCs w:val="16"/>
            </w:rPr>
            <w:fldChar w:fldCharType="separate"/>
          </w:r>
          <w:r w:rsidRPr="003E3AFB">
            <w:rPr>
              <w:bCs/>
              <w:sz w:val="16"/>
              <w:szCs w:val="16"/>
            </w:rPr>
            <w:t>5</w:t>
          </w:r>
          <w:r w:rsidRPr="003E3AFB">
            <w:rPr>
              <w:bCs/>
              <w:sz w:val="16"/>
              <w:szCs w:val="16"/>
            </w:rPr>
            <w:fldChar w:fldCharType="end"/>
          </w:r>
        </w:p>
      </w:tc>
    </w:tr>
  </w:tbl>
  <w:p w14:paraId="23058001" w14:textId="77777777" w:rsidR="00F953F7" w:rsidRPr="0018140C" w:rsidRDefault="00D310E2" w:rsidP="0018140C">
    <w:pPr>
      <w:pStyle w:val="Footer"/>
    </w:pPr>
    <w:r>
      <w:rPr>
        <w:noProof/>
      </w:rPr>
      <mc:AlternateContent>
        <mc:Choice Requires="wps">
          <w:drawing>
            <wp:anchor distT="0" distB="0" distL="114300" distR="114300" simplePos="0" relativeHeight="251661824" behindDoc="0" locked="0" layoutInCell="1" allowOverlap="1" wp14:anchorId="4CAE8290" wp14:editId="5DD3B93C">
              <wp:simplePos x="0" y="0"/>
              <wp:positionH relativeFrom="column">
                <wp:posOffset>-47626</wp:posOffset>
              </wp:positionH>
              <wp:positionV relativeFrom="paragraph">
                <wp:posOffset>-170815</wp:posOffset>
              </wp:positionV>
              <wp:extent cx="697166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971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4B155" id="Straight Connector 11"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3.75pt,-13.45pt" to="545.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" strokecolor="#5b9bd5 [3204]" strokeweight=".5pt">
              <v:stroke joinstyle="miter"/>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2FED" w14:textId="77777777" w:rsidR="00EE131D" w:rsidRDefault="00D310E2" w:rsidP="0018140C">
    <w:pPr>
      <w:pStyle w:val="Footer"/>
    </w:pPr>
    <w:r>
      <w:rPr>
        <w:noProof/>
      </w:rPr>
      <mc:AlternateContent>
        <mc:Choice Requires="wps">
          <w:drawing>
            <wp:anchor distT="0" distB="0" distL="114300" distR="114300" simplePos="0" relativeHeight="251654656" behindDoc="0" locked="0" layoutInCell="1" allowOverlap="1" wp14:anchorId="0A6817AC" wp14:editId="5660DBC7">
              <wp:simplePos x="0" y="0"/>
              <wp:positionH relativeFrom="page">
                <wp:align>center</wp:align>
              </wp:positionH>
              <wp:positionV relativeFrom="paragraph">
                <wp:posOffset>116205</wp:posOffset>
              </wp:positionV>
              <wp:extent cx="920115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920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DAE17" id="Straight Connector 51" o:spid="_x0000_s1026" style="position:absolute;z-index:25165824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15pt" to="72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" strokecolor="#5b9bd5 [3204]" strokeweight=".5pt">
              <v:stroke joinstyle="miter"/>
              <w10:wrap anchorx="page"/>
            </v:line>
          </w:pict>
        </mc:Fallback>
      </mc:AlternateContent>
    </w:r>
  </w:p>
  <w:tbl>
    <w:tblPr>
      <w:tblStyle w:val="TableGrid"/>
      <w:tblW w:w="14310" w:type="dxa"/>
      <w:tblInd w:w="-90" w:type="dxa"/>
      <w:tblCellMar>
        <w:left w:w="0" w:type="dxa"/>
        <w:right w:w="0" w:type="dxa"/>
      </w:tblCellMar>
      <w:tblLook w:val="04A0" w:firstRow="1" w:lastRow="0" w:firstColumn="1" w:lastColumn="0" w:noHBand="0" w:noVBand="1"/>
    </w:tblPr>
    <w:tblGrid>
      <w:gridCol w:w="5580"/>
      <w:gridCol w:w="8730"/>
    </w:tblGrid>
    <w:tr w:rsidR="00DD6229" w14:paraId="5794F188" w14:textId="77777777" w:rsidTr="00961720">
      <w:trPr>
        <w:trHeight w:val="80"/>
      </w:trPr>
      <w:tc>
        <w:tcPr>
          <w:tcW w:w="5580" w:type="dxa"/>
          <w:tcBorders>
            <w:top w:val="nil"/>
            <w:left w:val="nil"/>
            <w:bottom w:val="nil"/>
            <w:right w:val="nil"/>
          </w:tcBorders>
          <w:vAlign w:val="center"/>
        </w:tcPr>
        <w:p w14:paraId="059E597D" w14:textId="77777777" w:rsidR="00EE131D" w:rsidRPr="003E3AFB" w:rsidRDefault="00EE131D" w:rsidP="003E3AFB">
          <w:pPr>
            <w:pStyle w:val="Footer"/>
            <w:rPr>
              <w:sz w:val="16"/>
              <w:szCs w:val="16"/>
            </w:rPr>
          </w:pPr>
        </w:p>
      </w:tc>
      <w:tc>
        <w:tcPr>
          <w:tcW w:w="8730" w:type="dxa"/>
          <w:tcBorders>
            <w:top w:val="nil"/>
            <w:left w:val="nil"/>
            <w:bottom w:val="nil"/>
            <w:right w:val="nil"/>
          </w:tcBorders>
          <w:vAlign w:val="center"/>
        </w:tcPr>
        <w:p w14:paraId="26DBC157" w14:textId="77777777" w:rsidR="00EE131D" w:rsidRPr="003E3AFB" w:rsidRDefault="00D310E2" w:rsidP="003E3AFB">
          <w:pPr>
            <w:pStyle w:val="Footer"/>
            <w:tabs>
              <w:tab w:val="clear" w:pos="4680"/>
              <w:tab w:val="center" w:pos="3870"/>
            </w:tabs>
            <w:ind w:left="-90" w:right="89"/>
            <w:jc w:val="right"/>
            <w:rPr>
              <w:sz w:val="16"/>
              <w:szCs w:val="16"/>
            </w:rPr>
          </w:pPr>
          <w:r w:rsidRPr="003E3AFB">
            <w:rPr>
              <w:sz w:val="16"/>
              <w:szCs w:val="16"/>
            </w:rPr>
            <w:t xml:space="preserve">Page </w:t>
          </w:r>
          <w:r w:rsidRPr="003E3AFB">
            <w:rPr>
              <w:bCs/>
              <w:sz w:val="16"/>
              <w:szCs w:val="16"/>
            </w:rPr>
            <w:fldChar w:fldCharType="begin"/>
          </w:r>
          <w:r w:rsidRPr="003E3AFB">
            <w:rPr>
              <w:bCs/>
              <w:sz w:val="16"/>
              <w:szCs w:val="16"/>
            </w:rPr>
            <w:instrText xml:space="preserve"> PAGE  \* Arabic </w:instrText>
          </w:r>
          <w:r w:rsidRPr="003E3AFB">
            <w:rPr>
              <w:bCs/>
              <w:sz w:val="16"/>
              <w:szCs w:val="16"/>
            </w:rPr>
            <w:fldChar w:fldCharType="separate"/>
          </w:r>
          <w:r w:rsidRPr="003E3AFB">
            <w:rPr>
              <w:bCs/>
              <w:sz w:val="16"/>
              <w:szCs w:val="16"/>
            </w:rPr>
            <w:t>13</w:t>
          </w:r>
          <w:r w:rsidRPr="003E3AFB">
            <w:rPr>
              <w:bCs/>
              <w:sz w:val="16"/>
              <w:szCs w:val="16"/>
            </w:rPr>
            <w:fldChar w:fldCharType="end"/>
          </w:r>
        </w:p>
      </w:tc>
    </w:tr>
  </w:tbl>
  <w:p w14:paraId="0802E0D3" w14:textId="77777777" w:rsidR="00EE131D" w:rsidRPr="0018140C" w:rsidRDefault="00EE131D" w:rsidP="003E3A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DA1D1" w14:textId="77777777" w:rsidR="00E63303" w:rsidRDefault="00D310E2" w:rsidP="0018140C">
    <w:pPr>
      <w:pStyle w:val="Footer"/>
    </w:pPr>
    <w:r>
      <w:rPr>
        <w:noProof/>
      </w:rPr>
      <mc:AlternateContent>
        <mc:Choice Requires="wps">
          <w:drawing>
            <wp:anchor distT="0" distB="0" distL="114300" distR="114300" simplePos="0" relativeHeight="251658752" behindDoc="0" locked="0" layoutInCell="1" allowOverlap="1" wp14:anchorId="1FFDB41D" wp14:editId="62F38D3B">
              <wp:simplePos x="0" y="0"/>
              <wp:positionH relativeFrom="page">
                <wp:align>center</wp:align>
              </wp:positionH>
              <wp:positionV relativeFrom="paragraph">
                <wp:posOffset>116205</wp:posOffset>
              </wp:positionV>
              <wp:extent cx="731520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60D782" id="Straight Connector 43" o:spid="_x0000_s1026" style="position:absolute;z-index:25165824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9.15pt" to="8in,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" strokecolor="#5b9bd5 [3204]" strokeweight=".5pt">
              <v:stroke joinstyle="miter"/>
              <w10:wrap anchorx="page"/>
            </v:line>
          </w:pict>
        </mc:Fallback>
      </mc:AlternateContent>
    </w:r>
  </w:p>
  <w:tbl>
    <w:tblPr>
      <w:tblStyle w:val="TableGrid"/>
      <w:tblW w:w="11250" w:type="dxa"/>
      <w:tblInd w:w="-180" w:type="dxa"/>
      <w:tblCellMar>
        <w:left w:w="0" w:type="dxa"/>
        <w:right w:w="0" w:type="dxa"/>
      </w:tblCellMar>
      <w:tblLook w:val="04A0" w:firstRow="1" w:lastRow="0" w:firstColumn="1" w:lastColumn="0" w:noHBand="0" w:noVBand="1"/>
    </w:tblPr>
    <w:tblGrid>
      <w:gridCol w:w="5490"/>
      <w:gridCol w:w="5760"/>
    </w:tblGrid>
    <w:tr w:rsidR="00DD6229" w14:paraId="76083BB6" w14:textId="77777777" w:rsidTr="00A47203">
      <w:trPr>
        <w:trHeight w:val="80"/>
      </w:trPr>
      <w:tc>
        <w:tcPr>
          <w:tcW w:w="5490" w:type="dxa"/>
          <w:tcBorders>
            <w:top w:val="nil"/>
            <w:left w:val="nil"/>
            <w:bottom w:val="nil"/>
            <w:right w:val="nil"/>
          </w:tcBorders>
          <w:vAlign w:val="center"/>
        </w:tcPr>
        <w:p w14:paraId="3355BE0C" w14:textId="77777777" w:rsidR="00E63303" w:rsidRPr="003E3AFB" w:rsidRDefault="00E63303" w:rsidP="003E3AFB">
          <w:pPr>
            <w:pStyle w:val="Footer"/>
            <w:rPr>
              <w:sz w:val="16"/>
              <w:szCs w:val="16"/>
            </w:rPr>
          </w:pPr>
        </w:p>
      </w:tc>
      <w:tc>
        <w:tcPr>
          <w:tcW w:w="5760" w:type="dxa"/>
          <w:tcBorders>
            <w:top w:val="nil"/>
            <w:left w:val="nil"/>
            <w:bottom w:val="nil"/>
            <w:right w:val="nil"/>
          </w:tcBorders>
          <w:vAlign w:val="center"/>
        </w:tcPr>
        <w:p w14:paraId="7B689425" w14:textId="77777777" w:rsidR="00E63303" w:rsidRPr="003E3AFB" w:rsidRDefault="00D310E2" w:rsidP="003E3AFB">
          <w:pPr>
            <w:pStyle w:val="Footer"/>
            <w:tabs>
              <w:tab w:val="clear" w:pos="4680"/>
              <w:tab w:val="center" w:pos="3870"/>
            </w:tabs>
            <w:ind w:left="-90" w:right="89"/>
            <w:jc w:val="right"/>
            <w:rPr>
              <w:sz w:val="16"/>
              <w:szCs w:val="16"/>
            </w:rPr>
          </w:pPr>
          <w:r w:rsidRPr="003E3AFB">
            <w:rPr>
              <w:sz w:val="16"/>
              <w:szCs w:val="16"/>
            </w:rPr>
            <w:t xml:space="preserve">Page </w:t>
          </w:r>
          <w:r w:rsidRPr="003E3AFB">
            <w:rPr>
              <w:bCs/>
              <w:sz w:val="16"/>
              <w:szCs w:val="16"/>
            </w:rPr>
            <w:fldChar w:fldCharType="begin"/>
          </w:r>
          <w:r w:rsidRPr="003E3AFB">
            <w:rPr>
              <w:bCs/>
              <w:sz w:val="16"/>
              <w:szCs w:val="16"/>
            </w:rPr>
            <w:instrText xml:space="preserve"> PAGE  \* Arabic </w:instrText>
          </w:r>
          <w:r w:rsidRPr="003E3AFB">
            <w:rPr>
              <w:bCs/>
              <w:sz w:val="16"/>
              <w:szCs w:val="16"/>
            </w:rPr>
            <w:fldChar w:fldCharType="separate"/>
          </w:r>
          <w:r w:rsidRPr="003E3AFB">
            <w:rPr>
              <w:bCs/>
              <w:sz w:val="16"/>
              <w:szCs w:val="16"/>
            </w:rPr>
            <w:t>18</w:t>
          </w:r>
          <w:r w:rsidRPr="003E3AFB">
            <w:rPr>
              <w:bCs/>
              <w:sz w:val="16"/>
              <w:szCs w:val="16"/>
            </w:rPr>
            <w:fldChar w:fldCharType="end"/>
          </w:r>
        </w:p>
      </w:tc>
    </w:tr>
  </w:tbl>
  <w:p w14:paraId="34E7A117" w14:textId="77777777" w:rsidR="00E63303" w:rsidRPr="0018140C" w:rsidRDefault="00E63303" w:rsidP="003E3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45B23" w14:textId="77777777" w:rsidR="00E021DD" w:rsidRDefault="00E021DD">
      <w:pPr>
        <w:spacing w:line="240" w:lineRule="auto"/>
      </w:pPr>
      <w:r>
        <w:separator/>
      </w:r>
    </w:p>
  </w:footnote>
  <w:footnote w:type="continuationSeparator" w:id="0">
    <w:p w14:paraId="5AA28FF4" w14:textId="77777777" w:rsidR="00E021DD" w:rsidRDefault="00E021DD">
      <w:pPr>
        <w:spacing w:line="240" w:lineRule="auto"/>
      </w:pPr>
      <w:r>
        <w:continuationSeparator/>
      </w:r>
    </w:p>
  </w:footnote>
  <w:footnote w:type="continuationNotice" w:id="1">
    <w:p w14:paraId="30B92136" w14:textId="77777777" w:rsidR="00E021DD" w:rsidRDefault="00E021DD">
      <w:pPr>
        <w:spacing w:line="240" w:lineRule="auto"/>
      </w:pPr>
    </w:p>
  </w:footnote>
  <w:footnote w:id="2">
    <w:p w14:paraId="4BDFE721" w14:textId="35F4FB7E" w:rsidR="00173459" w:rsidRPr="00234A04" w:rsidRDefault="00173459" w:rsidP="00DF5474">
      <w:pPr>
        <w:pStyle w:val="FootnoteText"/>
        <w:jc w:val="both"/>
      </w:pPr>
      <w:r w:rsidRPr="00234A04">
        <w:rPr>
          <w:rStyle w:val="FootnoteReference"/>
        </w:rPr>
        <w:footnoteRef/>
      </w:r>
      <w:r w:rsidRPr="00234A04">
        <w:t xml:space="preserve"> Completion And Learning Review Of The Regional Partnership Framework For Nine Pacific Island Countries (PIC9): The Republic Of Kiribati, The Republic Of The Marshall Islands, The Federated States Of Micronesia, The Republic Of Nauru, The Republic Of Palau, The Independent State Of Samoa, The Kingdom Of Tonga, Tuvalu, And The Republic Of Vanuatu For The Period FY17-FY23, </w:t>
      </w:r>
      <w:r w:rsidR="008D3F0C">
        <w:t xml:space="preserve">(Forthcoming, </w:t>
      </w:r>
      <w:r w:rsidR="0068296B">
        <w:t>2025</w:t>
      </w:r>
      <w:r w:rsidR="008D3F0C">
        <w:t>).</w:t>
      </w:r>
    </w:p>
  </w:footnote>
  <w:footnote w:id="3">
    <w:p w14:paraId="12669577" w14:textId="50F71A2F" w:rsidR="008B6CF1" w:rsidRDefault="008B6CF1">
      <w:pPr>
        <w:pStyle w:val="FootnoteText"/>
      </w:pPr>
      <w:r>
        <w:rPr>
          <w:rStyle w:val="FootnoteReference"/>
        </w:rPr>
        <w:footnoteRef/>
      </w:r>
      <w:r>
        <w:t xml:space="preserve"> </w:t>
      </w:r>
      <w:r w:rsidR="008C073A">
        <w:t>(World Bank, 2024)</w:t>
      </w:r>
    </w:p>
  </w:footnote>
  <w:footnote w:id="4">
    <w:p w14:paraId="67B2B540" w14:textId="5F46FFA8" w:rsidR="00173459" w:rsidRDefault="00173459" w:rsidP="005C0F78">
      <w:pPr>
        <w:pStyle w:val="FootnoteText"/>
        <w:jc w:val="both"/>
      </w:pPr>
      <w:r w:rsidRPr="00A55FE3">
        <w:rPr>
          <w:rStyle w:val="FootnoteReference"/>
          <w:highlight w:val="yellow"/>
        </w:rPr>
        <w:footnoteRef/>
      </w:r>
      <w:r w:rsidRPr="00A55FE3">
        <w:rPr>
          <w:highlight w:val="yellow"/>
        </w:rPr>
        <w:t xml:space="preserve"> </w:t>
      </w:r>
      <w:r w:rsidR="005C0F78" w:rsidRPr="00A55FE3">
        <w:rPr>
          <w:highlight w:val="yellow"/>
        </w:rPr>
        <w:t>Migration is an engine of poverty reduction</w:t>
      </w:r>
      <w:r w:rsidR="005C0F78">
        <w:t xml:space="preserve"> -- but also contributes to economic vulnerability. </w:t>
      </w:r>
      <w:r w:rsidRPr="00234A04">
        <w:t xml:space="preserve">As of 2024, the net migration for Tonga stands at -2,149 (World Bank Indicators), or a rate of -20.8 per 1,000 persons of the population (UN DESA, 2024). </w:t>
      </w:r>
      <w:r w:rsidRPr="00A55FE3">
        <w:rPr>
          <w:highlight w:val="yellow"/>
        </w:rPr>
        <w:t>As of 2022-2023, 11.4 percent of Tonga’s working-age population (goes up to 20.4 percent for males) participates in the Australia and New Zealand labor mobility schemes – one of the highest among the Pacific countries.</w:t>
      </w:r>
      <w:r w:rsidRPr="00234A04">
        <w:t xml:space="preserve"> Migration is uniquely important to the Pacific region, but particularly to Tonga, for which </w:t>
      </w:r>
      <w:r w:rsidRPr="00A55FE3">
        <w:rPr>
          <w:highlight w:val="cyan"/>
        </w:rPr>
        <w:t>remittance inflows account for 40.6 percent of the GDP as of 2023</w:t>
      </w:r>
      <w:r w:rsidRPr="00234A04">
        <w:t xml:space="preserve"> (Doan and others, 2025). </w:t>
      </w:r>
      <w:r w:rsidR="005C0F78">
        <w:t xml:space="preserve">At the same time, there are </w:t>
      </w:r>
      <w:r w:rsidR="005C0F78" w:rsidRPr="00A55FE3">
        <w:rPr>
          <w:highlight w:val="yellow"/>
        </w:rPr>
        <w:t>risks related to fluctuations in global economic conditions, exchange rate volatility, over-dependence on the diaspora, as well as the potential negative impacts of temporary worker schemes</w:t>
      </w:r>
      <w:r w:rsidR="005C0F78">
        <w:t>. (World Bank, 2024)</w:t>
      </w:r>
    </w:p>
  </w:footnote>
  <w:footnote w:id="5">
    <w:p w14:paraId="467E33A7" w14:textId="684F653E" w:rsidR="00A024D4" w:rsidRPr="00290F9A" w:rsidRDefault="00A024D4" w:rsidP="00A024D4">
      <w:pPr>
        <w:pStyle w:val="FootnoteText"/>
        <w:rPr>
          <w:rFonts w:ascii="Calibri" w:hAnsi="Calibri" w:cs="Calibri"/>
          <w:sz w:val="16"/>
          <w:szCs w:val="16"/>
          <w:lang w:val="en-IE"/>
        </w:rPr>
      </w:pPr>
      <w:r w:rsidRPr="00290F9A">
        <w:rPr>
          <w:rStyle w:val="FootnoteReference"/>
          <w:rFonts w:ascii="Calibri" w:hAnsi="Calibri" w:cs="Calibri"/>
        </w:rPr>
        <w:footnoteRef/>
      </w:r>
      <w:r w:rsidRPr="00290F9A">
        <w:rPr>
          <w:rFonts w:ascii="Calibri" w:hAnsi="Calibri" w:cs="Calibri"/>
          <w:sz w:val="16"/>
          <w:szCs w:val="16"/>
        </w:rPr>
        <w:t xml:space="preserve"> </w:t>
      </w:r>
      <w:r w:rsidRPr="00290F9A">
        <w:rPr>
          <w:rFonts w:ascii="Calibri" w:hAnsi="Calibri" w:cs="Calibri"/>
          <w:sz w:val="16"/>
          <w:szCs w:val="16"/>
          <w:lang w:val="en-IE"/>
        </w:rPr>
        <w:t>World Bank 2023</w:t>
      </w:r>
    </w:p>
  </w:footnote>
  <w:footnote w:id="6">
    <w:p w14:paraId="2D5EED6D" w14:textId="77777777" w:rsidR="00E515CA" w:rsidRDefault="00E515CA" w:rsidP="00E515CA">
      <w:pPr>
        <w:pStyle w:val="FootnoteText"/>
      </w:pPr>
      <w:r>
        <w:rPr>
          <w:rStyle w:val="FootnoteReference"/>
        </w:rPr>
        <w:footnoteRef/>
      </w:r>
      <w:r>
        <w:t xml:space="preserve"> </w:t>
      </w:r>
      <w:r w:rsidRPr="003B5CD2">
        <w:t xml:space="preserve">Interviews conducted during the preparation of this ICR revealed that the reduction in benefit amounts </w:t>
      </w:r>
      <w:r>
        <w:t xml:space="preserve">and the exclusion of the bonus payment were </w:t>
      </w:r>
      <w:r w:rsidRPr="003B5CD2">
        <w:t>a government decision. The government cited the original amounts as being excessively generous, despite the Task Team's efforts to adhere to the initial design</w:t>
      </w:r>
      <w:r>
        <w:t xml:space="preserve">.  </w:t>
      </w:r>
    </w:p>
  </w:footnote>
  <w:footnote w:id="7">
    <w:p w14:paraId="46EE5BB2" w14:textId="4E908A4E" w:rsidR="00234A04" w:rsidRDefault="00234A04">
      <w:pPr>
        <w:pStyle w:val="FootnoteText"/>
      </w:pPr>
      <w:r>
        <w:rPr>
          <w:rStyle w:val="FootnoteReference"/>
        </w:rPr>
        <w:footnoteRef/>
      </w:r>
      <w:r>
        <w:t xml:space="preserve"> </w:t>
      </w:r>
      <w:r w:rsidRPr="00234A04">
        <w:t>The tuition fee increased in 2023, as document in the Aide-Memoire for the Implementation Support Mission of 18-22 March 2024. This increase was compensated for by increase in allocation to component 2 during the first restructuring.</w:t>
      </w:r>
    </w:p>
  </w:footnote>
  <w:footnote w:id="8">
    <w:p w14:paraId="4EAA474C" w14:textId="0A23264A" w:rsidR="0018019F" w:rsidRDefault="0018019F">
      <w:pPr>
        <w:pStyle w:val="FootnoteText"/>
      </w:pPr>
      <w:r>
        <w:rPr>
          <w:rStyle w:val="FootnoteReference"/>
        </w:rPr>
        <w:footnoteRef/>
      </w:r>
      <w:r>
        <w:t xml:space="preserve"> </w:t>
      </w:r>
      <w:r w:rsidRPr="0018019F">
        <w:t>During the SET design phase, the P</w:t>
      </w:r>
      <w:r w:rsidR="00FA0830">
        <w:t xml:space="preserve">acific </w:t>
      </w:r>
      <w:r w:rsidR="00724367">
        <w:t>Labour Scheme (P</w:t>
      </w:r>
      <w:r w:rsidRPr="0018019F">
        <w:t>LS</w:t>
      </w:r>
      <w:r w:rsidR="00724367">
        <w:t>)</w:t>
      </w:r>
      <w:r w:rsidRPr="0018019F">
        <w:t xml:space="preserve"> was already announced and the project leveraged this in component 2 by seeking to provide beneficiaries with pathways to more high-skilled employment in Australia under PLS. The </w:t>
      </w:r>
      <w:r w:rsidR="00724367">
        <w:t>Pacific Labour Facility (</w:t>
      </w:r>
      <w:r w:rsidRPr="0018019F">
        <w:t>PLF</w:t>
      </w:r>
      <w:r w:rsidR="00724367">
        <w:t>)</w:t>
      </w:r>
      <w:r w:rsidRPr="0018019F">
        <w:t xml:space="preserve"> on the other hand, with its support for Tonga, was a new development</w:t>
      </w:r>
      <w:r w:rsidR="00F33508">
        <w:t>, and did not impact t</w:t>
      </w:r>
      <w:r w:rsidRPr="0018019F">
        <w:t>he objectives of SET. Rather, SET was</w:t>
      </w:r>
      <w:r w:rsidR="007207A9">
        <w:t xml:space="preserve"> </w:t>
      </w:r>
      <w:r w:rsidRPr="0018019F">
        <w:t>restructured so that it would complement the PLF in achieving its original objectives.</w:t>
      </w:r>
    </w:p>
  </w:footnote>
  <w:footnote w:id="9">
    <w:p w14:paraId="220B091E" w14:textId="33ED32D8" w:rsidR="00234A04" w:rsidRDefault="00234A04" w:rsidP="00234A04">
      <w:pPr>
        <w:pStyle w:val="FootnoteText"/>
      </w:pPr>
      <w:r>
        <w:rPr>
          <w:rStyle w:val="FootnoteReference"/>
        </w:rPr>
        <w:footnoteRef/>
      </w:r>
      <w:r>
        <w:t xml:space="preserve"> The PDO is also well-aligned with </w:t>
      </w:r>
      <w:r w:rsidRPr="00164071">
        <w:t>Focus Area 2 on ‘Enhancing access to quality public services and employment opportunities’ of the Regional Partnership Framework PIC9 2017-21.</w:t>
      </w:r>
      <w:r>
        <w:t xml:space="preserve"> This previous RPF (</w:t>
      </w:r>
      <w:r w:rsidRPr="00060E52">
        <w:t>2017 RPF, Report No. 100997-EAP</w:t>
      </w:r>
      <w:r>
        <w:t>) was extended by two years to FY23.</w:t>
      </w:r>
    </w:p>
  </w:footnote>
  <w:footnote w:id="10">
    <w:p w14:paraId="1D7DD8BC" w14:textId="5A848CF8" w:rsidR="006E38C8" w:rsidRDefault="006E38C8">
      <w:pPr>
        <w:pStyle w:val="FootnoteText"/>
      </w:pPr>
      <w:r>
        <w:rPr>
          <w:rStyle w:val="FootnoteReference"/>
        </w:rPr>
        <w:footnoteRef/>
      </w:r>
      <w:r>
        <w:t xml:space="preserve"> </w:t>
      </w:r>
      <w:r w:rsidR="004B1A51">
        <w:t>H</w:t>
      </w:r>
      <w:r w:rsidR="004B1A51" w:rsidRPr="004B1A51">
        <w:t xml:space="preserve">ouseholds with PMT score greater than 3 </w:t>
      </w:r>
      <w:r w:rsidR="004B1A51">
        <w:t>were</w:t>
      </w:r>
      <w:r w:rsidR="004B1A51" w:rsidRPr="004B1A51">
        <w:t xml:space="preserve"> considered poor – equivalent to a household being in the poorest decile of the population as identified in the 2016 Household Income and Expenditure Survey – and therefore </w:t>
      </w:r>
      <w:r w:rsidR="00B17BAF">
        <w:t xml:space="preserve">were </w:t>
      </w:r>
      <w:r w:rsidR="004B1A51" w:rsidRPr="004B1A51">
        <w:t xml:space="preserve">eligible to join the CCT program, with poverty increasing </w:t>
      </w:r>
      <w:r w:rsidR="00250DB5">
        <w:t>with increasing</w:t>
      </w:r>
      <w:r w:rsidR="004B1A51" w:rsidRPr="004B1A51">
        <w:t xml:space="preserve"> PMT score.</w:t>
      </w:r>
    </w:p>
  </w:footnote>
  <w:footnote w:id="11">
    <w:p w14:paraId="49C63A48" w14:textId="621BBD63" w:rsidR="00AB27CD" w:rsidRDefault="00AB27CD">
      <w:pPr>
        <w:pStyle w:val="FootnoteText"/>
      </w:pPr>
      <w:r>
        <w:rPr>
          <w:rStyle w:val="FootnoteReference"/>
        </w:rPr>
        <w:footnoteRef/>
      </w:r>
      <w:r>
        <w:t xml:space="preserve"> This is reported in the baseline report prepared for </w:t>
      </w:r>
      <w:r w:rsidR="00F84A26">
        <w:t>the planned impact evaluation of the CCT program (World Bank, August 2024).</w:t>
      </w:r>
    </w:p>
  </w:footnote>
  <w:footnote w:id="12">
    <w:p w14:paraId="454F4D4B" w14:textId="0B8FC8B5" w:rsidR="004229FE" w:rsidRDefault="004229FE">
      <w:pPr>
        <w:pStyle w:val="FootnoteText"/>
      </w:pPr>
      <w:r>
        <w:rPr>
          <w:rStyle w:val="FootnoteReference"/>
        </w:rPr>
        <w:footnoteRef/>
      </w:r>
      <w:r>
        <w:t xml:space="preserve"> </w:t>
      </w:r>
      <w:r w:rsidR="00707100">
        <w:t>As reported in a presentation showing preliminary findings from the planned impact evaluation of the CCT (World Bank, May 2025).</w:t>
      </w:r>
    </w:p>
  </w:footnote>
  <w:footnote w:id="13">
    <w:p w14:paraId="2DBFBAA1" w14:textId="77777777" w:rsidR="00801C4A" w:rsidRDefault="00801C4A" w:rsidP="00801C4A">
      <w:pPr>
        <w:pStyle w:val="FootnoteText"/>
      </w:pPr>
      <w:r>
        <w:rPr>
          <w:rStyle w:val="FootnoteReference"/>
        </w:rPr>
        <w:footnoteRef/>
      </w:r>
      <w:r>
        <w:t xml:space="preserve"> This is not only unique in the context of Tonga, but also for World Bank projects. Although a CSU-equivalent component is included in five other Pacific countries’ projects as well, the SET ICR is the first to evaluate the CSU’s role as it relates to the Project.</w:t>
      </w:r>
    </w:p>
  </w:footnote>
  <w:footnote w:id="14">
    <w:p w14:paraId="095C76DE" w14:textId="77777777" w:rsidR="00F430B1" w:rsidRDefault="00F430B1" w:rsidP="00F430B1">
      <w:pPr>
        <w:pStyle w:val="FootnoteText"/>
      </w:pPr>
      <w:r w:rsidRPr="5A40F163">
        <w:rPr>
          <w:rStyle w:val="FootnoteReference"/>
        </w:rPr>
        <w:footnoteRef/>
      </w:r>
      <w:r>
        <w:t xml:space="preserve"> The ToC was not presented in the PAD, and so it was not possible to assess the RF against it.  </w:t>
      </w:r>
    </w:p>
  </w:footnote>
  <w:footnote w:id="15">
    <w:p w14:paraId="1A1A983E" w14:textId="77777777" w:rsidR="00F430B1" w:rsidRDefault="00F430B1" w:rsidP="00F430B1">
      <w:pPr>
        <w:pStyle w:val="FootnoteText"/>
      </w:pPr>
      <w:r>
        <w:rPr>
          <w:rStyle w:val="FootnoteReference"/>
        </w:rPr>
        <w:footnoteRef/>
      </w:r>
      <w:r>
        <w:t xml:space="preserve"> </w:t>
      </w:r>
      <w:hyperlink r:id="rId1" w:history="1">
        <w:r w:rsidRPr="00E8678B">
          <w:rPr>
            <w:rStyle w:val="Hyperlink"/>
          </w:rPr>
          <w:t>https://gsp.cgdev.org/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3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4950"/>
      <w:gridCol w:w="3402"/>
      <w:gridCol w:w="1980"/>
    </w:tblGrid>
    <w:tr w:rsidR="00DD6229" w14:paraId="606F4B63" w14:textId="77777777" w:rsidTr="3C717346">
      <w:tc>
        <w:tcPr>
          <w:tcW w:w="1008" w:type="dxa"/>
          <w:vMerge w:val="restart"/>
          <w:vAlign w:val="center"/>
        </w:tcPr>
        <w:p w14:paraId="39B6573A" w14:textId="77777777" w:rsidR="00EE131D" w:rsidRDefault="00D310E2" w:rsidP="00265FBA">
          <w:pPr>
            <w:pStyle w:val="Header"/>
            <w:ind w:left="9360" w:hanging="9360"/>
            <w:jc w:val="center"/>
          </w:pPr>
          <w:r>
            <w:object w:dxaOrig="465" w:dyaOrig="450" w14:anchorId="22BBA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20.75pt">
                <v:imagedata r:id="rId1" o:title=""/>
              </v:shape>
              <o:OLEObject Type="Embed" ProgID="PBrush" ShapeID="_x0000_i1025" DrawAspect="Content" ObjectID="_1810040025" r:id="rId2"/>
            </w:object>
          </w:r>
        </w:p>
      </w:tc>
      <w:tc>
        <w:tcPr>
          <w:tcW w:w="4950" w:type="dxa"/>
          <w:vAlign w:val="center"/>
        </w:tcPr>
        <w:p w14:paraId="233D1880" w14:textId="77777777" w:rsidR="00EE131D" w:rsidRDefault="00D310E2" w:rsidP="00265FBA">
          <w:pPr>
            <w:pStyle w:val="Header"/>
          </w:pPr>
          <w:r>
            <w:rPr>
              <w:rFonts w:ascii="Arial" w:hAnsi="Arial" w:cs="Arial"/>
              <w:b/>
              <w:sz w:val="24"/>
              <w:szCs w:val="24"/>
            </w:rPr>
            <w:t>The World Bank</w:t>
          </w:r>
        </w:p>
      </w:tc>
      <w:tc>
        <w:tcPr>
          <w:tcW w:w="5382" w:type="dxa"/>
          <w:gridSpan w:val="2"/>
          <w:vAlign w:val="center"/>
        </w:tcPr>
        <w:p w14:paraId="79E1A476" w14:textId="77777777" w:rsidR="00EE131D" w:rsidRDefault="00EE131D" w:rsidP="00265FBA">
          <w:pPr>
            <w:pStyle w:val="Header"/>
            <w:jc w:val="right"/>
          </w:pPr>
        </w:p>
      </w:tc>
    </w:tr>
    <w:tr w:rsidR="00DD6229" w14:paraId="20BC50C2" w14:textId="77777777" w:rsidTr="3C717346">
      <w:trPr>
        <w:trHeight w:val="242"/>
      </w:trPr>
      <w:tc>
        <w:tcPr>
          <w:tcW w:w="1008" w:type="dxa"/>
          <w:vMerge/>
        </w:tcPr>
        <w:p w14:paraId="28ABED02" w14:textId="77777777" w:rsidR="002C5347" w:rsidRDefault="002C5347" w:rsidP="00265FBA">
          <w:pPr>
            <w:pStyle w:val="Header"/>
          </w:pPr>
        </w:p>
      </w:tc>
      <w:tc>
        <w:tcPr>
          <w:tcW w:w="8352" w:type="dxa"/>
          <w:gridSpan w:val="2"/>
          <w:vAlign w:val="center"/>
        </w:tcPr>
        <w:p w14:paraId="66B0299C" w14:textId="77777777" w:rsidR="002C5347" w:rsidRDefault="00736C57" w:rsidP="00265FBA">
          <w:pPr>
            <w:pStyle w:val="Header"/>
          </w:pPr>
          <w:r>
            <w:rPr>
              <w:rFonts w:ascii="Arial" w:hAnsi="Arial" w:cs="Arial"/>
              <w:bCs/>
              <w:noProof/>
              <w:sz w:val="20"/>
              <w:szCs w:val="20"/>
            </w:rPr>
            <w:t>Skills and Employment for Tongans (P161541)</w:t>
          </w:r>
        </w:p>
      </w:tc>
      <w:tc>
        <w:tcPr>
          <w:tcW w:w="1980" w:type="dxa"/>
          <w:vAlign w:val="center"/>
        </w:tcPr>
        <w:p w14:paraId="0F39353E" w14:textId="77777777" w:rsidR="002C5347" w:rsidRDefault="00D310E2" w:rsidP="002C5347">
          <w:pPr>
            <w:pStyle w:val="Header"/>
            <w:jc w:val="right"/>
          </w:pPr>
          <w:r>
            <w:t>ICR DOCUMENT</w:t>
          </w:r>
        </w:p>
      </w:tc>
    </w:tr>
    <w:tr w:rsidR="00DD6229" w14:paraId="1C550BF7" w14:textId="77777777" w:rsidTr="3C717346">
      <w:tc>
        <w:tcPr>
          <w:tcW w:w="11340" w:type="dxa"/>
          <w:gridSpan w:val="4"/>
          <w:vAlign w:val="center"/>
        </w:tcPr>
        <w:p w14:paraId="7372F605" w14:textId="77777777" w:rsidR="00EE131D" w:rsidRDefault="00D310E2" w:rsidP="00265FBA">
          <w:pPr>
            <w:pStyle w:val="Header"/>
            <w:jc w:val="center"/>
          </w:pP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145C7F38" wp14:editId="3B89508D">
                    <wp:simplePos x="0" y="0"/>
                    <wp:positionH relativeFrom="column">
                      <wp:posOffset>26035</wp:posOffset>
                    </wp:positionH>
                    <wp:positionV relativeFrom="paragraph">
                      <wp:posOffset>81280</wp:posOffset>
                    </wp:positionV>
                    <wp:extent cx="7077075" cy="0"/>
                    <wp:effectExtent l="0" t="19050" r="47625" b="381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0"/>
                            </a:xfrm>
                            <a:prstGeom prst="line">
                              <a:avLst/>
                            </a:prstGeom>
                            <a:noFill/>
                            <a:ln w="57150">
                              <a:solidFill>
                                <a:srgbClr val="4E92D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210CA5E" id="Straight Connector 6"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6.4pt" to="559.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" strokecolor="#4e92d1" strokeweight="4.5pt"/>
                </w:pict>
              </mc:Fallback>
            </mc:AlternateContent>
          </w:r>
        </w:p>
      </w:tc>
    </w:tr>
  </w:tbl>
  <w:p w14:paraId="05B8B6CF" w14:textId="77777777" w:rsidR="00EE131D" w:rsidRPr="00EE655C" w:rsidRDefault="00EE131D">
    <w:pPr>
      <w:pStyle w:val="Header"/>
      <w:rPr>
        <w:rFonts w:ascii="Arial" w:eastAsia="Times New Roman"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EE223" w14:textId="77777777" w:rsidR="00EE131D" w:rsidRDefault="00000000" w:rsidP="002E2723">
    <w:pPr>
      <w:pStyle w:val="Header"/>
      <w:jc w:val="center"/>
    </w:pPr>
    <w:r>
      <w:rPr>
        <w:noProof/>
      </w:rPr>
      <w:pict w14:anchorId="45584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3850765" o:spid="_x0000_s3076" type="#_x0000_t75" style="position:absolute;left:0;text-align:left;margin-left:-9.75pt;margin-top:147pt;width:375.45pt;height:501.6pt;z-index:-251653632;mso-position-horizontal-relative:margin;mso-position-vertical-relative:margin" o:allowincell="f">
          <v:imagedata r:id="rId1" o:title="Test Watermark-new" gain="19661f" blacklevel="22938f"/>
          <w10:wrap anchorx="margin" anchory="margin"/>
        </v:shape>
      </w:pict>
    </w:r>
    <w:r w:rsidR="00D310E2">
      <w:rPr>
        <w:noProof/>
      </w:rPr>
      <w:drawing>
        <wp:inline distT="0" distB="0" distL="0" distR="0" wp14:anchorId="677BCB26" wp14:editId="132D6C4A">
          <wp:extent cx="1400175" cy="800100"/>
          <wp:effectExtent l="0" t="0" r="9525" b="0"/>
          <wp:docPr id="2130350081" name="Picture 2130350081" descr="WB-WBG-vertical-RG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B-WBG-vertical-RGB-web"/>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00175" cy="800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4950"/>
      <w:gridCol w:w="6192"/>
      <w:gridCol w:w="2070"/>
    </w:tblGrid>
    <w:tr w:rsidR="00DD6229" w14:paraId="6B292CB5" w14:textId="77777777" w:rsidTr="3C717346">
      <w:tc>
        <w:tcPr>
          <w:tcW w:w="1008" w:type="dxa"/>
          <w:vMerge w:val="restart"/>
          <w:vAlign w:val="center"/>
        </w:tcPr>
        <w:p w14:paraId="6712F0F0" w14:textId="77777777" w:rsidR="00EE131D" w:rsidRDefault="00D310E2" w:rsidP="00265FBA">
          <w:pPr>
            <w:pStyle w:val="Header"/>
            <w:ind w:left="9360" w:hanging="9360"/>
            <w:jc w:val="center"/>
          </w:pPr>
          <w:r>
            <w:object w:dxaOrig="465" w:dyaOrig="450" w14:anchorId="1E761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75pt;height:20.75pt">
                <v:imagedata r:id="rId1" o:title=""/>
              </v:shape>
              <o:OLEObject Type="Embed" ProgID="PBrush" ShapeID="_x0000_i1026" DrawAspect="Content" ObjectID="_1810040026" r:id="rId2"/>
            </w:object>
          </w:r>
        </w:p>
      </w:tc>
      <w:tc>
        <w:tcPr>
          <w:tcW w:w="4950" w:type="dxa"/>
          <w:vAlign w:val="center"/>
        </w:tcPr>
        <w:p w14:paraId="5CB213FB" w14:textId="77777777" w:rsidR="00EE131D" w:rsidRDefault="00D310E2" w:rsidP="00265FBA">
          <w:pPr>
            <w:pStyle w:val="Header"/>
          </w:pPr>
          <w:r>
            <w:rPr>
              <w:rFonts w:ascii="Arial" w:hAnsi="Arial" w:cs="Arial"/>
              <w:b/>
              <w:sz w:val="24"/>
              <w:szCs w:val="24"/>
            </w:rPr>
            <w:t>The World Bank</w:t>
          </w:r>
        </w:p>
      </w:tc>
      <w:tc>
        <w:tcPr>
          <w:tcW w:w="8262" w:type="dxa"/>
          <w:gridSpan w:val="2"/>
          <w:vAlign w:val="center"/>
        </w:tcPr>
        <w:p w14:paraId="36B57A7F" w14:textId="77777777" w:rsidR="00EE131D" w:rsidRDefault="00EE131D" w:rsidP="00265FBA">
          <w:pPr>
            <w:pStyle w:val="Header"/>
            <w:jc w:val="right"/>
          </w:pPr>
        </w:p>
      </w:tc>
    </w:tr>
    <w:tr w:rsidR="00DD6229" w14:paraId="087622E7" w14:textId="77777777" w:rsidTr="3C717346">
      <w:trPr>
        <w:trHeight w:val="242"/>
      </w:trPr>
      <w:tc>
        <w:tcPr>
          <w:tcW w:w="1008" w:type="dxa"/>
          <w:vMerge/>
        </w:tcPr>
        <w:p w14:paraId="25A4FC0A" w14:textId="77777777" w:rsidR="00A468CE" w:rsidRDefault="00A468CE" w:rsidP="005E5A1A">
          <w:pPr>
            <w:pStyle w:val="Header"/>
          </w:pPr>
        </w:p>
      </w:tc>
      <w:tc>
        <w:tcPr>
          <w:tcW w:w="11142" w:type="dxa"/>
          <w:gridSpan w:val="2"/>
          <w:vAlign w:val="center"/>
        </w:tcPr>
        <w:p w14:paraId="4565CED8" w14:textId="77777777" w:rsidR="00A468CE" w:rsidRDefault="00736C57" w:rsidP="005E5A1A">
          <w:pPr>
            <w:pStyle w:val="Header"/>
          </w:pPr>
          <w:r>
            <w:rPr>
              <w:rFonts w:ascii="Arial" w:hAnsi="Arial" w:cs="Arial"/>
              <w:bCs/>
              <w:noProof/>
              <w:sz w:val="20"/>
              <w:szCs w:val="20"/>
            </w:rPr>
            <w:t>Skills and Employment for Tongans (P161541)</w:t>
          </w:r>
        </w:p>
      </w:tc>
      <w:tc>
        <w:tcPr>
          <w:tcW w:w="2070" w:type="dxa"/>
          <w:vAlign w:val="center"/>
        </w:tcPr>
        <w:p w14:paraId="6DBD0BAF" w14:textId="77777777" w:rsidR="00A468CE" w:rsidRDefault="00D310E2" w:rsidP="00A468CE">
          <w:pPr>
            <w:pStyle w:val="Header"/>
            <w:jc w:val="right"/>
          </w:pPr>
          <w:r>
            <w:t>ICR DOCUMENT</w:t>
          </w:r>
        </w:p>
      </w:tc>
    </w:tr>
    <w:tr w:rsidR="00DD6229" w14:paraId="39BD23EB" w14:textId="77777777" w:rsidTr="3C717346">
      <w:tc>
        <w:tcPr>
          <w:tcW w:w="14220" w:type="dxa"/>
          <w:gridSpan w:val="4"/>
          <w:vAlign w:val="center"/>
        </w:tcPr>
        <w:p w14:paraId="3725A1CE" w14:textId="77777777" w:rsidR="00EE131D" w:rsidRDefault="00D310E2" w:rsidP="00265FBA">
          <w:pPr>
            <w:pStyle w:val="Header"/>
            <w:jc w:val="cente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32F7AD91" wp14:editId="62CA6A97">
                    <wp:simplePos x="0" y="0"/>
                    <wp:positionH relativeFrom="column">
                      <wp:posOffset>-49530</wp:posOffset>
                    </wp:positionH>
                    <wp:positionV relativeFrom="page">
                      <wp:posOffset>90805</wp:posOffset>
                    </wp:positionV>
                    <wp:extent cx="8991600" cy="1905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1600" cy="19050"/>
                            </a:xfrm>
                            <a:prstGeom prst="line">
                              <a:avLst/>
                            </a:prstGeom>
                            <a:noFill/>
                            <a:ln w="57150">
                              <a:solidFill>
                                <a:srgbClr val="4E92D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FE634DF" id="Straight Connector 1"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9pt,7.15pt" to="704.1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" strokecolor="#4e92d1" strokeweight="4.5pt">
                    <w10:wrap anchory="page"/>
                  </v:line>
                </w:pict>
              </mc:Fallback>
            </mc:AlternateContent>
          </w:r>
        </w:p>
      </w:tc>
    </w:tr>
  </w:tbl>
  <w:p w14:paraId="2817BE2C" w14:textId="77777777" w:rsidR="00EE131D" w:rsidRPr="00EE655C" w:rsidRDefault="00EE131D">
    <w:pPr>
      <w:pStyle w:val="Header"/>
      <w:rPr>
        <w:rFonts w:ascii="Arial" w:eastAsia="Times New Roman" w:hAnsi="Arial" w:cs="Arial"/>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3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4950"/>
      <w:gridCol w:w="3402"/>
      <w:gridCol w:w="1980"/>
    </w:tblGrid>
    <w:tr w:rsidR="00DD6229" w14:paraId="1E1BBE89" w14:textId="77777777" w:rsidTr="3C717346">
      <w:tc>
        <w:tcPr>
          <w:tcW w:w="1008" w:type="dxa"/>
          <w:vMerge w:val="restart"/>
          <w:vAlign w:val="center"/>
        </w:tcPr>
        <w:p w14:paraId="1A12F57B" w14:textId="77777777" w:rsidR="00E63303" w:rsidRDefault="00D310E2" w:rsidP="00E63303">
          <w:pPr>
            <w:pStyle w:val="Header"/>
            <w:ind w:left="9360" w:hanging="9360"/>
            <w:jc w:val="center"/>
          </w:pPr>
          <w:r>
            <w:object w:dxaOrig="465" w:dyaOrig="450" w14:anchorId="5CDC4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75pt;height:20.75pt">
                <v:imagedata r:id="rId1" o:title=""/>
              </v:shape>
              <o:OLEObject Type="Embed" ProgID="PBrush" ShapeID="_x0000_i1027" DrawAspect="Content" ObjectID="_1810040027" r:id="rId2"/>
            </w:object>
          </w:r>
        </w:p>
      </w:tc>
      <w:tc>
        <w:tcPr>
          <w:tcW w:w="4950" w:type="dxa"/>
          <w:vAlign w:val="center"/>
        </w:tcPr>
        <w:p w14:paraId="64601F69" w14:textId="77777777" w:rsidR="00E63303" w:rsidRDefault="00D310E2" w:rsidP="00E63303">
          <w:pPr>
            <w:pStyle w:val="Header"/>
          </w:pPr>
          <w:r>
            <w:rPr>
              <w:rFonts w:ascii="Arial" w:hAnsi="Arial" w:cs="Arial"/>
              <w:b/>
              <w:sz w:val="24"/>
              <w:szCs w:val="24"/>
            </w:rPr>
            <w:t>The World Bank</w:t>
          </w:r>
        </w:p>
      </w:tc>
      <w:tc>
        <w:tcPr>
          <w:tcW w:w="5382" w:type="dxa"/>
          <w:gridSpan w:val="2"/>
          <w:vAlign w:val="center"/>
        </w:tcPr>
        <w:p w14:paraId="56A1F408" w14:textId="77777777" w:rsidR="00E63303" w:rsidRDefault="00E63303" w:rsidP="00E63303">
          <w:pPr>
            <w:pStyle w:val="Header"/>
            <w:jc w:val="right"/>
          </w:pPr>
        </w:p>
      </w:tc>
    </w:tr>
    <w:tr w:rsidR="00DD6229" w14:paraId="7C073F86" w14:textId="77777777" w:rsidTr="3C717346">
      <w:trPr>
        <w:trHeight w:val="242"/>
      </w:trPr>
      <w:tc>
        <w:tcPr>
          <w:tcW w:w="1008" w:type="dxa"/>
          <w:vMerge/>
        </w:tcPr>
        <w:p w14:paraId="29694944" w14:textId="77777777" w:rsidR="00E63303" w:rsidRDefault="00E63303" w:rsidP="00E63303">
          <w:pPr>
            <w:pStyle w:val="Header"/>
          </w:pPr>
        </w:p>
      </w:tc>
      <w:tc>
        <w:tcPr>
          <w:tcW w:w="8352" w:type="dxa"/>
          <w:gridSpan w:val="2"/>
          <w:vAlign w:val="center"/>
        </w:tcPr>
        <w:p w14:paraId="472C71B8" w14:textId="77777777" w:rsidR="00E63303" w:rsidRDefault="00736C57" w:rsidP="00E63303">
          <w:pPr>
            <w:pStyle w:val="Header"/>
          </w:pPr>
          <w:r>
            <w:rPr>
              <w:rFonts w:ascii="Arial" w:hAnsi="Arial" w:cs="Arial"/>
              <w:bCs/>
              <w:noProof/>
              <w:sz w:val="20"/>
              <w:szCs w:val="20"/>
            </w:rPr>
            <w:t>Skills and Employment for Tongans (P161541)</w:t>
          </w:r>
        </w:p>
      </w:tc>
      <w:tc>
        <w:tcPr>
          <w:tcW w:w="1980" w:type="dxa"/>
          <w:vAlign w:val="center"/>
        </w:tcPr>
        <w:p w14:paraId="0F138CA5" w14:textId="77777777" w:rsidR="00E63303" w:rsidRDefault="00D310E2" w:rsidP="00E63303">
          <w:pPr>
            <w:pStyle w:val="Header"/>
            <w:jc w:val="right"/>
          </w:pPr>
          <w:r>
            <w:t>ICR DOCUMENT</w:t>
          </w:r>
        </w:p>
      </w:tc>
    </w:tr>
    <w:tr w:rsidR="00DD6229" w14:paraId="1A479778" w14:textId="77777777" w:rsidTr="3C717346">
      <w:tc>
        <w:tcPr>
          <w:tcW w:w="11340" w:type="dxa"/>
          <w:gridSpan w:val="4"/>
          <w:vAlign w:val="center"/>
        </w:tcPr>
        <w:p w14:paraId="3D1CF09D" w14:textId="77777777" w:rsidR="00E63303" w:rsidRDefault="00D310E2" w:rsidP="00E63303">
          <w:pPr>
            <w:pStyle w:val="Header"/>
            <w:jc w:val="cente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09A70414" wp14:editId="675416DB">
                    <wp:simplePos x="0" y="0"/>
                    <wp:positionH relativeFrom="column">
                      <wp:posOffset>26035</wp:posOffset>
                    </wp:positionH>
                    <wp:positionV relativeFrom="paragraph">
                      <wp:posOffset>81280</wp:posOffset>
                    </wp:positionV>
                    <wp:extent cx="7077075" cy="0"/>
                    <wp:effectExtent l="0" t="19050" r="47625" b="3810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7075" cy="0"/>
                            </a:xfrm>
                            <a:prstGeom prst="line">
                              <a:avLst/>
                            </a:prstGeom>
                            <a:noFill/>
                            <a:ln w="57150">
                              <a:solidFill>
                                <a:srgbClr val="4E92D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7FB097" id="Straight Connector 41"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6.4pt" to="559.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" strokecolor="#4e92d1" strokeweight="4.5pt"/>
                </w:pict>
              </mc:Fallback>
            </mc:AlternateContent>
          </w:r>
        </w:p>
      </w:tc>
    </w:tr>
  </w:tbl>
  <w:p w14:paraId="478AA7AB" w14:textId="77777777" w:rsidR="00E63303" w:rsidRPr="00E63303" w:rsidRDefault="00E63303" w:rsidP="00E63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08B0492"/>
    <w:multiLevelType w:val="hybridMultilevel"/>
    <w:tmpl w:val="ED9C2CBC"/>
    <w:lvl w:ilvl="0" w:tplc="793098C2">
      <w:start w:val="1"/>
      <w:numFmt w:val="upperRoman"/>
      <w:pStyle w:val="Heading1"/>
      <w:lvlText w:val="%1."/>
      <w:lvlJc w:val="right"/>
      <w:pPr>
        <w:ind w:left="4320" w:hanging="360"/>
      </w:pPr>
    </w:lvl>
    <w:lvl w:ilvl="1" w:tplc="ED8E051E" w:tentative="1">
      <w:start w:val="1"/>
      <w:numFmt w:val="lowerLetter"/>
      <w:lvlText w:val="%2."/>
      <w:lvlJc w:val="left"/>
      <w:pPr>
        <w:ind w:left="5040" w:hanging="360"/>
      </w:pPr>
    </w:lvl>
    <w:lvl w:ilvl="2" w:tplc="8D48ACC0" w:tentative="1">
      <w:start w:val="1"/>
      <w:numFmt w:val="lowerRoman"/>
      <w:lvlText w:val="%3."/>
      <w:lvlJc w:val="right"/>
      <w:pPr>
        <w:ind w:left="5760" w:hanging="180"/>
      </w:pPr>
    </w:lvl>
    <w:lvl w:ilvl="3" w:tplc="BBE82F0A" w:tentative="1">
      <w:start w:val="1"/>
      <w:numFmt w:val="decimal"/>
      <w:lvlText w:val="%4."/>
      <w:lvlJc w:val="left"/>
      <w:pPr>
        <w:ind w:left="6480" w:hanging="360"/>
      </w:pPr>
    </w:lvl>
    <w:lvl w:ilvl="4" w:tplc="043E0BA2" w:tentative="1">
      <w:start w:val="1"/>
      <w:numFmt w:val="lowerLetter"/>
      <w:lvlText w:val="%5."/>
      <w:lvlJc w:val="left"/>
      <w:pPr>
        <w:ind w:left="7200" w:hanging="360"/>
      </w:pPr>
    </w:lvl>
    <w:lvl w:ilvl="5" w:tplc="BA6409A2" w:tentative="1">
      <w:start w:val="1"/>
      <w:numFmt w:val="lowerRoman"/>
      <w:lvlText w:val="%6."/>
      <w:lvlJc w:val="right"/>
      <w:pPr>
        <w:ind w:left="7920" w:hanging="180"/>
      </w:pPr>
    </w:lvl>
    <w:lvl w:ilvl="6" w:tplc="DE0E38AC" w:tentative="1">
      <w:start w:val="1"/>
      <w:numFmt w:val="decimal"/>
      <w:lvlText w:val="%7."/>
      <w:lvlJc w:val="left"/>
      <w:pPr>
        <w:ind w:left="8640" w:hanging="360"/>
      </w:pPr>
    </w:lvl>
    <w:lvl w:ilvl="7" w:tplc="764E176C" w:tentative="1">
      <w:start w:val="1"/>
      <w:numFmt w:val="lowerLetter"/>
      <w:lvlText w:val="%8."/>
      <w:lvlJc w:val="left"/>
      <w:pPr>
        <w:ind w:left="9360" w:hanging="360"/>
      </w:pPr>
    </w:lvl>
    <w:lvl w:ilvl="8" w:tplc="019060D0" w:tentative="1">
      <w:start w:val="1"/>
      <w:numFmt w:val="lowerRoman"/>
      <w:lvlText w:val="%9."/>
      <w:lvlJc w:val="right"/>
      <w:pPr>
        <w:ind w:left="10080" w:hanging="180"/>
      </w:pPr>
    </w:lvl>
  </w:abstractNum>
  <w:abstractNum w:abstractNumId="1" w15:restartNumberingAfterBreak="1">
    <w:nsid w:val="29CD558A"/>
    <w:multiLevelType w:val="hybridMultilevel"/>
    <w:tmpl w:val="9F26F1A2"/>
    <w:lvl w:ilvl="0" w:tplc="22B27650">
      <w:start w:val="1"/>
      <w:numFmt w:val="upperLetter"/>
      <w:lvlText w:val="%1."/>
      <w:lvlJc w:val="left"/>
      <w:pPr>
        <w:ind w:left="720" w:hanging="360"/>
      </w:pPr>
      <w:rPr>
        <w:rFonts w:hint="default"/>
      </w:rPr>
    </w:lvl>
    <w:lvl w:ilvl="1" w:tplc="5ECE65E0" w:tentative="1">
      <w:start w:val="1"/>
      <w:numFmt w:val="lowerLetter"/>
      <w:lvlText w:val="%2."/>
      <w:lvlJc w:val="left"/>
      <w:pPr>
        <w:ind w:left="1440" w:hanging="360"/>
      </w:pPr>
    </w:lvl>
    <w:lvl w:ilvl="2" w:tplc="D4F2F7CA" w:tentative="1">
      <w:start w:val="1"/>
      <w:numFmt w:val="lowerRoman"/>
      <w:lvlText w:val="%3."/>
      <w:lvlJc w:val="right"/>
      <w:pPr>
        <w:ind w:left="2160" w:hanging="180"/>
      </w:pPr>
    </w:lvl>
    <w:lvl w:ilvl="3" w:tplc="95D47C50" w:tentative="1">
      <w:start w:val="1"/>
      <w:numFmt w:val="decimal"/>
      <w:lvlText w:val="%4."/>
      <w:lvlJc w:val="left"/>
      <w:pPr>
        <w:ind w:left="2880" w:hanging="360"/>
      </w:pPr>
    </w:lvl>
    <w:lvl w:ilvl="4" w:tplc="AABC9870" w:tentative="1">
      <w:start w:val="1"/>
      <w:numFmt w:val="lowerLetter"/>
      <w:lvlText w:val="%5."/>
      <w:lvlJc w:val="left"/>
      <w:pPr>
        <w:ind w:left="3600" w:hanging="360"/>
      </w:pPr>
    </w:lvl>
    <w:lvl w:ilvl="5" w:tplc="7BAC0058" w:tentative="1">
      <w:start w:val="1"/>
      <w:numFmt w:val="lowerRoman"/>
      <w:lvlText w:val="%6."/>
      <w:lvlJc w:val="right"/>
      <w:pPr>
        <w:ind w:left="4320" w:hanging="180"/>
      </w:pPr>
    </w:lvl>
    <w:lvl w:ilvl="6" w:tplc="8AEC25E4" w:tentative="1">
      <w:start w:val="1"/>
      <w:numFmt w:val="decimal"/>
      <w:lvlText w:val="%7."/>
      <w:lvlJc w:val="left"/>
      <w:pPr>
        <w:ind w:left="5040" w:hanging="360"/>
      </w:pPr>
    </w:lvl>
    <w:lvl w:ilvl="7" w:tplc="E10E62B8" w:tentative="1">
      <w:start w:val="1"/>
      <w:numFmt w:val="lowerLetter"/>
      <w:lvlText w:val="%8."/>
      <w:lvlJc w:val="left"/>
      <w:pPr>
        <w:ind w:left="5760" w:hanging="360"/>
      </w:pPr>
    </w:lvl>
    <w:lvl w:ilvl="8" w:tplc="8A66F5A6" w:tentative="1">
      <w:start w:val="1"/>
      <w:numFmt w:val="lowerRoman"/>
      <w:lvlText w:val="%9."/>
      <w:lvlJc w:val="right"/>
      <w:pPr>
        <w:ind w:left="6480" w:hanging="180"/>
      </w:pPr>
    </w:lvl>
  </w:abstractNum>
  <w:abstractNum w:abstractNumId="2" w15:restartNumberingAfterBreak="1">
    <w:nsid w:val="2D2A611A"/>
    <w:multiLevelType w:val="hybridMultilevel"/>
    <w:tmpl w:val="C400E168"/>
    <w:lvl w:ilvl="0" w:tplc="FA1ED4B6">
      <w:start w:val="1"/>
      <w:numFmt w:val="upperRoman"/>
      <w:lvlText w:val="%1."/>
      <w:lvlJc w:val="right"/>
      <w:pPr>
        <w:ind w:left="720" w:hanging="360"/>
      </w:pPr>
      <w:rPr>
        <w:rFonts w:hint="default"/>
      </w:rPr>
    </w:lvl>
    <w:lvl w:ilvl="1" w:tplc="E6C4AFC0" w:tentative="1">
      <w:start w:val="1"/>
      <w:numFmt w:val="lowerLetter"/>
      <w:lvlText w:val="%2."/>
      <w:lvlJc w:val="left"/>
      <w:pPr>
        <w:ind w:left="1440" w:hanging="360"/>
      </w:pPr>
    </w:lvl>
    <w:lvl w:ilvl="2" w:tplc="04E8B0BA" w:tentative="1">
      <w:start w:val="1"/>
      <w:numFmt w:val="lowerRoman"/>
      <w:lvlText w:val="%3."/>
      <w:lvlJc w:val="right"/>
      <w:pPr>
        <w:ind w:left="2160" w:hanging="180"/>
      </w:pPr>
    </w:lvl>
    <w:lvl w:ilvl="3" w:tplc="80CEF9DC" w:tentative="1">
      <w:start w:val="1"/>
      <w:numFmt w:val="decimal"/>
      <w:lvlText w:val="%4."/>
      <w:lvlJc w:val="left"/>
      <w:pPr>
        <w:ind w:left="2880" w:hanging="360"/>
      </w:pPr>
    </w:lvl>
    <w:lvl w:ilvl="4" w:tplc="2AD248A6" w:tentative="1">
      <w:start w:val="1"/>
      <w:numFmt w:val="lowerLetter"/>
      <w:lvlText w:val="%5."/>
      <w:lvlJc w:val="left"/>
      <w:pPr>
        <w:ind w:left="3600" w:hanging="360"/>
      </w:pPr>
    </w:lvl>
    <w:lvl w:ilvl="5" w:tplc="8B4EA3DE" w:tentative="1">
      <w:start w:val="1"/>
      <w:numFmt w:val="lowerRoman"/>
      <w:lvlText w:val="%6."/>
      <w:lvlJc w:val="right"/>
      <w:pPr>
        <w:ind w:left="4320" w:hanging="180"/>
      </w:pPr>
    </w:lvl>
    <w:lvl w:ilvl="6" w:tplc="1A32797A" w:tentative="1">
      <w:start w:val="1"/>
      <w:numFmt w:val="decimal"/>
      <w:lvlText w:val="%7."/>
      <w:lvlJc w:val="left"/>
      <w:pPr>
        <w:ind w:left="5040" w:hanging="360"/>
      </w:pPr>
    </w:lvl>
    <w:lvl w:ilvl="7" w:tplc="AF9A5E26" w:tentative="1">
      <w:start w:val="1"/>
      <w:numFmt w:val="lowerLetter"/>
      <w:lvlText w:val="%8."/>
      <w:lvlJc w:val="left"/>
      <w:pPr>
        <w:ind w:left="5760" w:hanging="360"/>
      </w:pPr>
    </w:lvl>
    <w:lvl w:ilvl="8" w:tplc="59FC7B0C" w:tentative="1">
      <w:start w:val="1"/>
      <w:numFmt w:val="lowerRoman"/>
      <w:lvlText w:val="%9."/>
      <w:lvlJc w:val="right"/>
      <w:pPr>
        <w:ind w:left="6480" w:hanging="180"/>
      </w:pPr>
    </w:lvl>
  </w:abstractNum>
  <w:abstractNum w:abstractNumId="3" w15:restartNumberingAfterBreak="1">
    <w:nsid w:val="40CC224B"/>
    <w:multiLevelType w:val="hybridMultilevel"/>
    <w:tmpl w:val="92F40C70"/>
    <w:lvl w:ilvl="0" w:tplc="8716C1F4">
      <w:start w:val="1"/>
      <w:numFmt w:val="upperLetter"/>
      <w:lvlText w:val="%1."/>
      <w:lvlJc w:val="left"/>
      <w:pPr>
        <w:ind w:left="720" w:hanging="360"/>
      </w:pPr>
      <w:rPr>
        <w:rFonts w:hint="default"/>
        <w:b/>
      </w:rPr>
    </w:lvl>
    <w:lvl w:ilvl="1" w:tplc="5BA09234" w:tentative="1">
      <w:start w:val="1"/>
      <w:numFmt w:val="lowerLetter"/>
      <w:lvlText w:val="%2."/>
      <w:lvlJc w:val="left"/>
      <w:pPr>
        <w:ind w:left="1440" w:hanging="360"/>
      </w:pPr>
    </w:lvl>
    <w:lvl w:ilvl="2" w:tplc="68D2AC8A" w:tentative="1">
      <w:start w:val="1"/>
      <w:numFmt w:val="lowerRoman"/>
      <w:lvlText w:val="%3."/>
      <w:lvlJc w:val="right"/>
      <w:pPr>
        <w:ind w:left="2160" w:hanging="180"/>
      </w:pPr>
    </w:lvl>
    <w:lvl w:ilvl="3" w:tplc="9ED4B40E" w:tentative="1">
      <w:start w:val="1"/>
      <w:numFmt w:val="decimal"/>
      <w:lvlText w:val="%4."/>
      <w:lvlJc w:val="left"/>
      <w:pPr>
        <w:ind w:left="2880" w:hanging="360"/>
      </w:pPr>
    </w:lvl>
    <w:lvl w:ilvl="4" w:tplc="223EFD02" w:tentative="1">
      <w:start w:val="1"/>
      <w:numFmt w:val="lowerLetter"/>
      <w:lvlText w:val="%5."/>
      <w:lvlJc w:val="left"/>
      <w:pPr>
        <w:ind w:left="3600" w:hanging="360"/>
      </w:pPr>
    </w:lvl>
    <w:lvl w:ilvl="5" w:tplc="00BA34F6" w:tentative="1">
      <w:start w:val="1"/>
      <w:numFmt w:val="lowerRoman"/>
      <w:lvlText w:val="%6."/>
      <w:lvlJc w:val="right"/>
      <w:pPr>
        <w:ind w:left="4320" w:hanging="180"/>
      </w:pPr>
    </w:lvl>
    <w:lvl w:ilvl="6" w:tplc="47308F3A" w:tentative="1">
      <w:start w:val="1"/>
      <w:numFmt w:val="decimal"/>
      <w:lvlText w:val="%7."/>
      <w:lvlJc w:val="left"/>
      <w:pPr>
        <w:ind w:left="5040" w:hanging="360"/>
      </w:pPr>
    </w:lvl>
    <w:lvl w:ilvl="7" w:tplc="329A964A" w:tentative="1">
      <w:start w:val="1"/>
      <w:numFmt w:val="lowerLetter"/>
      <w:lvlText w:val="%8."/>
      <w:lvlJc w:val="left"/>
      <w:pPr>
        <w:ind w:left="5760" w:hanging="360"/>
      </w:pPr>
    </w:lvl>
    <w:lvl w:ilvl="8" w:tplc="4202B81E" w:tentative="1">
      <w:start w:val="1"/>
      <w:numFmt w:val="lowerRoman"/>
      <w:lvlText w:val="%9."/>
      <w:lvlJc w:val="right"/>
      <w:pPr>
        <w:ind w:left="6480" w:hanging="180"/>
      </w:pPr>
    </w:lvl>
  </w:abstractNum>
  <w:abstractNum w:abstractNumId="4" w15:restartNumberingAfterBreak="0">
    <w:nsid w:val="461E31FE"/>
    <w:multiLevelType w:val="hybridMultilevel"/>
    <w:tmpl w:val="87E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1">
    <w:nsid w:val="523323B0"/>
    <w:multiLevelType w:val="hybridMultilevel"/>
    <w:tmpl w:val="18B05FC2"/>
    <w:lvl w:ilvl="0" w:tplc="4442FE86">
      <w:start w:val="1"/>
      <w:numFmt w:val="upperLetter"/>
      <w:lvlText w:val="%1."/>
      <w:lvlJc w:val="left"/>
      <w:pPr>
        <w:ind w:left="720" w:hanging="360"/>
      </w:pPr>
      <w:rPr>
        <w:rFonts w:hint="default"/>
      </w:rPr>
    </w:lvl>
    <w:lvl w:ilvl="1" w:tplc="14B0004A" w:tentative="1">
      <w:start w:val="1"/>
      <w:numFmt w:val="lowerLetter"/>
      <w:lvlText w:val="%2."/>
      <w:lvlJc w:val="left"/>
      <w:pPr>
        <w:ind w:left="1440" w:hanging="360"/>
      </w:pPr>
    </w:lvl>
    <w:lvl w:ilvl="2" w:tplc="6D64114C" w:tentative="1">
      <w:start w:val="1"/>
      <w:numFmt w:val="lowerRoman"/>
      <w:lvlText w:val="%3."/>
      <w:lvlJc w:val="right"/>
      <w:pPr>
        <w:ind w:left="2160" w:hanging="180"/>
      </w:pPr>
    </w:lvl>
    <w:lvl w:ilvl="3" w:tplc="FF4A4214" w:tentative="1">
      <w:start w:val="1"/>
      <w:numFmt w:val="decimal"/>
      <w:lvlText w:val="%4."/>
      <w:lvlJc w:val="left"/>
      <w:pPr>
        <w:ind w:left="2880" w:hanging="360"/>
      </w:pPr>
    </w:lvl>
    <w:lvl w:ilvl="4" w:tplc="7AC68CDE" w:tentative="1">
      <w:start w:val="1"/>
      <w:numFmt w:val="lowerLetter"/>
      <w:lvlText w:val="%5."/>
      <w:lvlJc w:val="left"/>
      <w:pPr>
        <w:ind w:left="3600" w:hanging="360"/>
      </w:pPr>
    </w:lvl>
    <w:lvl w:ilvl="5" w:tplc="94B44426" w:tentative="1">
      <w:start w:val="1"/>
      <w:numFmt w:val="lowerRoman"/>
      <w:lvlText w:val="%6."/>
      <w:lvlJc w:val="right"/>
      <w:pPr>
        <w:ind w:left="4320" w:hanging="180"/>
      </w:pPr>
    </w:lvl>
    <w:lvl w:ilvl="6" w:tplc="E15E8F78" w:tentative="1">
      <w:start w:val="1"/>
      <w:numFmt w:val="decimal"/>
      <w:lvlText w:val="%7."/>
      <w:lvlJc w:val="left"/>
      <w:pPr>
        <w:ind w:left="5040" w:hanging="360"/>
      </w:pPr>
    </w:lvl>
    <w:lvl w:ilvl="7" w:tplc="5FB2CA62" w:tentative="1">
      <w:start w:val="1"/>
      <w:numFmt w:val="lowerLetter"/>
      <w:lvlText w:val="%8."/>
      <w:lvlJc w:val="left"/>
      <w:pPr>
        <w:ind w:left="5760" w:hanging="360"/>
      </w:pPr>
    </w:lvl>
    <w:lvl w:ilvl="8" w:tplc="9E9AE4EC" w:tentative="1">
      <w:start w:val="1"/>
      <w:numFmt w:val="lowerRoman"/>
      <w:lvlText w:val="%9."/>
      <w:lvlJc w:val="right"/>
      <w:pPr>
        <w:ind w:left="6480" w:hanging="180"/>
      </w:pPr>
    </w:lvl>
  </w:abstractNum>
  <w:abstractNum w:abstractNumId="6" w15:restartNumberingAfterBreak="1">
    <w:nsid w:val="526B1B5D"/>
    <w:multiLevelType w:val="hybridMultilevel"/>
    <w:tmpl w:val="658400E6"/>
    <w:lvl w:ilvl="0" w:tplc="C3424F18">
      <w:start w:val="1"/>
      <w:numFmt w:val="upperLetter"/>
      <w:lvlText w:val="%1."/>
      <w:lvlJc w:val="left"/>
      <w:pPr>
        <w:ind w:left="720" w:hanging="360"/>
      </w:pPr>
      <w:rPr>
        <w:rFonts w:hint="default"/>
      </w:rPr>
    </w:lvl>
    <w:lvl w:ilvl="1" w:tplc="D5048F94" w:tentative="1">
      <w:start w:val="1"/>
      <w:numFmt w:val="lowerLetter"/>
      <w:lvlText w:val="%2."/>
      <w:lvlJc w:val="left"/>
      <w:pPr>
        <w:ind w:left="1440" w:hanging="360"/>
      </w:pPr>
    </w:lvl>
    <w:lvl w:ilvl="2" w:tplc="84FAFAA2" w:tentative="1">
      <w:start w:val="1"/>
      <w:numFmt w:val="lowerRoman"/>
      <w:lvlText w:val="%3."/>
      <w:lvlJc w:val="right"/>
      <w:pPr>
        <w:ind w:left="2160" w:hanging="180"/>
      </w:pPr>
    </w:lvl>
    <w:lvl w:ilvl="3" w:tplc="D6C27FAE" w:tentative="1">
      <w:start w:val="1"/>
      <w:numFmt w:val="decimal"/>
      <w:lvlText w:val="%4."/>
      <w:lvlJc w:val="left"/>
      <w:pPr>
        <w:ind w:left="2880" w:hanging="360"/>
      </w:pPr>
    </w:lvl>
    <w:lvl w:ilvl="4" w:tplc="9F1EC9D6" w:tentative="1">
      <w:start w:val="1"/>
      <w:numFmt w:val="lowerLetter"/>
      <w:lvlText w:val="%5."/>
      <w:lvlJc w:val="left"/>
      <w:pPr>
        <w:ind w:left="3600" w:hanging="360"/>
      </w:pPr>
    </w:lvl>
    <w:lvl w:ilvl="5" w:tplc="B6461012" w:tentative="1">
      <w:start w:val="1"/>
      <w:numFmt w:val="lowerRoman"/>
      <w:lvlText w:val="%6."/>
      <w:lvlJc w:val="right"/>
      <w:pPr>
        <w:ind w:left="4320" w:hanging="180"/>
      </w:pPr>
    </w:lvl>
    <w:lvl w:ilvl="6" w:tplc="D742A4D0" w:tentative="1">
      <w:start w:val="1"/>
      <w:numFmt w:val="decimal"/>
      <w:lvlText w:val="%7."/>
      <w:lvlJc w:val="left"/>
      <w:pPr>
        <w:ind w:left="5040" w:hanging="360"/>
      </w:pPr>
    </w:lvl>
    <w:lvl w:ilvl="7" w:tplc="4FB2F7C4" w:tentative="1">
      <w:start w:val="1"/>
      <w:numFmt w:val="lowerLetter"/>
      <w:lvlText w:val="%8."/>
      <w:lvlJc w:val="left"/>
      <w:pPr>
        <w:ind w:left="5760" w:hanging="360"/>
      </w:pPr>
    </w:lvl>
    <w:lvl w:ilvl="8" w:tplc="9FF2B4C4" w:tentative="1">
      <w:start w:val="1"/>
      <w:numFmt w:val="lowerRoman"/>
      <w:lvlText w:val="%9."/>
      <w:lvlJc w:val="right"/>
      <w:pPr>
        <w:ind w:left="6480" w:hanging="180"/>
      </w:pPr>
    </w:lvl>
  </w:abstractNum>
  <w:abstractNum w:abstractNumId="7" w15:restartNumberingAfterBreak="1">
    <w:nsid w:val="5B8E253A"/>
    <w:multiLevelType w:val="hybridMultilevel"/>
    <w:tmpl w:val="BB228504"/>
    <w:lvl w:ilvl="0" w:tplc="68529492">
      <w:start w:val="2"/>
      <w:numFmt w:val="upperLetter"/>
      <w:lvlText w:val="%1."/>
      <w:lvlJc w:val="left"/>
      <w:pPr>
        <w:ind w:left="1065" w:hanging="360"/>
      </w:pPr>
      <w:rPr>
        <w:rFonts w:ascii="Calibri" w:hAnsi="Calibri" w:hint="default"/>
        <w:b/>
        <w:i w:val="0"/>
        <w:sz w:val="22"/>
      </w:rPr>
    </w:lvl>
    <w:lvl w:ilvl="1" w:tplc="2BE66B80" w:tentative="1">
      <w:start w:val="1"/>
      <w:numFmt w:val="lowerLetter"/>
      <w:lvlText w:val="%2."/>
      <w:lvlJc w:val="left"/>
      <w:pPr>
        <w:ind w:left="1785" w:hanging="360"/>
      </w:pPr>
    </w:lvl>
    <w:lvl w:ilvl="2" w:tplc="9E26B530" w:tentative="1">
      <w:start w:val="1"/>
      <w:numFmt w:val="lowerRoman"/>
      <w:lvlText w:val="%3."/>
      <w:lvlJc w:val="right"/>
      <w:pPr>
        <w:ind w:left="2505" w:hanging="180"/>
      </w:pPr>
    </w:lvl>
    <w:lvl w:ilvl="3" w:tplc="A57C00BC" w:tentative="1">
      <w:start w:val="1"/>
      <w:numFmt w:val="decimal"/>
      <w:lvlText w:val="%4."/>
      <w:lvlJc w:val="left"/>
      <w:pPr>
        <w:ind w:left="3225" w:hanging="360"/>
      </w:pPr>
    </w:lvl>
    <w:lvl w:ilvl="4" w:tplc="90909232" w:tentative="1">
      <w:start w:val="1"/>
      <w:numFmt w:val="lowerLetter"/>
      <w:lvlText w:val="%5."/>
      <w:lvlJc w:val="left"/>
      <w:pPr>
        <w:ind w:left="3945" w:hanging="360"/>
      </w:pPr>
    </w:lvl>
    <w:lvl w:ilvl="5" w:tplc="157CB89E" w:tentative="1">
      <w:start w:val="1"/>
      <w:numFmt w:val="lowerRoman"/>
      <w:lvlText w:val="%6."/>
      <w:lvlJc w:val="right"/>
      <w:pPr>
        <w:ind w:left="4665" w:hanging="180"/>
      </w:pPr>
    </w:lvl>
    <w:lvl w:ilvl="6" w:tplc="F57C2D4A" w:tentative="1">
      <w:start w:val="1"/>
      <w:numFmt w:val="decimal"/>
      <w:lvlText w:val="%7."/>
      <w:lvlJc w:val="left"/>
      <w:pPr>
        <w:ind w:left="5385" w:hanging="360"/>
      </w:pPr>
    </w:lvl>
    <w:lvl w:ilvl="7" w:tplc="DCDC6EA2" w:tentative="1">
      <w:start w:val="1"/>
      <w:numFmt w:val="lowerLetter"/>
      <w:lvlText w:val="%8."/>
      <w:lvlJc w:val="left"/>
      <w:pPr>
        <w:ind w:left="6105" w:hanging="360"/>
      </w:pPr>
    </w:lvl>
    <w:lvl w:ilvl="8" w:tplc="9E8E2EB0" w:tentative="1">
      <w:start w:val="1"/>
      <w:numFmt w:val="lowerRoman"/>
      <w:lvlText w:val="%9."/>
      <w:lvlJc w:val="right"/>
      <w:pPr>
        <w:ind w:left="6825" w:hanging="180"/>
      </w:pPr>
    </w:lvl>
  </w:abstractNum>
  <w:abstractNum w:abstractNumId="8" w15:restartNumberingAfterBreak="0">
    <w:nsid w:val="66D66E26"/>
    <w:multiLevelType w:val="hybridMultilevel"/>
    <w:tmpl w:val="24DEA6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1">
    <w:nsid w:val="69664E62"/>
    <w:multiLevelType w:val="hybridMultilevel"/>
    <w:tmpl w:val="9A227054"/>
    <w:lvl w:ilvl="0" w:tplc="A8AA26D4">
      <w:start w:val="1"/>
      <w:numFmt w:val="upperLetter"/>
      <w:lvlText w:val="%1."/>
      <w:lvlJc w:val="left"/>
      <w:pPr>
        <w:ind w:left="720" w:hanging="360"/>
      </w:pPr>
      <w:rPr>
        <w:rFonts w:hint="default"/>
      </w:rPr>
    </w:lvl>
    <w:lvl w:ilvl="1" w:tplc="E9BECE34" w:tentative="1">
      <w:start w:val="1"/>
      <w:numFmt w:val="lowerLetter"/>
      <w:lvlText w:val="%2."/>
      <w:lvlJc w:val="left"/>
      <w:pPr>
        <w:ind w:left="1440" w:hanging="360"/>
      </w:pPr>
    </w:lvl>
    <w:lvl w:ilvl="2" w:tplc="48EC13DC" w:tentative="1">
      <w:start w:val="1"/>
      <w:numFmt w:val="lowerRoman"/>
      <w:lvlText w:val="%3."/>
      <w:lvlJc w:val="right"/>
      <w:pPr>
        <w:ind w:left="2160" w:hanging="180"/>
      </w:pPr>
    </w:lvl>
    <w:lvl w:ilvl="3" w:tplc="3702B24E" w:tentative="1">
      <w:start w:val="1"/>
      <w:numFmt w:val="decimal"/>
      <w:lvlText w:val="%4."/>
      <w:lvlJc w:val="left"/>
      <w:pPr>
        <w:ind w:left="2880" w:hanging="360"/>
      </w:pPr>
    </w:lvl>
    <w:lvl w:ilvl="4" w:tplc="E506C610" w:tentative="1">
      <w:start w:val="1"/>
      <w:numFmt w:val="lowerLetter"/>
      <w:lvlText w:val="%5."/>
      <w:lvlJc w:val="left"/>
      <w:pPr>
        <w:ind w:left="3600" w:hanging="360"/>
      </w:pPr>
    </w:lvl>
    <w:lvl w:ilvl="5" w:tplc="DA0A3828" w:tentative="1">
      <w:start w:val="1"/>
      <w:numFmt w:val="lowerRoman"/>
      <w:lvlText w:val="%6."/>
      <w:lvlJc w:val="right"/>
      <w:pPr>
        <w:ind w:left="4320" w:hanging="180"/>
      </w:pPr>
    </w:lvl>
    <w:lvl w:ilvl="6" w:tplc="D904FACE" w:tentative="1">
      <w:start w:val="1"/>
      <w:numFmt w:val="decimal"/>
      <w:lvlText w:val="%7."/>
      <w:lvlJc w:val="left"/>
      <w:pPr>
        <w:ind w:left="5040" w:hanging="360"/>
      </w:pPr>
    </w:lvl>
    <w:lvl w:ilvl="7" w:tplc="3C946F0C" w:tentative="1">
      <w:start w:val="1"/>
      <w:numFmt w:val="lowerLetter"/>
      <w:lvlText w:val="%8."/>
      <w:lvlJc w:val="left"/>
      <w:pPr>
        <w:ind w:left="5760" w:hanging="360"/>
      </w:pPr>
    </w:lvl>
    <w:lvl w:ilvl="8" w:tplc="953832B2" w:tentative="1">
      <w:start w:val="1"/>
      <w:numFmt w:val="lowerRoman"/>
      <w:lvlText w:val="%9."/>
      <w:lvlJc w:val="right"/>
      <w:pPr>
        <w:ind w:left="6480" w:hanging="180"/>
      </w:pPr>
    </w:lvl>
  </w:abstractNum>
  <w:abstractNum w:abstractNumId="10" w15:restartNumberingAfterBreak="1">
    <w:nsid w:val="6F4F6B84"/>
    <w:multiLevelType w:val="hybridMultilevel"/>
    <w:tmpl w:val="2DAA480E"/>
    <w:lvl w:ilvl="0" w:tplc="1C9AA95E">
      <w:start w:val="1"/>
      <w:numFmt w:val="upperLetter"/>
      <w:lvlText w:val="%1."/>
      <w:lvlJc w:val="left"/>
      <w:pPr>
        <w:ind w:left="720" w:hanging="360"/>
      </w:pPr>
      <w:rPr>
        <w:rFonts w:hint="default"/>
      </w:rPr>
    </w:lvl>
    <w:lvl w:ilvl="1" w:tplc="FB9E7284" w:tentative="1">
      <w:start w:val="1"/>
      <w:numFmt w:val="lowerLetter"/>
      <w:lvlText w:val="%2."/>
      <w:lvlJc w:val="left"/>
      <w:pPr>
        <w:ind w:left="1440" w:hanging="360"/>
      </w:pPr>
    </w:lvl>
    <w:lvl w:ilvl="2" w:tplc="C4602770" w:tentative="1">
      <w:start w:val="1"/>
      <w:numFmt w:val="lowerRoman"/>
      <w:lvlText w:val="%3."/>
      <w:lvlJc w:val="right"/>
      <w:pPr>
        <w:ind w:left="2160" w:hanging="180"/>
      </w:pPr>
    </w:lvl>
    <w:lvl w:ilvl="3" w:tplc="4F783858" w:tentative="1">
      <w:start w:val="1"/>
      <w:numFmt w:val="decimal"/>
      <w:lvlText w:val="%4."/>
      <w:lvlJc w:val="left"/>
      <w:pPr>
        <w:ind w:left="2880" w:hanging="360"/>
      </w:pPr>
    </w:lvl>
    <w:lvl w:ilvl="4" w:tplc="0B38E7BA" w:tentative="1">
      <w:start w:val="1"/>
      <w:numFmt w:val="lowerLetter"/>
      <w:lvlText w:val="%5."/>
      <w:lvlJc w:val="left"/>
      <w:pPr>
        <w:ind w:left="3600" w:hanging="360"/>
      </w:pPr>
    </w:lvl>
    <w:lvl w:ilvl="5" w:tplc="58BE0998" w:tentative="1">
      <w:start w:val="1"/>
      <w:numFmt w:val="lowerRoman"/>
      <w:lvlText w:val="%6."/>
      <w:lvlJc w:val="right"/>
      <w:pPr>
        <w:ind w:left="4320" w:hanging="180"/>
      </w:pPr>
    </w:lvl>
    <w:lvl w:ilvl="6" w:tplc="68E4797E" w:tentative="1">
      <w:start w:val="1"/>
      <w:numFmt w:val="decimal"/>
      <w:lvlText w:val="%7."/>
      <w:lvlJc w:val="left"/>
      <w:pPr>
        <w:ind w:left="5040" w:hanging="360"/>
      </w:pPr>
    </w:lvl>
    <w:lvl w:ilvl="7" w:tplc="54BAE8E6" w:tentative="1">
      <w:start w:val="1"/>
      <w:numFmt w:val="lowerLetter"/>
      <w:lvlText w:val="%8."/>
      <w:lvlJc w:val="left"/>
      <w:pPr>
        <w:ind w:left="5760" w:hanging="360"/>
      </w:pPr>
    </w:lvl>
    <w:lvl w:ilvl="8" w:tplc="4094E5C0" w:tentative="1">
      <w:start w:val="1"/>
      <w:numFmt w:val="lowerRoman"/>
      <w:lvlText w:val="%9."/>
      <w:lvlJc w:val="right"/>
      <w:pPr>
        <w:ind w:left="6480" w:hanging="180"/>
      </w:pPr>
    </w:lvl>
  </w:abstractNum>
  <w:abstractNum w:abstractNumId="11" w15:restartNumberingAfterBreak="0">
    <w:nsid w:val="733C098C"/>
    <w:multiLevelType w:val="hybridMultilevel"/>
    <w:tmpl w:val="CF6E6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2738342">
    <w:abstractNumId w:val="0"/>
  </w:num>
  <w:num w:numId="2" w16cid:durableId="585766933">
    <w:abstractNumId w:val="2"/>
  </w:num>
  <w:num w:numId="3" w16cid:durableId="1020665755">
    <w:abstractNumId w:val="6"/>
  </w:num>
  <w:num w:numId="4" w16cid:durableId="1118991412">
    <w:abstractNumId w:val="9"/>
  </w:num>
  <w:num w:numId="5" w16cid:durableId="1136602823">
    <w:abstractNumId w:val="1"/>
  </w:num>
  <w:num w:numId="6" w16cid:durableId="227812647">
    <w:abstractNumId w:val="10"/>
  </w:num>
  <w:num w:numId="7" w16cid:durableId="268513881">
    <w:abstractNumId w:val="3"/>
  </w:num>
  <w:num w:numId="8" w16cid:durableId="403070751">
    <w:abstractNumId w:val="7"/>
  </w:num>
  <w:num w:numId="9" w16cid:durableId="1147430044">
    <w:abstractNumId w:val="5"/>
  </w:num>
  <w:num w:numId="10" w16cid:durableId="588731367">
    <w:abstractNumId w:val="8"/>
  </w:num>
  <w:num w:numId="11" w16cid:durableId="2067415122">
    <w:abstractNumId w:val="4"/>
  </w:num>
  <w:num w:numId="12" w16cid:durableId="28311737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3077"/>
    <o:shapelayout v:ext="edit">
      <o:idmap v:ext="edit" data="1,3"/>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tempversion" w:val="1"/>
    <w:docVar w:name="documenttype" w:val="DOC0000030"/>
    <w:docVar w:name="filteredsections" w:val="dynamics@icrbasicdata#doctemplate,dynamics@icrfinancing#doctemplate,dynamics@icrkeydates#doctemplate,dynamics@icrratings#doctemplate,dynamics@icrsectortheme#doctemplate,dynamics@icradmstaff#doctemplate,blank@icrprojectcontext#doctemplate,blank@icroutcome#doctemplate,blank@icrkeyfactors#doctemplate,blank@icrbankperformance#doctemplate,blank@icrlessonrecommend#doctemplate,dynamics@icrresultframework#doctemplate,blank@icrkeyoutput#doctemplate,dynamics@icrannexbanklending#doctemplate,dynamics@icrannexstafftime#doctemplate,dynamics@icrannexprojectcost#doctemplate,blank@icrannexefficiency#doctemplate,blank@icrannexborrowercomments#doctemplate,blank@icrannexsupportdocument#doctemplate"/>
    <w:docVar w:name="formid" w:val="FR00113645"/>
    <w:docVar w:name="metadatafilename" w:val="DOC0000030_IPF-v1-metadata.json"/>
    <w:docVar w:name="migrateddoc" w:val="N"/>
    <w:docVar w:name="projectid" w:val="P161541"/>
  </w:docVars>
  <w:rsids>
    <w:rsidRoot w:val="00BD4468"/>
    <w:rsid w:val="000017E2"/>
    <w:rsid w:val="00004936"/>
    <w:rsid w:val="00004DBA"/>
    <w:rsid w:val="00005E4C"/>
    <w:rsid w:val="00006EA1"/>
    <w:rsid w:val="00007834"/>
    <w:rsid w:val="000112B3"/>
    <w:rsid w:val="000124E2"/>
    <w:rsid w:val="00012F50"/>
    <w:rsid w:val="00013C2A"/>
    <w:rsid w:val="00013FB1"/>
    <w:rsid w:val="00014A9D"/>
    <w:rsid w:val="00014E44"/>
    <w:rsid w:val="00014E9D"/>
    <w:rsid w:val="000151B5"/>
    <w:rsid w:val="00021D5C"/>
    <w:rsid w:val="000225DB"/>
    <w:rsid w:val="0002349F"/>
    <w:rsid w:val="00023E52"/>
    <w:rsid w:val="00024314"/>
    <w:rsid w:val="00025C88"/>
    <w:rsid w:val="0002696E"/>
    <w:rsid w:val="000270C2"/>
    <w:rsid w:val="0002788F"/>
    <w:rsid w:val="000279A4"/>
    <w:rsid w:val="0003195E"/>
    <w:rsid w:val="000327DA"/>
    <w:rsid w:val="000335B1"/>
    <w:rsid w:val="000336DB"/>
    <w:rsid w:val="00035868"/>
    <w:rsid w:val="00035ADF"/>
    <w:rsid w:val="00035EE0"/>
    <w:rsid w:val="000409AE"/>
    <w:rsid w:val="00044994"/>
    <w:rsid w:val="00046833"/>
    <w:rsid w:val="000469E8"/>
    <w:rsid w:val="0004749B"/>
    <w:rsid w:val="0005436F"/>
    <w:rsid w:val="00055E85"/>
    <w:rsid w:val="000566AA"/>
    <w:rsid w:val="00060583"/>
    <w:rsid w:val="0006155A"/>
    <w:rsid w:val="00062466"/>
    <w:rsid w:val="000636C8"/>
    <w:rsid w:val="00063B49"/>
    <w:rsid w:val="0006537A"/>
    <w:rsid w:val="000656EB"/>
    <w:rsid w:val="00070F1F"/>
    <w:rsid w:val="00071419"/>
    <w:rsid w:val="00072042"/>
    <w:rsid w:val="000814AD"/>
    <w:rsid w:val="000817B5"/>
    <w:rsid w:val="00081D3C"/>
    <w:rsid w:val="00082137"/>
    <w:rsid w:val="00082BAE"/>
    <w:rsid w:val="00086D0C"/>
    <w:rsid w:val="0008754F"/>
    <w:rsid w:val="00090CE0"/>
    <w:rsid w:val="00092F60"/>
    <w:rsid w:val="000949BD"/>
    <w:rsid w:val="000956EE"/>
    <w:rsid w:val="0009675A"/>
    <w:rsid w:val="0009759D"/>
    <w:rsid w:val="000A0E65"/>
    <w:rsid w:val="000A108E"/>
    <w:rsid w:val="000A1D92"/>
    <w:rsid w:val="000A32A0"/>
    <w:rsid w:val="000A3638"/>
    <w:rsid w:val="000A3D9F"/>
    <w:rsid w:val="000A5A01"/>
    <w:rsid w:val="000A5C76"/>
    <w:rsid w:val="000B08E1"/>
    <w:rsid w:val="000B09FA"/>
    <w:rsid w:val="000B1A6D"/>
    <w:rsid w:val="000B276B"/>
    <w:rsid w:val="000B2B81"/>
    <w:rsid w:val="000B43A5"/>
    <w:rsid w:val="000C12E3"/>
    <w:rsid w:val="000C195E"/>
    <w:rsid w:val="000C27F4"/>
    <w:rsid w:val="000C3B96"/>
    <w:rsid w:val="000C5F03"/>
    <w:rsid w:val="000C683A"/>
    <w:rsid w:val="000C6C28"/>
    <w:rsid w:val="000C7649"/>
    <w:rsid w:val="000C7D2C"/>
    <w:rsid w:val="000D109D"/>
    <w:rsid w:val="000D263E"/>
    <w:rsid w:val="000D4A20"/>
    <w:rsid w:val="000D4BB2"/>
    <w:rsid w:val="000D65EC"/>
    <w:rsid w:val="000D7BBB"/>
    <w:rsid w:val="000E013B"/>
    <w:rsid w:val="000E0167"/>
    <w:rsid w:val="000E0262"/>
    <w:rsid w:val="000E0DD6"/>
    <w:rsid w:val="000E2EFC"/>
    <w:rsid w:val="000E36E7"/>
    <w:rsid w:val="000E5211"/>
    <w:rsid w:val="000E6FFF"/>
    <w:rsid w:val="000F04D2"/>
    <w:rsid w:val="000F075E"/>
    <w:rsid w:val="000F55B8"/>
    <w:rsid w:val="000F5D6D"/>
    <w:rsid w:val="0010109B"/>
    <w:rsid w:val="001016E4"/>
    <w:rsid w:val="00101728"/>
    <w:rsid w:val="0010226B"/>
    <w:rsid w:val="00105343"/>
    <w:rsid w:val="001065A1"/>
    <w:rsid w:val="001070F3"/>
    <w:rsid w:val="001074CA"/>
    <w:rsid w:val="00107B05"/>
    <w:rsid w:val="00111361"/>
    <w:rsid w:val="001171A6"/>
    <w:rsid w:val="00120EBC"/>
    <w:rsid w:val="00124C4F"/>
    <w:rsid w:val="0012533E"/>
    <w:rsid w:val="00127353"/>
    <w:rsid w:val="001317B7"/>
    <w:rsid w:val="00131F42"/>
    <w:rsid w:val="0013261C"/>
    <w:rsid w:val="001335F0"/>
    <w:rsid w:val="001347E3"/>
    <w:rsid w:val="00134BE4"/>
    <w:rsid w:val="00135751"/>
    <w:rsid w:val="00136944"/>
    <w:rsid w:val="00136E4B"/>
    <w:rsid w:val="001403BF"/>
    <w:rsid w:val="00141595"/>
    <w:rsid w:val="001446C3"/>
    <w:rsid w:val="0014526C"/>
    <w:rsid w:val="0014614D"/>
    <w:rsid w:val="001467C7"/>
    <w:rsid w:val="00147816"/>
    <w:rsid w:val="001500D4"/>
    <w:rsid w:val="00150640"/>
    <w:rsid w:val="00152680"/>
    <w:rsid w:val="00153685"/>
    <w:rsid w:val="00153931"/>
    <w:rsid w:val="00153956"/>
    <w:rsid w:val="001627F7"/>
    <w:rsid w:val="0016300A"/>
    <w:rsid w:val="00165947"/>
    <w:rsid w:val="00166AF4"/>
    <w:rsid w:val="00167B18"/>
    <w:rsid w:val="00170628"/>
    <w:rsid w:val="0017334D"/>
    <w:rsid w:val="00173459"/>
    <w:rsid w:val="00173D91"/>
    <w:rsid w:val="00175AE4"/>
    <w:rsid w:val="001778F1"/>
    <w:rsid w:val="0018019F"/>
    <w:rsid w:val="0018140C"/>
    <w:rsid w:val="00182188"/>
    <w:rsid w:val="00183585"/>
    <w:rsid w:val="00184E63"/>
    <w:rsid w:val="001874F5"/>
    <w:rsid w:val="00187DFD"/>
    <w:rsid w:val="0019017E"/>
    <w:rsid w:val="00191739"/>
    <w:rsid w:val="001931E7"/>
    <w:rsid w:val="00195786"/>
    <w:rsid w:val="00195C2C"/>
    <w:rsid w:val="001A056B"/>
    <w:rsid w:val="001A0CCF"/>
    <w:rsid w:val="001A10E7"/>
    <w:rsid w:val="001A1C24"/>
    <w:rsid w:val="001A2960"/>
    <w:rsid w:val="001A345F"/>
    <w:rsid w:val="001A4AA7"/>
    <w:rsid w:val="001A6E99"/>
    <w:rsid w:val="001A7519"/>
    <w:rsid w:val="001B205E"/>
    <w:rsid w:val="001B2DDC"/>
    <w:rsid w:val="001B5229"/>
    <w:rsid w:val="001B523F"/>
    <w:rsid w:val="001B5323"/>
    <w:rsid w:val="001B5BF3"/>
    <w:rsid w:val="001B5D09"/>
    <w:rsid w:val="001B6271"/>
    <w:rsid w:val="001C07C4"/>
    <w:rsid w:val="001C75E8"/>
    <w:rsid w:val="001C7827"/>
    <w:rsid w:val="001C79DA"/>
    <w:rsid w:val="001D07C7"/>
    <w:rsid w:val="001D0A64"/>
    <w:rsid w:val="001D16AF"/>
    <w:rsid w:val="001D2ECC"/>
    <w:rsid w:val="001D3A4E"/>
    <w:rsid w:val="001D3E63"/>
    <w:rsid w:val="001D4738"/>
    <w:rsid w:val="001D521C"/>
    <w:rsid w:val="001D6B01"/>
    <w:rsid w:val="001D78F5"/>
    <w:rsid w:val="001E0416"/>
    <w:rsid w:val="001E0A0B"/>
    <w:rsid w:val="001E2FDE"/>
    <w:rsid w:val="001E39C7"/>
    <w:rsid w:val="001E619A"/>
    <w:rsid w:val="001F1CC9"/>
    <w:rsid w:val="001F20A6"/>
    <w:rsid w:val="001F295F"/>
    <w:rsid w:val="001F39EE"/>
    <w:rsid w:val="001F68BD"/>
    <w:rsid w:val="002030E8"/>
    <w:rsid w:val="002039F7"/>
    <w:rsid w:val="00204660"/>
    <w:rsid w:val="0020521D"/>
    <w:rsid w:val="00205323"/>
    <w:rsid w:val="002061DD"/>
    <w:rsid w:val="00210B77"/>
    <w:rsid w:val="002113E4"/>
    <w:rsid w:val="00212266"/>
    <w:rsid w:val="0021229D"/>
    <w:rsid w:val="00213A61"/>
    <w:rsid w:val="00215C9E"/>
    <w:rsid w:val="00216667"/>
    <w:rsid w:val="00216E54"/>
    <w:rsid w:val="002171D2"/>
    <w:rsid w:val="00222A29"/>
    <w:rsid w:val="00223A0E"/>
    <w:rsid w:val="00225B5A"/>
    <w:rsid w:val="0022689A"/>
    <w:rsid w:val="002326D8"/>
    <w:rsid w:val="00234A04"/>
    <w:rsid w:val="002352E3"/>
    <w:rsid w:val="002364B8"/>
    <w:rsid w:val="00237FA3"/>
    <w:rsid w:val="00237FFC"/>
    <w:rsid w:val="00241B37"/>
    <w:rsid w:val="00241C2A"/>
    <w:rsid w:val="00242D64"/>
    <w:rsid w:val="00244B10"/>
    <w:rsid w:val="0024551B"/>
    <w:rsid w:val="00245FDB"/>
    <w:rsid w:val="00246F03"/>
    <w:rsid w:val="00247348"/>
    <w:rsid w:val="00247F4B"/>
    <w:rsid w:val="00250A13"/>
    <w:rsid w:val="00250DB5"/>
    <w:rsid w:val="00250E79"/>
    <w:rsid w:val="00250F91"/>
    <w:rsid w:val="00252024"/>
    <w:rsid w:val="00252C83"/>
    <w:rsid w:val="00252CBE"/>
    <w:rsid w:val="0025579D"/>
    <w:rsid w:val="00256129"/>
    <w:rsid w:val="00256672"/>
    <w:rsid w:val="0025725C"/>
    <w:rsid w:val="00261ADE"/>
    <w:rsid w:val="00262BA5"/>
    <w:rsid w:val="00264553"/>
    <w:rsid w:val="00265FBA"/>
    <w:rsid w:val="00266056"/>
    <w:rsid w:val="002665E2"/>
    <w:rsid w:val="002673AF"/>
    <w:rsid w:val="00270229"/>
    <w:rsid w:val="002703D3"/>
    <w:rsid w:val="00270889"/>
    <w:rsid w:val="00271037"/>
    <w:rsid w:val="00272BFC"/>
    <w:rsid w:val="00274AAD"/>
    <w:rsid w:val="00274C68"/>
    <w:rsid w:val="00274E7E"/>
    <w:rsid w:val="00274F38"/>
    <w:rsid w:val="0027527D"/>
    <w:rsid w:val="00275D6E"/>
    <w:rsid w:val="002771FF"/>
    <w:rsid w:val="00277EB2"/>
    <w:rsid w:val="00281042"/>
    <w:rsid w:val="00282563"/>
    <w:rsid w:val="002861D6"/>
    <w:rsid w:val="00287A78"/>
    <w:rsid w:val="00287A9C"/>
    <w:rsid w:val="00290033"/>
    <w:rsid w:val="00291C71"/>
    <w:rsid w:val="002920EE"/>
    <w:rsid w:val="00294F26"/>
    <w:rsid w:val="00296029"/>
    <w:rsid w:val="00296D99"/>
    <w:rsid w:val="00297D44"/>
    <w:rsid w:val="002A0A0D"/>
    <w:rsid w:val="002A0A49"/>
    <w:rsid w:val="002A3606"/>
    <w:rsid w:val="002A3B7C"/>
    <w:rsid w:val="002A3B88"/>
    <w:rsid w:val="002A4573"/>
    <w:rsid w:val="002A4957"/>
    <w:rsid w:val="002A4E5C"/>
    <w:rsid w:val="002A65E2"/>
    <w:rsid w:val="002B4BC4"/>
    <w:rsid w:val="002B5671"/>
    <w:rsid w:val="002B7032"/>
    <w:rsid w:val="002C10D6"/>
    <w:rsid w:val="002C24AC"/>
    <w:rsid w:val="002C4014"/>
    <w:rsid w:val="002C4126"/>
    <w:rsid w:val="002C4B9E"/>
    <w:rsid w:val="002C5347"/>
    <w:rsid w:val="002C5A1B"/>
    <w:rsid w:val="002C6073"/>
    <w:rsid w:val="002D1F87"/>
    <w:rsid w:val="002D3814"/>
    <w:rsid w:val="002D5981"/>
    <w:rsid w:val="002E01DD"/>
    <w:rsid w:val="002E03E7"/>
    <w:rsid w:val="002E11A4"/>
    <w:rsid w:val="002E1FD2"/>
    <w:rsid w:val="002E2031"/>
    <w:rsid w:val="002E2723"/>
    <w:rsid w:val="002E29BD"/>
    <w:rsid w:val="002E2CC2"/>
    <w:rsid w:val="002E2E64"/>
    <w:rsid w:val="002E3412"/>
    <w:rsid w:val="002E4EE6"/>
    <w:rsid w:val="002E7907"/>
    <w:rsid w:val="002E7CAB"/>
    <w:rsid w:val="002F09FA"/>
    <w:rsid w:val="002F18D5"/>
    <w:rsid w:val="002F1B43"/>
    <w:rsid w:val="002F33D3"/>
    <w:rsid w:val="002F58D0"/>
    <w:rsid w:val="002F61B3"/>
    <w:rsid w:val="002F64C1"/>
    <w:rsid w:val="002F795F"/>
    <w:rsid w:val="003002A7"/>
    <w:rsid w:val="00300D2F"/>
    <w:rsid w:val="00302DA2"/>
    <w:rsid w:val="00302E29"/>
    <w:rsid w:val="00303263"/>
    <w:rsid w:val="003043C1"/>
    <w:rsid w:val="0030619F"/>
    <w:rsid w:val="00306DCB"/>
    <w:rsid w:val="00307C1D"/>
    <w:rsid w:val="00307DDC"/>
    <w:rsid w:val="00311467"/>
    <w:rsid w:val="00311AC5"/>
    <w:rsid w:val="0031312E"/>
    <w:rsid w:val="003138FF"/>
    <w:rsid w:val="00313E86"/>
    <w:rsid w:val="00314818"/>
    <w:rsid w:val="00316574"/>
    <w:rsid w:val="00316DD9"/>
    <w:rsid w:val="0031749E"/>
    <w:rsid w:val="00320E1F"/>
    <w:rsid w:val="00324BF5"/>
    <w:rsid w:val="00325C4C"/>
    <w:rsid w:val="003268AE"/>
    <w:rsid w:val="00327660"/>
    <w:rsid w:val="003339A5"/>
    <w:rsid w:val="00334D57"/>
    <w:rsid w:val="00335B0F"/>
    <w:rsid w:val="00337EDF"/>
    <w:rsid w:val="00340CC1"/>
    <w:rsid w:val="00341EFD"/>
    <w:rsid w:val="00344D2C"/>
    <w:rsid w:val="00344D70"/>
    <w:rsid w:val="00344DB2"/>
    <w:rsid w:val="003456E6"/>
    <w:rsid w:val="003476D0"/>
    <w:rsid w:val="003478FF"/>
    <w:rsid w:val="0035024F"/>
    <w:rsid w:val="00352137"/>
    <w:rsid w:val="00353001"/>
    <w:rsid w:val="00353A45"/>
    <w:rsid w:val="003557C9"/>
    <w:rsid w:val="00356AD6"/>
    <w:rsid w:val="003577F5"/>
    <w:rsid w:val="00362606"/>
    <w:rsid w:val="00365AEA"/>
    <w:rsid w:val="00366A11"/>
    <w:rsid w:val="00367033"/>
    <w:rsid w:val="003671FB"/>
    <w:rsid w:val="003714A3"/>
    <w:rsid w:val="003732DD"/>
    <w:rsid w:val="00373A6F"/>
    <w:rsid w:val="00374ED0"/>
    <w:rsid w:val="00377F33"/>
    <w:rsid w:val="00380785"/>
    <w:rsid w:val="00380972"/>
    <w:rsid w:val="00381DF7"/>
    <w:rsid w:val="00382C58"/>
    <w:rsid w:val="0038349D"/>
    <w:rsid w:val="00383816"/>
    <w:rsid w:val="00383DFC"/>
    <w:rsid w:val="00386139"/>
    <w:rsid w:val="00386DEA"/>
    <w:rsid w:val="003906D4"/>
    <w:rsid w:val="00390772"/>
    <w:rsid w:val="003908F0"/>
    <w:rsid w:val="00390952"/>
    <w:rsid w:val="00392058"/>
    <w:rsid w:val="0039363E"/>
    <w:rsid w:val="0039392E"/>
    <w:rsid w:val="00397DFA"/>
    <w:rsid w:val="003A1ED2"/>
    <w:rsid w:val="003A2709"/>
    <w:rsid w:val="003A2A4E"/>
    <w:rsid w:val="003A3D45"/>
    <w:rsid w:val="003A51FB"/>
    <w:rsid w:val="003A6365"/>
    <w:rsid w:val="003A7006"/>
    <w:rsid w:val="003A74B4"/>
    <w:rsid w:val="003B0808"/>
    <w:rsid w:val="003B258D"/>
    <w:rsid w:val="003B2A86"/>
    <w:rsid w:val="003B2DF1"/>
    <w:rsid w:val="003B3C1F"/>
    <w:rsid w:val="003B3C7E"/>
    <w:rsid w:val="003B3EA8"/>
    <w:rsid w:val="003B56CE"/>
    <w:rsid w:val="003B5CD2"/>
    <w:rsid w:val="003B75BA"/>
    <w:rsid w:val="003C3319"/>
    <w:rsid w:val="003C3486"/>
    <w:rsid w:val="003C4590"/>
    <w:rsid w:val="003C4C28"/>
    <w:rsid w:val="003D247E"/>
    <w:rsid w:val="003E12E5"/>
    <w:rsid w:val="003E2722"/>
    <w:rsid w:val="003E2F8F"/>
    <w:rsid w:val="003E345D"/>
    <w:rsid w:val="003E3AFB"/>
    <w:rsid w:val="003E4B08"/>
    <w:rsid w:val="003E5AD6"/>
    <w:rsid w:val="003E65A7"/>
    <w:rsid w:val="003F02C5"/>
    <w:rsid w:val="003F0711"/>
    <w:rsid w:val="003F0A11"/>
    <w:rsid w:val="003F1959"/>
    <w:rsid w:val="003F1EF0"/>
    <w:rsid w:val="003F574D"/>
    <w:rsid w:val="003F6784"/>
    <w:rsid w:val="003F7B42"/>
    <w:rsid w:val="003F7FBE"/>
    <w:rsid w:val="00402DA5"/>
    <w:rsid w:val="00402ED2"/>
    <w:rsid w:val="004034EA"/>
    <w:rsid w:val="00403629"/>
    <w:rsid w:val="00404EC5"/>
    <w:rsid w:val="004053D1"/>
    <w:rsid w:val="00406E20"/>
    <w:rsid w:val="0041278C"/>
    <w:rsid w:val="0041332D"/>
    <w:rsid w:val="00414035"/>
    <w:rsid w:val="00414FC5"/>
    <w:rsid w:val="004221BF"/>
    <w:rsid w:val="004229FE"/>
    <w:rsid w:val="00424744"/>
    <w:rsid w:val="004247DE"/>
    <w:rsid w:val="00426B66"/>
    <w:rsid w:val="00427FC2"/>
    <w:rsid w:val="00441980"/>
    <w:rsid w:val="004434DB"/>
    <w:rsid w:val="00443A29"/>
    <w:rsid w:val="00443F29"/>
    <w:rsid w:val="00447A5C"/>
    <w:rsid w:val="00447E65"/>
    <w:rsid w:val="00447EA0"/>
    <w:rsid w:val="00450D77"/>
    <w:rsid w:val="00451C71"/>
    <w:rsid w:val="004534A1"/>
    <w:rsid w:val="00453A97"/>
    <w:rsid w:val="00455964"/>
    <w:rsid w:val="00456B69"/>
    <w:rsid w:val="00457CAB"/>
    <w:rsid w:val="00462096"/>
    <w:rsid w:val="00462DE1"/>
    <w:rsid w:val="004635CD"/>
    <w:rsid w:val="004665D4"/>
    <w:rsid w:val="004668AD"/>
    <w:rsid w:val="00467CAA"/>
    <w:rsid w:val="004715F4"/>
    <w:rsid w:val="004730F6"/>
    <w:rsid w:val="00473397"/>
    <w:rsid w:val="00483046"/>
    <w:rsid w:val="00485BC6"/>
    <w:rsid w:val="00486253"/>
    <w:rsid w:val="0048693B"/>
    <w:rsid w:val="00486BE7"/>
    <w:rsid w:val="00487065"/>
    <w:rsid w:val="004900AD"/>
    <w:rsid w:val="00490328"/>
    <w:rsid w:val="00490FC5"/>
    <w:rsid w:val="0049154E"/>
    <w:rsid w:val="004916BC"/>
    <w:rsid w:val="00491AF2"/>
    <w:rsid w:val="00492132"/>
    <w:rsid w:val="004927BC"/>
    <w:rsid w:val="00497CA5"/>
    <w:rsid w:val="004A0E70"/>
    <w:rsid w:val="004A1715"/>
    <w:rsid w:val="004A229F"/>
    <w:rsid w:val="004A31C5"/>
    <w:rsid w:val="004A5C59"/>
    <w:rsid w:val="004A6F62"/>
    <w:rsid w:val="004B1A51"/>
    <w:rsid w:val="004B1AB6"/>
    <w:rsid w:val="004B35CE"/>
    <w:rsid w:val="004B5CB2"/>
    <w:rsid w:val="004C42BE"/>
    <w:rsid w:val="004D0BFB"/>
    <w:rsid w:val="004D1D9B"/>
    <w:rsid w:val="004D51DB"/>
    <w:rsid w:val="004D597E"/>
    <w:rsid w:val="004D60DD"/>
    <w:rsid w:val="004D62F3"/>
    <w:rsid w:val="004D6B66"/>
    <w:rsid w:val="004D745D"/>
    <w:rsid w:val="004D771A"/>
    <w:rsid w:val="004E0992"/>
    <w:rsid w:val="004E2247"/>
    <w:rsid w:val="004E23F5"/>
    <w:rsid w:val="004E3077"/>
    <w:rsid w:val="004E4CCE"/>
    <w:rsid w:val="004F038D"/>
    <w:rsid w:val="004F0578"/>
    <w:rsid w:val="004F1150"/>
    <w:rsid w:val="004F30DD"/>
    <w:rsid w:val="004F355A"/>
    <w:rsid w:val="004F460A"/>
    <w:rsid w:val="004F4C96"/>
    <w:rsid w:val="004F6209"/>
    <w:rsid w:val="004F7723"/>
    <w:rsid w:val="005005F7"/>
    <w:rsid w:val="00501B0B"/>
    <w:rsid w:val="00502711"/>
    <w:rsid w:val="005031D2"/>
    <w:rsid w:val="00503B22"/>
    <w:rsid w:val="00506B8A"/>
    <w:rsid w:val="00506F3C"/>
    <w:rsid w:val="00510BE1"/>
    <w:rsid w:val="00511832"/>
    <w:rsid w:val="005132C9"/>
    <w:rsid w:val="00513594"/>
    <w:rsid w:val="00521A31"/>
    <w:rsid w:val="005229FB"/>
    <w:rsid w:val="00522D88"/>
    <w:rsid w:val="00523281"/>
    <w:rsid w:val="00523735"/>
    <w:rsid w:val="00524024"/>
    <w:rsid w:val="00524DB8"/>
    <w:rsid w:val="00525EFE"/>
    <w:rsid w:val="0052649E"/>
    <w:rsid w:val="005264A3"/>
    <w:rsid w:val="005278AF"/>
    <w:rsid w:val="00527C9A"/>
    <w:rsid w:val="00530661"/>
    <w:rsid w:val="00531612"/>
    <w:rsid w:val="00531846"/>
    <w:rsid w:val="00531E32"/>
    <w:rsid w:val="005329EE"/>
    <w:rsid w:val="00533292"/>
    <w:rsid w:val="00536506"/>
    <w:rsid w:val="00536AA8"/>
    <w:rsid w:val="00536AF6"/>
    <w:rsid w:val="00536D4D"/>
    <w:rsid w:val="00537289"/>
    <w:rsid w:val="0054106B"/>
    <w:rsid w:val="0054131A"/>
    <w:rsid w:val="005414DF"/>
    <w:rsid w:val="00541991"/>
    <w:rsid w:val="00542135"/>
    <w:rsid w:val="00543BF9"/>
    <w:rsid w:val="00545980"/>
    <w:rsid w:val="00546E74"/>
    <w:rsid w:val="00547731"/>
    <w:rsid w:val="005510E7"/>
    <w:rsid w:val="00553274"/>
    <w:rsid w:val="0055442F"/>
    <w:rsid w:val="00555E45"/>
    <w:rsid w:val="00556A27"/>
    <w:rsid w:val="00557395"/>
    <w:rsid w:val="00557C52"/>
    <w:rsid w:val="005610B5"/>
    <w:rsid w:val="00561B98"/>
    <w:rsid w:val="00567229"/>
    <w:rsid w:val="00567DED"/>
    <w:rsid w:val="00571197"/>
    <w:rsid w:val="00573596"/>
    <w:rsid w:val="00575276"/>
    <w:rsid w:val="00575B69"/>
    <w:rsid w:val="00576120"/>
    <w:rsid w:val="005768B0"/>
    <w:rsid w:val="00576F51"/>
    <w:rsid w:val="00580309"/>
    <w:rsid w:val="005810EE"/>
    <w:rsid w:val="00581D73"/>
    <w:rsid w:val="00582340"/>
    <w:rsid w:val="005833E6"/>
    <w:rsid w:val="00583522"/>
    <w:rsid w:val="00583E4B"/>
    <w:rsid w:val="00585E58"/>
    <w:rsid w:val="005864CD"/>
    <w:rsid w:val="00586893"/>
    <w:rsid w:val="00592B0D"/>
    <w:rsid w:val="00593AFB"/>
    <w:rsid w:val="005979C5"/>
    <w:rsid w:val="005A04D3"/>
    <w:rsid w:val="005A226D"/>
    <w:rsid w:val="005A2F8C"/>
    <w:rsid w:val="005A4330"/>
    <w:rsid w:val="005A682F"/>
    <w:rsid w:val="005A6BE9"/>
    <w:rsid w:val="005B1029"/>
    <w:rsid w:val="005B1A1D"/>
    <w:rsid w:val="005B1AD7"/>
    <w:rsid w:val="005B1C05"/>
    <w:rsid w:val="005B7D5C"/>
    <w:rsid w:val="005C0382"/>
    <w:rsid w:val="005C06CF"/>
    <w:rsid w:val="005C0E77"/>
    <w:rsid w:val="005C0F78"/>
    <w:rsid w:val="005C16C2"/>
    <w:rsid w:val="005C2565"/>
    <w:rsid w:val="005C4476"/>
    <w:rsid w:val="005C6173"/>
    <w:rsid w:val="005C6D77"/>
    <w:rsid w:val="005C7B38"/>
    <w:rsid w:val="005C7B81"/>
    <w:rsid w:val="005D0137"/>
    <w:rsid w:val="005D0945"/>
    <w:rsid w:val="005D0FB3"/>
    <w:rsid w:val="005D192A"/>
    <w:rsid w:val="005D20C8"/>
    <w:rsid w:val="005D2A3E"/>
    <w:rsid w:val="005D2ABE"/>
    <w:rsid w:val="005D3D05"/>
    <w:rsid w:val="005D53EC"/>
    <w:rsid w:val="005D6489"/>
    <w:rsid w:val="005D6605"/>
    <w:rsid w:val="005D7177"/>
    <w:rsid w:val="005E0B14"/>
    <w:rsid w:val="005E5A1A"/>
    <w:rsid w:val="005E5ED1"/>
    <w:rsid w:val="005E674A"/>
    <w:rsid w:val="005E793E"/>
    <w:rsid w:val="005F0723"/>
    <w:rsid w:val="005F1843"/>
    <w:rsid w:val="005F18AA"/>
    <w:rsid w:val="005F19BF"/>
    <w:rsid w:val="005F2BE9"/>
    <w:rsid w:val="005F3C96"/>
    <w:rsid w:val="005F4A2A"/>
    <w:rsid w:val="005F5257"/>
    <w:rsid w:val="005F5909"/>
    <w:rsid w:val="00600938"/>
    <w:rsid w:val="00601082"/>
    <w:rsid w:val="00602333"/>
    <w:rsid w:val="00603659"/>
    <w:rsid w:val="00610786"/>
    <w:rsid w:val="00612397"/>
    <w:rsid w:val="00612848"/>
    <w:rsid w:val="00615185"/>
    <w:rsid w:val="00615339"/>
    <w:rsid w:val="0062118D"/>
    <w:rsid w:val="006218E1"/>
    <w:rsid w:val="00621F47"/>
    <w:rsid w:val="00624398"/>
    <w:rsid w:val="00624650"/>
    <w:rsid w:val="00625B5D"/>
    <w:rsid w:val="006266A4"/>
    <w:rsid w:val="00630B28"/>
    <w:rsid w:val="006348A3"/>
    <w:rsid w:val="0063670A"/>
    <w:rsid w:val="006379B7"/>
    <w:rsid w:val="006412EE"/>
    <w:rsid w:val="00641EBD"/>
    <w:rsid w:val="00642CD2"/>
    <w:rsid w:val="0064305A"/>
    <w:rsid w:val="00643C70"/>
    <w:rsid w:val="00643E41"/>
    <w:rsid w:val="006440FC"/>
    <w:rsid w:val="006447BF"/>
    <w:rsid w:val="00644ED8"/>
    <w:rsid w:val="00646A70"/>
    <w:rsid w:val="0064722E"/>
    <w:rsid w:val="00650725"/>
    <w:rsid w:val="0065075D"/>
    <w:rsid w:val="00651091"/>
    <w:rsid w:val="0065225C"/>
    <w:rsid w:val="00652D8A"/>
    <w:rsid w:val="00655287"/>
    <w:rsid w:val="00661F9E"/>
    <w:rsid w:val="006625D7"/>
    <w:rsid w:val="00662730"/>
    <w:rsid w:val="00662E94"/>
    <w:rsid w:val="006635AE"/>
    <w:rsid w:val="0066413D"/>
    <w:rsid w:val="006647BC"/>
    <w:rsid w:val="00665A76"/>
    <w:rsid w:val="006705C3"/>
    <w:rsid w:val="00673DE8"/>
    <w:rsid w:val="006755AA"/>
    <w:rsid w:val="00675DB8"/>
    <w:rsid w:val="006763CD"/>
    <w:rsid w:val="006769A8"/>
    <w:rsid w:val="00677463"/>
    <w:rsid w:val="006779AD"/>
    <w:rsid w:val="0068296B"/>
    <w:rsid w:val="00683237"/>
    <w:rsid w:val="0068350A"/>
    <w:rsid w:val="0068373F"/>
    <w:rsid w:val="006840E0"/>
    <w:rsid w:val="00684396"/>
    <w:rsid w:val="0068443B"/>
    <w:rsid w:val="00684A7F"/>
    <w:rsid w:val="00686266"/>
    <w:rsid w:val="00690858"/>
    <w:rsid w:val="00692E07"/>
    <w:rsid w:val="00692E93"/>
    <w:rsid w:val="0069396F"/>
    <w:rsid w:val="006A01F2"/>
    <w:rsid w:val="006A07D0"/>
    <w:rsid w:val="006A1838"/>
    <w:rsid w:val="006A1F58"/>
    <w:rsid w:val="006A26C1"/>
    <w:rsid w:val="006A3AD2"/>
    <w:rsid w:val="006A4EE8"/>
    <w:rsid w:val="006A5E2D"/>
    <w:rsid w:val="006B133A"/>
    <w:rsid w:val="006B1B5E"/>
    <w:rsid w:val="006B3175"/>
    <w:rsid w:val="006B40ED"/>
    <w:rsid w:val="006B5352"/>
    <w:rsid w:val="006B5F21"/>
    <w:rsid w:val="006C53B3"/>
    <w:rsid w:val="006C778C"/>
    <w:rsid w:val="006D169F"/>
    <w:rsid w:val="006D1FEC"/>
    <w:rsid w:val="006D3EF9"/>
    <w:rsid w:val="006D4710"/>
    <w:rsid w:val="006D5200"/>
    <w:rsid w:val="006D5B57"/>
    <w:rsid w:val="006D6405"/>
    <w:rsid w:val="006E07A2"/>
    <w:rsid w:val="006E38C8"/>
    <w:rsid w:val="006E509B"/>
    <w:rsid w:val="006E57EB"/>
    <w:rsid w:val="006E5C39"/>
    <w:rsid w:val="006E6386"/>
    <w:rsid w:val="006E6DDE"/>
    <w:rsid w:val="006E7105"/>
    <w:rsid w:val="006F07D7"/>
    <w:rsid w:val="006F218A"/>
    <w:rsid w:val="006F4A9A"/>
    <w:rsid w:val="006F56C2"/>
    <w:rsid w:val="006F624A"/>
    <w:rsid w:val="006F631C"/>
    <w:rsid w:val="0070066D"/>
    <w:rsid w:val="0070160A"/>
    <w:rsid w:val="007023F8"/>
    <w:rsid w:val="0070311B"/>
    <w:rsid w:val="00705A2C"/>
    <w:rsid w:val="007064F9"/>
    <w:rsid w:val="00707100"/>
    <w:rsid w:val="00713871"/>
    <w:rsid w:val="00714719"/>
    <w:rsid w:val="00714DA4"/>
    <w:rsid w:val="00717929"/>
    <w:rsid w:val="00720714"/>
    <w:rsid w:val="007207A9"/>
    <w:rsid w:val="007217C8"/>
    <w:rsid w:val="00722075"/>
    <w:rsid w:val="0072404C"/>
    <w:rsid w:val="00724367"/>
    <w:rsid w:val="0072486E"/>
    <w:rsid w:val="00724B89"/>
    <w:rsid w:val="00726713"/>
    <w:rsid w:val="00727108"/>
    <w:rsid w:val="00730304"/>
    <w:rsid w:val="00730EEF"/>
    <w:rsid w:val="007315B7"/>
    <w:rsid w:val="007331B0"/>
    <w:rsid w:val="007368CB"/>
    <w:rsid w:val="00736C57"/>
    <w:rsid w:val="00736D9A"/>
    <w:rsid w:val="00741331"/>
    <w:rsid w:val="00741766"/>
    <w:rsid w:val="007453CD"/>
    <w:rsid w:val="00745612"/>
    <w:rsid w:val="00745DFB"/>
    <w:rsid w:val="00747173"/>
    <w:rsid w:val="00751C69"/>
    <w:rsid w:val="00752535"/>
    <w:rsid w:val="00754516"/>
    <w:rsid w:val="00754AEE"/>
    <w:rsid w:val="00755245"/>
    <w:rsid w:val="00755B5E"/>
    <w:rsid w:val="00755CC8"/>
    <w:rsid w:val="007562DC"/>
    <w:rsid w:val="00756A15"/>
    <w:rsid w:val="00760EF2"/>
    <w:rsid w:val="00761735"/>
    <w:rsid w:val="00761BAF"/>
    <w:rsid w:val="00764041"/>
    <w:rsid w:val="00764859"/>
    <w:rsid w:val="007651DC"/>
    <w:rsid w:val="00765543"/>
    <w:rsid w:val="00765C2B"/>
    <w:rsid w:val="00767138"/>
    <w:rsid w:val="00767281"/>
    <w:rsid w:val="00770559"/>
    <w:rsid w:val="00770FB2"/>
    <w:rsid w:val="00771B4F"/>
    <w:rsid w:val="0077311A"/>
    <w:rsid w:val="00773C21"/>
    <w:rsid w:val="0077466D"/>
    <w:rsid w:val="00774B39"/>
    <w:rsid w:val="00776E32"/>
    <w:rsid w:val="00777D37"/>
    <w:rsid w:val="00785511"/>
    <w:rsid w:val="007856EA"/>
    <w:rsid w:val="00787229"/>
    <w:rsid w:val="0079206E"/>
    <w:rsid w:val="00792764"/>
    <w:rsid w:val="007948D3"/>
    <w:rsid w:val="00794D76"/>
    <w:rsid w:val="00794E30"/>
    <w:rsid w:val="00797248"/>
    <w:rsid w:val="00797C64"/>
    <w:rsid w:val="007A0485"/>
    <w:rsid w:val="007A07ED"/>
    <w:rsid w:val="007A1A29"/>
    <w:rsid w:val="007A2C07"/>
    <w:rsid w:val="007A36C3"/>
    <w:rsid w:val="007A38F5"/>
    <w:rsid w:val="007A584D"/>
    <w:rsid w:val="007A58DF"/>
    <w:rsid w:val="007B06EF"/>
    <w:rsid w:val="007B2CC0"/>
    <w:rsid w:val="007B2F4C"/>
    <w:rsid w:val="007B33CE"/>
    <w:rsid w:val="007B35D0"/>
    <w:rsid w:val="007B43A6"/>
    <w:rsid w:val="007B5807"/>
    <w:rsid w:val="007C0B99"/>
    <w:rsid w:val="007C1414"/>
    <w:rsid w:val="007C2176"/>
    <w:rsid w:val="007C401F"/>
    <w:rsid w:val="007C5CCB"/>
    <w:rsid w:val="007C6635"/>
    <w:rsid w:val="007C6893"/>
    <w:rsid w:val="007C6D2A"/>
    <w:rsid w:val="007D2897"/>
    <w:rsid w:val="007D2FB2"/>
    <w:rsid w:val="007D373C"/>
    <w:rsid w:val="007D7914"/>
    <w:rsid w:val="007E0C4F"/>
    <w:rsid w:val="007E2295"/>
    <w:rsid w:val="007E24A7"/>
    <w:rsid w:val="007E2B94"/>
    <w:rsid w:val="007E2E0B"/>
    <w:rsid w:val="007E65A0"/>
    <w:rsid w:val="007E6B05"/>
    <w:rsid w:val="007F0BED"/>
    <w:rsid w:val="007F2C57"/>
    <w:rsid w:val="007F5A65"/>
    <w:rsid w:val="007F6B64"/>
    <w:rsid w:val="007F7144"/>
    <w:rsid w:val="00800180"/>
    <w:rsid w:val="00800F02"/>
    <w:rsid w:val="00801C4A"/>
    <w:rsid w:val="00804229"/>
    <w:rsid w:val="00805F2E"/>
    <w:rsid w:val="008065D0"/>
    <w:rsid w:val="00811297"/>
    <w:rsid w:val="00812BB5"/>
    <w:rsid w:val="00814C2F"/>
    <w:rsid w:val="0081523C"/>
    <w:rsid w:val="00817FEF"/>
    <w:rsid w:val="00823278"/>
    <w:rsid w:val="00823FB9"/>
    <w:rsid w:val="0082454C"/>
    <w:rsid w:val="00824859"/>
    <w:rsid w:val="00831D37"/>
    <w:rsid w:val="008337C6"/>
    <w:rsid w:val="00835208"/>
    <w:rsid w:val="008353BF"/>
    <w:rsid w:val="00835582"/>
    <w:rsid w:val="00835A8B"/>
    <w:rsid w:val="00835AE5"/>
    <w:rsid w:val="008370B8"/>
    <w:rsid w:val="008376DC"/>
    <w:rsid w:val="0083792C"/>
    <w:rsid w:val="00837B64"/>
    <w:rsid w:val="008416CB"/>
    <w:rsid w:val="00842489"/>
    <w:rsid w:val="0084298F"/>
    <w:rsid w:val="00843F62"/>
    <w:rsid w:val="008440F0"/>
    <w:rsid w:val="00844247"/>
    <w:rsid w:val="00845D68"/>
    <w:rsid w:val="00847014"/>
    <w:rsid w:val="008528CA"/>
    <w:rsid w:val="0085334E"/>
    <w:rsid w:val="00855E8C"/>
    <w:rsid w:val="00855FF1"/>
    <w:rsid w:val="00857E7E"/>
    <w:rsid w:val="00861442"/>
    <w:rsid w:val="00862698"/>
    <w:rsid w:val="00863CC9"/>
    <w:rsid w:val="00867BAD"/>
    <w:rsid w:val="00870DAB"/>
    <w:rsid w:val="008718FC"/>
    <w:rsid w:val="0087351A"/>
    <w:rsid w:val="00874F94"/>
    <w:rsid w:val="00875854"/>
    <w:rsid w:val="0087619C"/>
    <w:rsid w:val="00877633"/>
    <w:rsid w:val="00880441"/>
    <w:rsid w:val="00880F30"/>
    <w:rsid w:val="00881024"/>
    <w:rsid w:val="00883DC8"/>
    <w:rsid w:val="00884987"/>
    <w:rsid w:val="00884D9A"/>
    <w:rsid w:val="0089319C"/>
    <w:rsid w:val="008945A0"/>
    <w:rsid w:val="0089731B"/>
    <w:rsid w:val="00897C38"/>
    <w:rsid w:val="008A029B"/>
    <w:rsid w:val="008A0CDF"/>
    <w:rsid w:val="008A1ECA"/>
    <w:rsid w:val="008A3635"/>
    <w:rsid w:val="008A3D00"/>
    <w:rsid w:val="008A561B"/>
    <w:rsid w:val="008A6DED"/>
    <w:rsid w:val="008A700C"/>
    <w:rsid w:val="008A7B90"/>
    <w:rsid w:val="008B0035"/>
    <w:rsid w:val="008B0483"/>
    <w:rsid w:val="008B2665"/>
    <w:rsid w:val="008B5EA2"/>
    <w:rsid w:val="008B6714"/>
    <w:rsid w:val="008B6CF1"/>
    <w:rsid w:val="008C073A"/>
    <w:rsid w:val="008C3095"/>
    <w:rsid w:val="008C31DF"/>
    <w:rsid w:val="008C3869"/>
    <w:rsid w:val="008C3EC9"/>
    <w:rsid w:val="008C44C1"/>
    <w:rsid w:val="008C466D"/>
    <w:rsid w:val="008C78D4"/>
    <w:rsid w:val="008D0608"/>
    <w:rsid w:val="008D0AFA"/>
    <w:rsid w:val="008D0C52"/>
    <w:rsid w:val="008D3F0C"/>
    <w:rsid w:val="008D4A1B"/>
    <w:rsid w:val="008D4B51"/>
    <w:rsid w:val="008D7C94"/>
    <w:rsid w:val="008E00B7"/>
    <w:rsid w:val="008E0322"/>
    <w:rsid w:val="008E0EE5"/>
    <w:rsid w:val="008E116B"/>
    <w:rsid w:val="008E2C56"/>
    <w:rsid w:val="008E472D"/>
    <w:rsid w:val="008E61CB"/>
    <w:rsid w:val="008F0433"/>
    <w:rsid w:val="008F1519"/>
    <w:rsid w:val="008F17CA"/>
    <w:rsid w:val="008F2B6C"/>
    <w:rsid w:val="008F32ED"/>
    <w:rsid w:val="008F3D9A"/>
    <w:rsid w:val="008F3FDA"/>
    <w:rsid w:val="008F465B"/>
    <w:rsid w:val="008F4C53"/>
    <w:rsid w:val="008F5D7C"/>
    <w:rsid w:val="008F5E18"/>
    <w:rsid w:val="008F6A91"/>
    <w:rsid w:val="008F6AC5"/>
    <w:rsid w:val="008F71EA"/>
    <w:rsid w:val="008F75D6"/>
    <w:rsid w:val="00900FB7"/>
    <w:rsid w:val="00901080"/>
    <w:rsid w:val="0090296D"/>
    <w:rsid w:val="00903865"/>
    <w:rsid w:val="00903DFC"/>
    <w:rsid w:val="00904789"/>
    <w:rsid w:val="00905E7B"/>
    <w:rsid w:val="0090642C"/>
    <w:rsid w:val="00910724"/>
    <w:rsid w:val="00910F86"/>
    <w:rsid w:val="00911FFB"/>
    <w:rsid w:val="00912346"/>
    <w:rsid w:val="00912FF7"/>
    <w:rsid w:val="00913498"/>
    <w:rsid w:val="009136BC"/>
    <w:rsid w:val="00915965"/>
    <w:rsid w:val="009177AA"/>
    <w:rsid w:val="0092155A"/>
    <w:rsid w:val="009235EE"/>
    <w:rsid w:val="0092422F"/>
    <w:rsid w:val="009250E8"/>
    <w:rsid w:val="00927BBE"/>
    <w:rsid w:val="00927CF9"/>
    <w:rsid w:val="009305C0"/>
    <w:rsid w:val="009339C8"/>
    <w:rsid w:val="00934FB8"/>
    <w:rsid w:val="00935E61"/>
    <w:rsid w:val="00940317"/>
    <w:rsid w:val="00940862"/>
    <w:rsid w:val="00940BE3"/>
    <w:rsid w:val="009429B9"/>
    <w:rsid w:val="00944E48"/>
    <w:rsid w:val="00945A07"/>
    <w:rsid w:val="00945CE5"/>
    <w:rsid w:val="00951E62"/>
    <w:rsid w:val="009522EB"/>
    <w:rsid w:val="00952888"/>
    <w:rsid w:val="00953A15"/>
    <w:rsid w:val="00954A3E"/>
    <w:rsid w:val="00954DFD"/>
    <w:rsid w:val="009550D8"/>
    <w:rsid w:val="00956496"/>
    <w:rsid w:val="0095700E"/>
    <w:rsid w:val="00960513"/>
    <w:rsid w:val="00960883"/>
    <w:rsid w:val="00960B1D"/>
    <w:rsid w:val="00960C84"/>
    <w:rsid w:val="00960FD0"/>
    <w:rsid w:val="00961720"/>
    <w:rsid w:val="00962B62"/>
    <w:rsid w:val="009634A6"/>
    <w:rsid w:val="009643EA"/>
    <w:rsid w:val="00972B78"/>
    <w:rsid w:val="00972DB1"/>
    <w:rsid w:val="00972ECC"/>
    <w:rsid w:val="00973ED1"/>
    <w:rsid w:val="0097423F"/>
    <w:rsid w:val="009742B0"/>
    <w:rsid w:val="00975F00"/>
    <w:rsid w:val="00977463"/>
    <w:rsid w:val="00980C78"/>
    <w:rsid w:val="00981756"/>
    <w:rsid w:val="00982E59"/>
    <w:rsid w:val="00982F89"/>
    <w:rsid w:val="00983BC4"/>
    <w:rsid w:val="00983FB7"/>
    <w:rsid w:val="00984D90"/>
    <w:rsid w:val="00986814"/>
    <w:rsid w:val="00986C0A"/>
    <w:rsid w:val="00987A01"/>
    <w:rsid w:val="009913F9"/>
    <w:rsid w:val="00991C06"/>
    <w:rsid w:val="00992B1F"/>
    <w:rsid w:val="00993BC5"/>
    <w:rsid w:val="00993CA3"/>
    <w:rsid w:val="00993CEF"/>
    <w:rsid w:val="0099530D"/>
    <w:rsid w:val="0099674D"/>
    <w:rsid w:val="0099683A"/>
    <w:rsid w:val="00996E45"/>
    <w:rsid w:val="009A0B69"/>
    <w:rsid w:val="009A0CB1"/>
    <w:rsid w:val="009A2242"/>
    <w:rsid w:val="009A2514"/>
    <w:rsid w:val="009A2D5B"/>
    <w:rsid w:val="009A33F7"/>
    <w:rsid w:val="009A40F1"/>
    <w:rsid w:val="009A4505"/>
    <w:rsid w:val="009A7F29"/>
    <w:rsid w:val="009B1580"/>
    <w:rsid w:val="009B1D03"/>
    <w:rsid w:val="009B1DA6"/>
    <w:rsid w:val="009B27CE"/>
    <w:rsid w:val="009B345E"/>
    <w:rsid w:val="009B3A39"/>
    <w:rsid w:val="009B7B4C"/>
    <w:rsid w:val="009C28C1"/>
    <w:rsid w:val="009C33B8"/>
    <w:rsid w:val="009C3917"/>
    <w:rsid w:val="009C428E"/>
    <w:rsid w:val="009C42DF"/>
    <w:rsid w:val="009C43EB"/>
    <w:rsid w:val="009C4D22"/>
    <w:rsid w:val="009C4D4A"/>
    <w:rsid w:val="009D26AA"/>
    <w:rsid w:val="009D438A"/>
    <w:rsid w:val="009D54C0"/>
    <w:rsid w:val="009D6D60"/>
    <w:rsid w:val="009D6D80"/>
    <w:rsid w:val="009D76FF"/>
    <w:rsid w:val="009E39CE"/>
    <w:rsid w:val="009E3D22"/>
    <w:rsid w:val="009E5859"/>
    <w:rsid w:val="009E7EFB"/>
    <w:rsid w:val="009F06E5"/>
    <w:rsid w:val="009F45A9"/>
    <w:rsid w:val="009F641A"/>
    <w:rsid w:val="009F75C1"/>
    <w:rsid w:val="009F797F"/>
    <w:rsid w:val="00A00503"/>
    <w:rsid w:val="00A024D4"/>
    <w:rsid w:val="00A04223"/>
    <w:rsid w:val="00A05560"/>
    <w:rsid w:val="00A06173"/>
    <w:rsid w:val="00A068D3"/>
    <w:rsid w:val="00A06B01"/>
    <w:rsid w:val="00A11802"/>
    <w:rsid w:val="00A11B83"/>
    <w:rsid w:val="00A12668"/>
    <w:rsid w:val="00A128CB"/>
    <w:rsid w:val="00A13892"/>
    <w:rsid w:val="00A15A6E"/>
    <w:rsid w:val="00A15F63"/>
    <w:rsid w:val="00A16322"/>
    <w:rsid w:val="00A16E31"/>
    <w:rsid w:val="00A2116C"/>
    <w:rsid w:val="00A22120"/>
    <w:rsid w:val="00A226CE"/>
    <w:rsid w:val="00A25BC8"/>
    <w:rsid w:val="00A25C8D"/>
    <w:rsid w:val="00A25DA8"/>
    <w:rsid w:val="00A26D1D"/>
    <w:rsid w:val="00A27798"/>
    <w:rsid w:val="00A307E2"/>
    <w:rsid w:val="00A33F36"/>
    <w:rsid w:val="00A36953"/>
    <w:rsid w:val="00A40236"/>
    <w:rsid w:val="00A40C3B"/>
    <w:rsid w:val="00A43E8A"/>
    <w:rsid w:val="00A44545"/>
    <w:rsid w:val="00A468CE"/>
    <w:rsid w:val="00A47009"/>
    <w:rsid w:val="00A47203"/>
    <w:rsid w:val="00A4724C"/>
    <w:rsid w:val="00A523FC"/>
    <w:rsid w:val="00A52839"/>
    <w:rsid w:val="00A52EA5"/>
    <w:rsid w:val="00A53150"/>
    <w:rsid w:val="00A55FE3"/>
    <w:rsid w:val="00A56348"/>
    <w:rsid w:val="00A570B1"/>
    <w:rsid w:val="00A578CD"/>
    <w:rsid w:val="00A57CE4"/>
    <w:rsid w:val="00A61B39"/>
    <w:rsid w:val="00A6264C"/>
    <w:rsid w:val="00A6519A"/>
    <w:rsid w:val="00A65525"/>
    <w:rsid w:val="00A65A6E"/>
    <w:rsid w:val="00A6628C"/>
    <w:rsid w:val="00A67BA0"/>
    <w:rsid w:val="00A67F9C"/>
    <w:rsid w:val="00A70789"/>
    <w:rsid w:val="00A707AA"/>
    <w:rsid w:val="00A7085A"/>
    <w:rsid w:val="00A710A9"/>
    <w:rsid w:val="00A73AA2"/>
    <w:rsid w:val="00A743EC"/>
    <w:rsid w:val="00A74A2B"/>
    <w:rsid w:val="00A753D1"/>
    <w:rsid w:val="00A758F7"/>
    <w:rsid w:val="00A829E7"/>
    <w:rsid w:val="00A82E38"/>
    <w:rsid w:val="00A85DCE"/>
    <w:rsid w:val="00A91119"/>
    <w:rsid w:val="00A917C5"/>
    <w:rsid w:val="00A91CE7"/>
    <w:rsid w:val="00A91EDF"/>
    <w:rsid w:val="00A9380B"/>
    <w:rsid w:val="00A93EB1"/>
    <w:rsid w:val="00A972DD"/>
    <w:rsid w:val="00A9796D"/>
    <w:rsid w:val="00AA48A5"/>
    <w:rsid w:val="00AB0157"/>
    <w:rsid w:val="00AB0314"/>
    <w:rsid w:val="00AB111E"/>
    <w:rsid w:val="00AB1AD6"/>
    <w:rsid w:val="00AB27CD"/>
    <w:rsid w:val="00AB4464"/>
    <w:rsid w:val="00AB47E6"/>
    <w:rsid w:val="00AB56D2"/>
    <w:rsid w:val="00AC2CD8"/>
    <w:rsid w:val="00AC3F03"/>
    <w:rsid w:val="00AC5553"/>
    <w:rsid w:val="00AC5F23"/>
    <w:rsid w:val="00AC6235"/>
    <w:rsid w:val="00AD06DD"/>
    <w:rsid w:val="00AD079E"/>
    <w:rsid w:val="00AD1983"/>
    <w:rsid w:val="00AD1AAB"/>
    <w:rsid w:val="00AD1D4D"/>
    <w:rsid w:val="00AD2366"/>
    <w:rsid w:val="00AD34C2"/>
    <w:rsid w:val="00AD4EC1"/>
    <w:rsid w:val="00AD5130"/>
    <w:rsid w:val="00AD5D42"/>
    <w:rsid w:val="00AD73BE"/>
    <w:rsid w:val="00AE02B6"/>
    <w:rsid w:val="00AE45C4"/>
    <w:rsid w:val="00AE76DC"/>
    <w:rsid w:val="00AF01C8"/>
    <w:rsid w:val="00AF0A55"/>
    <w:rsid w:val="00AF33DF"/>
    <w:rsid w:val="00AF4A1A"/>
    <w:rsid w:val="00AF4F10"/>
    <w:rsid w:val="00AF60DC"/>
    <w:rsid w:val="00AF77D9"/>
    <w:rsid w:val="00AF7CD8"/>
    <w:rsid w:val="00B00C7B"/>
    <w:rsid w:val="00B0154F"/>
    <w:rsid w:val="00B03A83"/>
    <w:rsid w:val="00B03BC1"/>
    <w:rsid w:val="00B0414F"/>
    <w:rsid w:val="00B04E2E"/>
    <w:rsid w:val="00B054EA"/>
    <w:rsid w:val="00B05700"/>
    <w:rsid w:val="00B05D9A"/>
    <w:rsid w:val="00B065A9"/>
    <w:rsid w:val="00B07F98"/>
    <w:rsid w:val="00B10D2A"/>
    <w:rsid w:val="00B11CFB"/>
    <w:rsid w:val="00B12749"/>
    <w:rsid w:val="00B12A46"/>
    <w:rsid w:val="00B12B3F"/>
    <w:rsid w:val="00B12CA4"/>
    <w:rsid w:val="00B14716"/>
    <w:rsid w:val="00B161F3"/>
    <w:rsid w:val="00B16A3C"/>
    <w:rsid w:val="00B17BAF"/>
    <w:rsid w:val="00B20B41"/>
    <w:rsid w:val="00B2131B"/>
    <w:rsid w:val="00B2134E"/>
    <w:rsid w:val="00B22295"/>
    <w:rsid w:val="00B22519"/>
    <w:rsid w:val="00B229D8"/>
    <w:rsid w:val="00B23F3A"/>
    <w:rsid w:val="00B24225"/>
    <w:rsid w:val="00B2640C"/>
    <w:rsid w:val="00B27CF6"/>
    <w:rsid w:val="00B331AB"/>
    <w:rsid w:val="00B35336"/>
    <w:rsid w:val="00B35C90"/>
    <w:rsid w:val="00B36163"/>
    <w:rsid w:val="00B363EE"/>
    <w:rsid w:val="00B36BA8"/>
    <w:rsid w:val="00B436A1"/>
    <w:rsid w:val="00B46C1D"/>
    <w:rsid w:val="00B47217"/>
    <w:rsid w:val="00B50041"/>
    <w:rsid w:val="00B5110F"/>
    <w:rsid w:val="00B522B8"/>
    <w:rsid w:val="00B55186"/>
    <w:rsid w:val="00B55C62"/>
    <w:rsid w:val="00B60F50"/>
    <w:rsid w:val="00B630FB"/>
    <w:rsid w:val="00B63C16"/>
    <w:rsid w:val="00B63F44"/>
    <w:rsid w:val="00B64798"/>
    <w:rsid w:val="00B651BE"/>
    <w:rsid w:val="00B65F9F"/>
    <w:rsid w:val="00B679C7"/>
    <w:rsid w:val="00B71939"/>
    <w:rsid w:val="00B71B0F"/>
    <w:rsid w:val="00B71C9F"/>
    <w:rsid w:val="00B73E07"/>
    <w:rsid w:val="00B75BD5"/>
    <w:rsid w:val="00B76B48"/>
    <w:rsid w:val="00B77CBF"/>
    <w:rsid w:val="00B77E49"/>
    <w:rsid w:val="00B80B3C"/>
    <w:rsid w:val="00B83AE0"/>
    <w:rsid w:val="00B84B40"/>
    <w:rsid w:val="00B867D6"/>
    <w:rsid w:val="00B8686C"/>
    <w:rsid w:val="00B870D7"/>
    <w:rsid w:val="00B8782D"/>
    <w:rsid w:val="00B90408"/>
    <w:rsid w:val="00B93948"/>
    <w:rsid w:val="00B96501"/>
    <w:rsid w:val="00B96FCB"/>
    <w:rsid w:val="00BA20E2"/>
    <w:rsid w:val="00BA2249"/>
    <w:rsid w:val="00BA3E62"/>
    <w:rsid w:val="00BA4411"/>
    <w:rsid w:val="00BA598B"/>
    <w:rsid w:val="00BA6536"/>
    <w:rsid w:val="00BA7D5A"/>
    <w:rsid w:val="00BB1A10"/>
    <w:rsid w:val="00BB1ADE"/>
    <w:rsid w:val="00BB2066"/>
    <w:rsid w:val="00BB2756"/>
    <w:rsid w:val="00BB2B1E"/>
    <w:rsid w:val="00BB311B"/>
    <w:rsid w:val="00BB398B"/>
    <w:rsid w:val="00BB5A2D"/>
    <w:rsid w:val="00BB625D"/>
    <w:rsid w:val="00BB6681"/>
    <w:rsid w:val="00BB79EA"/>
    <w:rsid w:val="00BB7DF7"/>
    <w:rsid w:val="00BC2B8F"/>
    <w:rsid w:val="00BC2D85"/>
    <w:rsid w:val="00BC318F"/>
    <w:rsid w:val="00BC589C"/>
    <w:rsid w:val="00BC5924"/>
    <w:rsid w:val="00BC65CE"/>
    <w:rsid w:val="00BD0741"/>
    <w:rsid w:val="00BD10FB"/>
    <w:rsid w:val="00BD3BBE"/>
    <w:rsid w:val="00BD4468"/>
    <w:rsid w:val="00BD4850"/>
    <w:rsid w:val="00BE0B8A"/>
    <w:rsid w:val="00BE0D10"/>
    <w:rsid w:val="00BE1482"/>
    <w:rsid w:val="00BE1877"/>
    <w:rsid w:val="00BE2A30"/>
    <w:rsid w:val="00BE2B0A"/>
    <w:rsid w:val="00BE4125"/>
    <w:rsid w:val="00BE70FB"/>
    <w:rsid w:val="00BF05DA"/>
    <w:rsid w:val="00BF4057"/>
    <w:rsid w:val="00BF494B"/>
    <w:rsid w:val="00BF497A"/>
    <w:rsid w:val="00BF49B4"/>
    <w:rsid w:val="00BF4C23"/>
    <w:rsid w:val="00BF5439"/>
    <w:rsid w:val="00BF5446"/>
    <w:rsid w:val="00BF54B3"/>
    <w:rsid w:val="00BF593D"/>
    <w:rsid w:val="00BF5F13"/>
    <w:rsid w:val="00BF6086"/>
    <w:rsid w:val="00BF629D"/>
    <w:rsid w:val="00BF63AE"/>
    <w:rsid w:val="00C034B1"/>
    <w:rsid w:val="00C04B89"/>
    <w:rsid w:val="00C04C9E"/>
    <w:rsid w:val="00C052C6"/>
    <w:rsid w:val="00C069EB"/>
    <w:rsid w:val="00C11899"/>
    <w:rsid w:val="00C13B29"/>
    <w:rsid w:val="00C14297"/>
    <w:rsid w:val="00C1503B"/>
    <w:rsid w:val="00C15261"/>
    <w:rsid w:val="00C169B3"/>
    <w:rsid w:val="00C16CD8"/>
    <w:rsid w:val="00C17E02"/>
    <w:rsid w:val="00C22947"/>
    <w:rsid w:val="00C2319B"/>
    <w:rsid w:val="00C23264"/>
    <w:rsid w:val="00C23D5B"/>
    <w:rsid w:val="00C24FBF"/>
    <w:rsid w:val="00C2565A"/>
    <w:rsid w:val="00C26DBA"/>
    <w:rsid w:val="00C275A1"/>
    <w:rsid w:val="00C336E9"/>
    <w:rsid w:val="00C336F4"/>
    <w:rsid w:val="00C33EAC"/>
    <w:rsid w:val="00C33FBD"/>
    <w:rsid w:val="00C34221"/>
    <w:rsid w:val="00C3586F"/>
    <w:rsid w:val="00C35F22"/>
    <w:rsid w:val="00C36A40"/>
    <w:rsid w:val="00C3771D"/>
    <w:rsid w:val="00C37A5F"/>
    <w:rsid w:val="00C37B38"/>
    <w:rsid w:val="00C37E31"/>
    <w:rsid w:val="00C40096"/>
    <w:rsid w:val="00C416AD"/>
    <w:rsid w:val="00C42F8D"/>
    <w:rsid w:val="00C44493"/>
    <w:rsid w:val="00C44FF5"/>
    <w:rsid w:val="00C458CB"/>
    <w:rsid w:val="00C47C4A"/>
    <w:rsid w:val="00C50034"/>
    <w:rsid w:val="00C5015F"/>
    <w:rsid w:val="00C52083"/>
    <w:rsid w:val="00C5261C"/>
    <w:rsid w:val="00C52676"/>
    <w:rsid w:val="00C5384A"/>
    <w:rsid w:val="00C57A8B"/>
    <w:rsid w:val="00C6092B"/>
    <w:rsid w:val="00C60A33"/>
    <w:rsid w:val="00C631F6"/>
    <w:rsid w:val="00C63390"/>
    <w:rsid w:val="00C67395"/>
    <w:rsid w:val="00C7140E"/>
    <w:rsid w:val="00C72FAF"/>
    <w:rsid w:val="00C762DE"/>
    <w:rsid w:val="00C772E9"/>
    <w:rsid w:val="00C774A0"/>
    <w:rsid w:val="00C81667"/>
    <w:rsid w:val="00C92405"/>
    <w:rsid w:val="00C9429B"/>
    <w:rsid w:val="00C959E0"/>
    <w:rsid w:val="00CA0D8E"/>
    <w:rsid w:val="00CA1F0F"/>
    <w:rsid w:val="00CA220D"/>
    <w:rsid w:val="00CA25DD"/>
    <w:rsid w:val="00CA3E37"/>
    <w:rsid w:val="00CA4674"/>
    <w:rsid w:val="00CA5A5E"/>
    <w:rsid w:val="00CA5D9B"/>
    <w:rsid w:val="00CB0BB8"/>
    <w:rsid w:val="00CB4172"/>
    <w:rsid w:val="00CB49C3"/>
    <w:rsid w:val="00CB5F20"/>
    <w:rsid w:val="00CB6341"/>
    <w:rsid w:val="00CB776C"/>
    <w:rsid w:val="00CC14DB"/>
    <w:rsid w:val="00CC2966"/>
    <w:rsid w:val="00CC377F"/>
    <w:rsid w:val="00CC4589"/>
    <w:rsid w:val="00CC5B6F"/>
    <w:rsid w:val="00CC72E2"/>
    <w:rsid w:val="00CC7734"/>
    <w:rsid w:val="00CC791C"/>
    <w:rsid w:val="00CD02E4"/>
    <w:rsid w:val="00CD1447"/>
    <w:rsid w:val="00CD158C"/>
    <w:rsid w:val="00CD361A"/>
    <w:rsid w:val="00CD517F"/>
    <w:rsid w:val="00CD65CD"/>
    <w:rsid w:val="00CD78AD"/>
    <w:rsid w:val="00CE1698"/>
    <w:rsid w:val="00CE19A9"/>
    <w:rsid w:val="00CE21D2"/>
    <w:rsid w:val="00CE5AA0"/>
    <w:rsid w:val="00CE5DEF"/>
    <w:rsid w:val="00CE7E5B"/>
    <w:rsid w:val="00CF0AED"/>
    <w:rsid w:val="00CF1BBD"/>
    <w:rsid w:val="00CF600F"/>
    <w:rsid w:val="00CF6CA8"/>
    <w:rsid w:val="00D001CD"/>
    <w:rsid w:val="00D03362"/>
    <w:rsid w:val="00D04849"/>
    <w:rsid w:val="00D100D1"/>
    <w:rsid w:val="00D10E56"/>
    <w:rsid w:val="00D110B7"/>
    <w:rsid w:val="00D11BD7"/>
    <w:rsid w:val="00D12148"/>
    <w:rsid w:val="00D14215"/>
    <w:rsid w:val="00D1526C"/>
    <w:rsid w:val="00D15444"/>
    <w:rsid w:val="00D20438"/>
    <w:rsid w:val="00D20471"/>
    <w:rsid w:val="00D22542"/>
    <w:rsid w:val="00D22AA8"/>
    <w:rsid w:val="00D23076"/>
    <w:rsid w:val="00D234B2"/>
    <w:rsid w:val="00D239B0"/>
    <w:rsid w:val="00D277D4"/>
    <w:rsid w:val="00D30046"/>
    <w:rsid w:val="00D30A4B"/>
    <w:rsid w:val="00D310E2"/>
    <w:rsid w:val="00D31D21"/>
    <w:rsid w:val="00D32AB9"/>
    <w:rsid w:val="00D32C74"/>
    <w:rsid w:val="00D3303E"/>
    <w:rsid w:val="00D348D0"/>
    <w:rsid w:val="00D34CD7"/>
    <w:rsid w:val="00D3680B"/>
    <w:rsid w:val="00D377DD"/>
    <w:rsid w:val="00D37A93"/>
    <w:rsid w:val="00D416EC"/>
    <w:rsid w:val="00D42D3A"/>
    <w:rsid w:val="00D45475"/>
    <w:rsid w:val="00D476EA"/>
    <w:rsid w:val="00D4773A"/>
    <w:rsid w:val="00D47B8A"/>
    <w:rsid w:val="00D50AEA"/>
    <w:rsid w:val="00D516F4"/>
    <w:rsid w:val="00D52082"/>
    <w:rsid w:val="00D5369E"/>
    <w:rsid w:val="00D53F46"/>
    <w:rsid w:val="00D5432B"/>
    <w:rsid w:val="00D55D68"/>
    <w:rsid w:val="00D56D2B"/>
    <w:rsid w:val="00D60615"/>
    <w:rsid w:val="00D617BC"/>
    <w:rsid w:val="00D626A9"/>
    <w:rsid w:val="00D65E9E"/>
    <w:rsid w:val="00D66D2C"/>
    <w:rsid w:val="00D66EA3"/>
    <w:rsid w:val="00D70B84"/>
    <w:rsid w:val="00D71D7B"/>
    <w:rsid w:val="00D721CB"/>
    <w:rsid w:val="00D73445"/>
    <w:rsid w:val="00D73517"/>
    <w:rsid w:val="00D73DE8"/>
    <w:rsid w:val="00D73E01"/>
    <w:rsid w:val="00D74286"/>
    <w:rsid w:val="00D748CF"/>
    <w:rsid w:val="00D77864"/>
    <w:rsid w:val="00D778A8"/>
    <w:rsid w:val="00D77C2D"/>
    <w:rsid w:val="00D820D3"/>
    <w:rsid w:val="00D843AD"/>
    <w:rsid w:val="00D8470F"/>
    <w:rsid w:val="00D85B7A"/>
    <w:rsid w:val="00D86CBA"/>
    <w:rsid w:val="00D902E7"/>
    <w:rsid w:val="00D9117C"/>
    <w:rsid w:val="00D92F7B"/>
    <w:rsid w:val="00D93C93"/>
    <w:rsid w:val="00D96EAB"/>
    <w:rsid w:val="00D96FC4"/>
    <w:rsid w:val="00DA0626"/>
    <w:rsid w:val="00DA0BF7"/>
    <w:rsid w:val="00DA33AA"/>
    <w:rsid w:val="00DA555A"/>
    <w:rsid w:val="00DA7C8F"/>
    <w:rsid w:val="00DB0BE5"/>
    <w:rsid w:val="00DB10F0"/>
    <w:rsid w:val="00DB2833"/>
    <w:rsid w:val="00DB2ADE"/>
    <w:rsid w:val="00DB3939"/>
    <w:rsid w:val="00DB7EE8"/>
    <w:rsid w:val="00DC0CDA"/>
    <w:rsid w:val="00DC1029"/>
    <w:rsid w:val="00DC181B"/>
    <w:rsid w:val="00DC1E12"/>
    <w:rsid w:val="00DC228A"/>
    <w:rsid w:val="00DC4148"/>
    <w:rsid w:val="00DC4E74"/>
    <w:rsid w:val="00DC66F9"/>
    <w:rsid w:val="00DC71E3"/>
    <w:rsid w:val="00DD0D38"/>
    <w:rsid w:val="00DD0EB1"/>
    <w:rsid w:val="00DD1516"/>
    <w:rsid w:val="00DD24A7"/>
    <w:rsid w:val="00DD38D8"/>
    <w:rsid w:val="00DD4BDF"/>
    <w:rsid w:val="00DD5666"/>
    <w:rsid w:val="00DD5FAA"/>
    <w:rsid w:val="00DD6229"/>
    <w:rsid w:val="00DD6845"/>
    <w:rsid w:val="00DD6F1F"/>
    <w:rsid w:val="00DE0AAB"/>
    <w:rsid w:val="00DE1E00"/>
    <w:rsid w:val="00DE323E"/>
    <w:rsid w:val="00DE64B3"/>
    <w:rsid w:val="00DE72AA"/>
    <w:rsid w:val="00DF3B1F"/>
    <w:rsid w:val="00DF5474"/>
    <w:rsid w:val="00DF5E18"/>
    <w:rsid w:val="00E021DD"/>
    <w:rsid w:val="00E02273"/>
    <w:rsid w:val="00E03951"/>
    <w:rsid w:val="00E05BDC"/>
    <w:rsid w:val="00E06385"/>
    <w:rsid w:val="00E06396"/>
    <w:rsid w:val="00E07954"/>
    <w:rsid w:val="00E07DF8"/>
    <w:rsid w:val="00E10C73"/>
    <w:rsid w:val="00E115CC"/>
    <w:rsid w:val="00E12FB5"/>
    <w:rsid w:val="00E137F2"/>
    <w:rsid w:val="00E159FF"/>
    <w:rsid w:val="00E17539"/>
    <w:rsid w:val="00E202A9"/>
    <w:rsid w:val="00E20509"/>
    <w:rsid w:val="00E2071F"/>
    <w:rsid w:val="00E21476"/>
    <w:rsid w:val="00E2299E"/>
    <w:rsid w:val="00E22F6C"/>
    <w:rsid w:val="00E23D3C"/>
    <w:rsid w:val="00E2483C"/>
    <w:rsid w:val="00E251B0"/>
    <w:rsid w:val="00E265B1"/>
    <w:rsid w:val="00E26AEE"/>
    <w:rsid w:val="00E27545"/>
    <w:rsid w:val="00E30EC1"/>
    <w:rsid w:val="00E34530"/>
    <w:rsid w:val="00E34C24"/>
    <w:rsid w:val="00E40CC7"/>
    <w:rsid w:val="00E43F8A"/>
    <w:rsid w:val="00E44C14"/>
    <w:rsid w:val="00E45BBB"/>
    <w:rsid w:val="00E466F4"/>
    <w:rsid w:val="00E50032"/>
    <w:rsid w:val="00E515CA"/>
    <w:rsid w:val="00E53820"/>
    <w:rsid w:val="00E564C4"/>
    <w:rsid w:val="00E566AA"/>
    <w:rsid w:val="00E56C46"/>
    <w:rsid w:val="00E571F0"/>
    <w:rsid w:val="00E57CA1"/>
    <w:rsid w:val="00E57D00"/>
    <w:rsid w:val="00E57DBF"/>
    <w:rsid w:val="00E6043A"/>
    <w:rsid w:val="00E6120E"/>
    <w:rsid w:val="00E617AA"/>
    <w:rsid w:val="00E62627"/>
    <w:rsid w:val="00E63164"/>
    <w:rsid w:val="00E63303"/>
    <w:rsid w:val="00E63440"/>
    <w:rsid w:val="00E65307"/>
    <w:rsid w:val="00E663DB"/>
    <w:rsid w:val="00E67384"/>
    <w:rsid w:val="00E70817"/>
    <w:rsid w:val="00E712EB"/>
    <w:rsid w:val="00E7207A"/>
    <w:rsid w:val="00E73478"/>
    <w:rsid w:val="00E73CF8"/>
    <w:rsid w:val="00E7581D"/>
    <w:rsid w:val="00E75BEC"/>
    <w:rsid w:val="00E7715B"/>
    <w:rsid w:val="00E80B3A"/>
    <w:rsid w:val="00E825CD"/>
    <w:rsid w:val="00E828C8"/>
    <w:rsid w:val="00E8365E"/>
    <w:rsid w:val="00E83950"/>
    <w:rsid w:val="00E84E70"/>
    <w:rsid w:val="00E85729"/>
    <w:rsid w:val="00E86070"/>
    <w:rsid w:val="00E870ED"/>
    <w:rsid w:val="00E87CD8"/>
    <w:rsid w:val="00E90582"/>
    <w:rsid w:val="00E94190"/>
    <w:rsid w:val="00E945DF"/>
    <w:rsid w:val="00E94634"/>
    <w:rsid w:val="00E969E2"/>
    <w:rsid w:val="00E9765B"/>
    <w:rsid w:val="00EA1240"/>
    <w:rsid w:val="00EA1AF7"/>
    <w:rsid w:val="00EA41A6"/>
    <w:rsid w:val="00EA5DA1"/>
    <w:rsid w:val="00EA76B9"/>
    <w:rsid w:val="00EA79A2"/>
    <w:rsid w:val="00EA7BA6"/>
    <w:rsid w:val="00EA7CC2"/>
    <w:rsid w:val="00EB2713"/>
    <w:rsid w:val="00EB4027"/>
    <w:rsid w:val="00EB451D"/>
    <w:rsid w:val="00EB4659"/>
    <w:rsid w:val="00EB48E0"/>
    <w:rsid w:val="00EB5478"/>
    <w:rsid w:val="00EB583C"/>
    <w:rsid w:val="00EB748E"/>
    <w:rsid w:val="00EB7C3F"/>
    <w:rsid w:val="00EB7C7B"/>
    <w:rsid w:val="00EC2C95"/>
    <w:rsid w:val="00EC3DB1"/>
    <w:rsid w:val="00EC3DBA"/>
    <w:rsid w:val="00EC463F"/>
    <w:rsid w:val="00EC5621"/>
    <w:rsid w:val="00EC5662"/>
    <w:rsid w:val="00EC5800"/>
    <w:rsid w:val="00EC626C"/>
    <w:rsid w:val="00ED04DC"/>
    <w:rsid w:val="00ED0D5F"/>
    <w:rsid w:val="00ED1A51"/>
    <w:rsid w:val="00ED1C20"/>
    <w:rsid w:val="00ED2634"/>
    <w:rsid w:val="00ED2C89"/>
    <w:rsid w:val="00ED34EF"/>
    <w:rsid w:val="00ED3C4A"/>
    <w:rsid w:val="00ED4405"/>
    <w:rsid w:val="00ED5099"/>
    <w:rsid w:val="00ED51C1"/>
    <w:rsid w:val="00ED65E1"/>
    <w:rsid w:val="00ED6664"/>
    <w:rsid w:val="00ED7741"/>
    <w:rsid w:val="00ED7BE4"/>
    <w:rsid w:val="00EE077D"/>
    <w:rsid w:val="00EE131D"/>
    <w:rsid w:val="00EE2819"/>
    <w:rsid w:val="00EE4B58"/>
    <w:rsid w:val="00EE50A2"/>
    <w:rsid w:val="00EE655C"/>
    <w:rsid w:val="00EE6ACF"/>
    <w:rsid w:val="00EE7C12"/>
    <w:rsid w:val="00EF0798"/>
    <w:rsid w:val="00EF1391"/>
    <w:rsid w:val="00EF24E4"/>
    <w:rsid w:val="00EF3D4C"/>
    <w:rsid w:val="00EF4957"/>
    <w:rsid w:val="00EF61D5"/>
    <w:rsid w:val="00EF6AA9"/>
    <w:rsid w:val="00F01407"/>
    <w:rsid w:val="00F01A71"/>
    <w:rsid w:val="00F01F47"/>
    <w:rsid w:val="00F022FB"/>
    <w:rsid w:val="00F054A9"/>
    <w:rsid w:val="00F07DCA"/>
    <w:rsid w:val="00F101F7"/>
    <w:rsid w:val="00F13663"/>
    <w:rsid w:val="00F145E8"/>
    <w:rsid w:val="00F156E8"/>
    <w:rsid w:val="00F15B2C"/>
    <w:rsid w:val="00F1690A"/>
    <w:rsid w:val="00F2310C"/>
    <w:rsid w:val="00F2400F"/>
    <w:rsid w:val="00F24243"/>
    <w:rsid w:val="00F2605B"/>
    <w:rsid w:val="00F30025"/>
    <w:rsid w:val="00F30F28"/>
    <w:rsid w:val="00F31311"/>
    <w:rsid w:val="00F31410"/>
    <w:rsid w:val="00F33508"/>
    <w:rsid w:val="00F33CC8"/>
    <w:rsid w:val="00F34780"/>
    <w:rsid w:val="00F35D71"/>
    <w:rsid w:val="00F365CA"/>
    <w:rsid w:val="00F37EFB"/>
    <w:rsid w:val="00F4031A"/>
    <w:rsid w:val="00F4091C"/>
    <w:rsid w:val="00F42856"/>
    <w:rsid w:val="00F42F4C"/>
    <w:rsid w:val="00F430B1"/>
    <w:rsid w:val="00F4405E"/>
    <w:rsid w:val="00F4747E"/>
    <w:rsid w:val="00F53F75"/>
    <w:rsid w:val="00F55869"/>
    <w:rsid w:val="00F5776A"/>
    <w:rsid w:val="00F57BCA"/>
    <w:rsid w:val="00F619CC"/>
    <w:rsid w:val="00F62A27"/>
    <w:rsid w:val="00F63AD3"/>
    <w:rsid w:val="00F66C84"/>
    <w:rsid w:val="00F675D2"/>
    <w:rsid w:val="00F70582"/>
    <w:rsid w:val="00F71251"/>
    <w:rsid w:val="00F720A7"/>
    <w:rsid w:val="00F72B9F"/>
    <w:rsid w:val="00F72BF9"/>
    <w:rsid w:val="00F74093"/>
    <w:rsid w:val="00F748F1"/>
    <w:rsid w:val="00F75723"/>
    <w:rsid w:val="00F76CD6"/>
    <w:rsid w:val="00F76E0A"/>
    <w:rsid w:val="00F77009"/>
    <w:rsid w:val="00F80721"/>
    <w:rsid w:val="00F816FF"/>
    <w:rsid w:val="00F81B5D"/>
    <w:rsid w:val="00F849B8"/>
    <w:rsid w:val="00F84A26"/>
    <w:rsid w:val="00F84BFE"/>
    <w:rsid w:val="00F86686"/>
    <w:rsid w:val="00F87522"/>
    <w:rsid w:val="00F90582"/>
    <w:rsid w:val="00F9076D"/>
    <w:rsid w:val="00F9084B"/>
    <w:rsid w:val="00F92B95"/>
    <w:rsid w:val="00F946D3"/>
    <w:rsid w:val="00F94EC9"/>
    <w:rsid w:val="00F953F7"/>
    <w:rsid w:val="00F95F46"/>
    <w:rsid w:val="00F96470"/>
    <w:rsid w:val="00F96550"/>
    <w:rsid w:val="00FA0830"/>
    <w:rsid w:val="00FA127B"/>
    <w:rsid w:val="00FA13B3"/>
    <w:rsid w:val="00FA2A1D"/>
    <w:rsid w:val="00FA35FB"/>
    <w:rsid w:val="00FA693C"/>
    <w:rsid w:val="00FA6DA5"/>
    <w:rsid w:val="00FA7880"/>
    <w:rsid w:val="00FB0453"/>
    <w:rsid w:val="00FB2407"/>
    <w:rsid w:val="00FB34CB"/>
    <w:rsid w:val="00FB43FC"/>
    <w:rsid w:val="00FB4A5B"/>
    <w:rsid w:val="00FC4C4C"/>
    <w:rsid w:val="00FC4F4E"/>
    <w:rsid w:val="00FC529D"/>
    <w:rsid w:val="00FC5E0D"/>
    <w:rsid w:val="00FC6D9B"/>
    <w:rsid w:val="00FC7E77"/>
    <w:rsid w:val="00FD00B7"/>
    <w:rsid w:val="00FD3BA1"/>
    <w:rsid w:val="00FD6AD3"/>
    <w:rsid w:val="00FD725A"/>
    <w:rsid w:val="00FD766C"/>
    <w:rsid w:val="00FE061F"/>
    <w:rsid w:val="00FE4217"/>
    <w:rsid w:val="00FE4AAA"/>
    <w:rsid w:val="00FE4B3C"/>
    <w:rsid w:val="00FE54D5"/>
    <w:rsid w:val="00FF1BE6"/>
    <w:rsid w:val="00FF3CB5"/>
    <w:rsid w:val="00FF3F9A"/>
    <w:rsid w:val="00FF492B"/>
    <w:rsid w:val="00FF579F"/>
    <w:rsid w:val="00FF7D62"/>
    <w:rsid w:val="01787700"/>
    <w:rsid w:val="026BCACB"/>
    <w:rsid w:val="0303BE79"/>
    <w:rsid w:val="0654BEA2"/>
    <w:rsid w:val="08847677"/>
    <w:rsid w:val="0CFA3535"/>
    <w:rsid w:val="0D6002C8"/>
    <w:rsid w:val="10ABB9FD"/>
    <w:rsid w:val="155E1A02"/>
    <w:rsid w:val="17E5FB77"/>
    <w:rsid w:val="18ADB97F"/>
    <w:rsid w:val="1AAD3C35"/>
    <w:rsid w:val="1C6BC4F2"/>
    <w:rsid w:val="20697BF1"/>
    <w:rsid w:val="25344CF0"/>
    <w:rsid w:val="2973493D"/>
    <w:rsid w:val="2AC7CDC1"/>
    <w:rsid w:val="32051D36"/>
    <w:rsid w:val="32C2FF2F"/>
    <w:rsid w:val="34AD86A6"/>
    <w:rsid w:val="390B1CC8"/>
    <w:rsid w:val="394762F6"/>
    <w:rsid w:val="3AEA5355"/>
    <w:rsid w:val="3C717346"/>
    <w:rsid w:val="3D8D04AC"/>
    <w:rsid w:val="49332CAC"/>
    <w:rsid w:val="4A8B723B"/>
    <w:rsid w:val="4B2CD3BD"/>
    <w:rsid w:val="4C67FF5C"/>
    <w:rsid w:val="4E9BAE1D"/>
    <w:rsid w:val="5088D17C"/>
    <w:rsid w:val="529BC0C2"/>
    <w:rsid w:val="56E88640"/>
    <w:rsid w:val="5D83C15C"/>
    <w:rsid w:val="5EB9FD35"/>
    <w:rsid w:val="603E3EA7"/>
    <w:rsid w:val="613A484D"/>
    <w:rsid w:val="62CC41D0"/>
    <w:rsid w:val="64617C56"/>
    <w:rsid w:val="68C8A024"/>
    <w:rsid w:val="6A6FD0CA"/>
    <w:rsid w:val="6C487014"/>
    <w:rsid w:val="6C5F76EA"/>
    <w:rsid w:val="6C96F2C8"/>
    <w:rsid w:val="6D5F7825"/>
    <w:rsid w:val="70228110"/>
    <w:rsid w:val="781DACBB"/>
    <w:rsid w:val="7944068F"/>
    <w:rsid w:val="7C85F357"/>
    <w:rsid w:val="7D5266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2"/>
    </o:shapelayout>
  </w:shapeDefaults>
  <w:decimalSymbol w:val="."/>
  <w:listSeparator w:val=","/>
  <w14:docId w14:val="6D1DECCF"/>
  <w15:docId w15:val="{8DACEA20-64B6-4EFE-8D32-93C3E54D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DF7"/>
    <w:pPr>
      <w:spacing w:after="0"/>
    </w:pPr>
    <w:rPr>
      <w:sz w:val="22"/>
    </w:rPr>
  </w:style>
  <w:style w:type="paragraph" w:styleId="Heading1">
    <w:name w:val="heading 1"/>
    <w:basedOn w:val="Normal"/>
    <w:next w:val="Normal"/>
    <w:link w:val="Heading1Char"/>
    <w:uiPriority w:val="9"/>
    <w:qFormat/>
    <w:rsid w:val="00325C4C"/>
    <w:pPr>
      <w:keepNext/>
      <w:keepLines/>
      <w:numPr>
        <w:numId w:val="1"/>
      </w:numPr>
      <w:spacing w:before="120" w:after="120" w:line="240" w:lineRule="auto"/>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CF0AED"/>
    <w:pPr>
      <w:keepNext/>
      <w:keepLines/>
      <w:spacing w:before="80" w:line="240" w:lineRule="auto"/>
      <w:outlineLvl w:val="1"/>
    </w:pPr>
    <w:rPr>
      <w:rFonts w:asciiTheme="majorHAnsi" w:eastAsiaTheme="majorEastAsia" w:hAnsiTheme="majorHAnsi" w:cstheme="majorBidi"/>
      <w:b/>
      <w:szCs w:val="28"/>
    </w:rPr>
  </w:style>
  <w:style w:type="paragraph" w:styleId="Heading3">
    <w:name w:val="heading 3"/>
    <w:basedOn w:val="Normal"/>
    <w:next w:val="Normal"/>
    <w:link w:val="Heading3Char"/>
    <w:uiPriority w:val="9"/>
    <w:semiHidden/>
    <w:unhideWhenUsed/>
    <w:qFormat/>
    <w:rsid w:val="00EE7C12"/>
    <w:pPr>
      <w:keepNext/>
      <w:keepLines/>
      <w:spacing w:before="8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A4F93"/>
    <w:pPr>
      <w:keepNext/>
      <w:keepLines/>
      <w:spacing w:before="80"/>
      <w:outlineLvl w:val="3"/>
    </w:pPr>
    <w:rPr>
      <w:rFonts w:asciiTheme="majorHAnsi" w:eastAsiaTheme="majorEastAsia" w:hAnsiTheme="majorHAnsi" w:cstheme="majorBidi"/>
      <w:color w:val="70AD47" w:themeColor="accent6"/>
      <w:szCs w:val="22"/>
    </w:rPr>
  </w:style>
  <w:style w:type="paragraph" w:styleId="Heading5">
    <w:name w:val="heading 5"/>
    <w:basedOn w:val="Normal"/>
    <w:next w:val="Normal"/>
    <w:link w:val="Heading5Char"/>
    <w:uiPriority w:val="9"/>
    <w:semiHidden/>
    <w:unhideWhenUsed/>
    <w:qFormat/>
    <w:rsid w:val="002A4F93"/>
    <w:pPr>
      <w:keepNext/>
      <w:keepLines/>
      <w:spacing w:before="4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2A4F93"/>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A4F93"/>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A4F93"/>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A4F93"/>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74E"/>
    <w:pPr>
      <w:tabs>
        <w:tab w:val="center" w:pos="4680"/>
        <w:tab w:val="right" w:pos="9360"/>
      </w:tabs>
      <w:spacing w:line="240" w:lineRule="auto"/>
    </w:pPr>
  </w:style>
  <w:style w:type="character" w:customStyle="1" w:styleId="HeaderChar">
    <w:name w:val="Header Char"/>
    <w:basedOn w:val="DefaultParagraphFont"/>
    <w:link w:val="Header"/>
    <w:uiPriority w:val="99"/>
    <w:rsid w:val="00E5574E"/>
  </w:style>
  <w:style w:type="paragraph" w:styleId="Footer">
    <w:name w:val="footer"/>
    <w:basedOn w:val="Normal"/>
    <w:link w:val="FooterChar"/>
    <w:uiPriority w:val="99"/>
    <w:unhideWhenUsed/>
    <w:rsid w:val="00E5574E"/>
    <w:pPr>
      <w:tabs>
        <w:tab w:val="center" w:pos="4680"/>
        <w:tab w:val="right" w:pos="9360"/>
      </w:tabs>
      <w:spacing w:line="240" w:lineRule="auto"/>
    </w:pPr>
  </w:style>
  <w:style w:type="character" w:customStyle="1" w:styleId="FooterChar">
    <w:name w:val="Footer Char"/>
    <w:basedOn w:val="DefaultParagraphFont"/>
    <w:link w:val="Footer"/>
    <w:uiPriority w:val="99"/>
    <w:rsid w:val="00E5574E"/>
  </w:style>
  <w:style w:type="table" w:styleId="TableGrid">
    <w:name w:val="Table Grid"/>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2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287"/>
    <w:rPr>
      <w:color w:val="0563C1" w:themeColor="hyperlink"/>
      <w:u w:val="single"/>
    </w:rPr>
  </w:style>
  <w:style w:type="table" w:customStyle="1" w:styleId="TableGrid92">
    <w:name w:val="Table Grid92"/>
    <w:basedOn w:val="TableNormal"/>
    <w:uiPriority w:val="59"/>
    <w:rsid w:val="00DF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8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5E4C"/>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EA4547"/>
    <w:rPr>
      <w:color w:val="808080"/>
    </w:rPr>
  </w:style>
  <w:style w:type="table" w:customStyle="1" w:styleId="TableGrid4">
    <w:name w:val="Table Grid4"/>
    <w:basedOn w:val="TableNormal"/>
    <w:next w:val="TableGrid"/>
    <w:uiPriority w:val="39"/>
    <w:rsid w:val="00A1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7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7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73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35F"/>
    <w:rPr>
      <w:rFonts w:ascii="Segoe UI" w:hAnsi="Segoe UI" w:cs="Segoe UI"/>
      <w:sz w:val="18"/>
      <w:szCs w:val="18"/>
    </w:rPr>
  </w:style>
  <w:style w:type="character" w:customStyle="1" w:styleId="Heading1Char">
    <w:name w:val="Heading 1 Char"/>
    <w:basedOn w:val="DefaultParagraphFont"/>
    <w:link w:val="Heading1"/>
    <w:uiPriority w:val="9"/>
    <w:rsid w:val="00325C4C"/>
    <w:rPr>
      <w:rFonts w:eastAsiaTheme="majorEastAsia" w:cstheme="majorBidi"/>
      <w:b/>
      <w:sz w:val="22"/>
      <w:szCs w:val="40"/>
    </w:rPr>
  </w:style>
  <w:style w:type="table" w:customStyle="1" w:styleId="TableGrid7">
    <w:name w:val="Table Grid7"/>
    <w:basedOn w:val="TableNormal"/>
    <w:next w:val="TableGrid"/>
    <w:uiPriority w:val="39"/>
    <w:rsid w:val="00834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kapit z listą BS,Bullet1,Bullets,Citation List,Ha,List Paragraph (numbered (a)),List Paragraph1,List_Paragraph,Liste 1,Main numbered paragraph,Multilevel para_II,NUMBERED PARAGRAPH,Numbered List Paragraph,NumberedParas,References,본문(내용)"/>
    <w:basedOn w:val="Normal"/>
    <w:link w:val="ListParagraphChar"/>
    <w:uiPriority w:val="34"/>
    <w:qFormat/>
    <w:rsid w:val="003F0711"/>
    <w:pPr>
      <w:ind w:left="720"/>
      <w:contextualSpacing/>
    </w:pPr>
  </w:style>
  <w:style w:type="character" w:styleId="CommentReference">
    <w:name w:val="annotation reference"/>
    <w:basedOn w:val="DefaultParagraphFont"/>
    <w:uiPriority w:val="99"/>
    <w:semiHidden/>
    <w:unhideWhenUsed/>
    <w:rsid w:val="009914CF"/>
    <w:rPr>
      <w:sz w:val="16"/>
      <w:szCs w:val="16"/>
    </w:rPr>
  </w:style>
  <w:style w:type="paragraph" w:styleId="CommentText">
    <w:name w:val="annotation text"/>
    <w:basedOn w:val="Normal"/>
    <w:link w:val="CommentTextChar"/>
    <w:uiPriority w:val="99"/>
    <w:unhideWhenUsed/>
    <w:rsid w:val="009914CF"/>
    <w:pPr>
      <w:spacing w:line="240" w:lineRule="auto"/>
    </w:pPr>
    <w:rPr>
      <w:sz w:val="20"/>
      <w:szCs w:val="20"/>
    </w:rPr>
  </w:style>
  <w:style w:type="character" w:customStyle="1" w:styleId="CommentTextChar">
    <w:name w:val="Comment Text Char"/>
    <w:basedOn w:val="DefaultParagraphFont"/>
    <w:link w:val="CommentText"/>
    <w:uiPriority w:val="99"/>
    <w:rsid w:val="009914CF"/>
    <w:rPr>
      <w:sz w:val="20"/>
      <w:szCs w:val="20"/>
    </w:rPr>
  </w:style>
  <w:style w:type="paragraph" w:styleId="CommentSubject">
    <w:name w:val="annotation subject"/>
    <w:basedOn w:val="CommentText"/>
    <w:next w:val="CommentText"/>
    <w:link w:val="CommentSubjectChar"/>
    <w:uiPriority w:val="99"/>
    <w:semiHidden/>
    <w:unhideWhenUsed/>
    <w:rsid w:val="009914CF"/>
    <w:rPr>
      <w:b/>
      <w:bCs/>
    </w:rPr>
  </w:style>
  <w:style w:type="character" w:customStyle="1" w:styleId="CommentSubjectChar">
    <w:name w:val="Comment Subject Char"/>
    <w:basedOn w:val="CommentTextChar"/>
    <w:link w:val="CommentSubject"/>
    <w:uiPriority w:val="99"/>
    <w:semiHidden/>
    <w:rsid w:val="009914CF"/>
    <w:rPr>
      <w:b/>
      <w:bCs/>
      <w:sz w:val="20"/>
      <w:szCs w:val="20"/>
    </w:rPr>
  </w:style>
  <w:style w:type="table" w:customStyle="1" w:styleId="TableGrid8">
    <w:name w:val="Table Grid8"/>
    <w:basedOn w:val="TableNormal"/>
    <w:next w:val="TableGrid"/>
    <w:uiPriority w:val="39"/>
    <w:rsid w:val="00DF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163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14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60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3A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uiPriority w:val="59"/>
    <w:rsid w:val="003A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D3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A3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B56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8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65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65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rsid w:val="00B41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F0AED"/>
    <w:rPr>
      <w:rFonts w:asciiTheme="majorHAnsi" w:eastAsiaTheme="majorEastAsia" w:hAnsiTheme="majorHAnsi" w:cstheme="majorBidi"/>
      <w:b/>
      <w:sz w:val="22"/>
      <w:szCs w:val="28"/>
    </w:rPr>
  </w:style>
  <w:style w:type="character" w:customStyle="1" w:styleId="Heading3Char">
    <w:name w:val="Heading 3 Char"/>
    <w:basedOn w:val="DefaultParagraphFont"/>
    <w:link w:val="Heading3"/>
    <w:uiPriority w:val="9"/>
    <w:semiHidden/>
    <w:rsid w:val="00EE7C12"/>
    <w:rPr>
      <w:rFonts w:eastAsiaTheme="majorEastAsia" w:cstheme="majorBidi"/>
      <w:b/>
      <w:color w:val="000000" w:themeColor="text1"/>
      <w:sz w:val="22"/>
      <w:szCs w:val="24"/>
    </w:rPr>
  </w:style>
  <w:style w:type="character" w:customStyle="1" w:styleId="Heading4Char">
    <w:name w:val="Heading 4 Char"/>
    <w:basedOn w:val="DefaultParagraphFont"/>
    <w:link w:val="Heading4"/>
    <w:uiPriority w:val="9"/>
    <w:semiHidden/>
    <w:rsid w:val="002A4F9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A4F9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A4F9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A4F9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A4F9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A4F9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A4F93"/>
    <w:pPr>
      <w:spacing w:line="240" w:lineRule="auto"/>
    </w:pPr>
    <w:rPr>
      <w:b/>
      <w:bCs/>
      <w:smallCaps/>
      <w:color w:val="595959" w:themeColor="text1" w:themeTint="A6"/>
    </w:rPr>
  </w:style>
  <w:style w:type="paragraph" w:styleId="Title">
    <w:name w:val="Title"/>
    <w:basedOn w:val="Normal"/>
    <w:next w:val="Normal"/>
    <w:link w:val="TitleChar"/>
    <w:uiPriority w:val="10"/>
    <w:qFormat/>
    <w:rsid w:val="002A4F93"/>
    <w:pPr>
      <w:spacing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A4F9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A4F9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A4F93"/>
    <w:rPr>
      <w:rFonts w:asciiTheme="majorHAnsi" w:eastAsiaTheme="majorEastAsia" w:hAnsiTheme="majorHAnsi" w:cstheme="majorBidi"/>
      <w:sz w:val="30"/>
      <w:szCs w:val="30"/>
    </w:rPr>
  </w:style>
  <w:style w:type="character" w:styleId="Strong">
    <w:name w:val="Strong"/>
    <w:basedOn w:val="DefaultParagraphFont"/>
    <w:uiPriority w:val="22"/>
    <w:qFormat/>
    <w:rsid w:val="002A4F93"/>
    <w:rPr>
      <w:b/>
      <w:bCs/>
    </w:rPr>
  </w:style>
  <w:style w:type="character" w:styleId="Emphasis">
    <w:name w:val="Emphasis"/>
    <w:basedOn w:val="DefaultParagraphFont"/>
    <w:uiPriority w:val="20"/>
    <w:rsid w:val="002A4F93"/>
    <w:rPr>
      <w:i/>
      <w:iCs/>
      <w:color w:val="70AD47" w:themeColor="accent6"/>
    </w:rPr>
  </w:style>
  <w:style w:type="paragraph" w:styleId="NoSpacing">
    <w:name w:val="No Spacing"/>
    <w:link w:val="NoSpacingChar"/>
    <w:uiPriority w:val="1"/>
    <w:qFormat/>
    <w:rsid w:val="002A4F93"/>
    <w:pPr>
      <w:spacing w:after="0" w:line="240" w:lineRule="auto"/>
    </w:pPr>
  </w:style>
  <w:style w:type="paragraph" w:styleId="Quote">
    <w:name w:val="Quote"/>
    <w:basedOn w:val="Normal"/>
    <w:next w:val="Normal"/>
    <w:link w:val="QuoteChar"/>
    <w:uiPriority w:val="29"/>
    <w:qFormat/>
    <w:rsid w:val="002A4F9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A4F93"/>
    <w:rPr>
      <w:i/>
      <w:iCs/>
      <w:color w:val="262626" w:themeColor="text1" w:themeTint="D9"/>
    </w:rPr>
  </w:style>
  <w:style w:type="paragraph" w:styleId="IntenseQuote">
    <w:name w:val="Intense Quote"/>
    <w:basedOn w:val="Normal"/>
    <w:next w:val="Normal"/>
    <w:link w:val="IntenseQuoteChar"/>
    <w:uiPriority w:val="30"/>
    <w:rsid w:val="002A4F9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A4F9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A4F93"/>
    <w:rPr>
      <w:i/>
      <w:iCs/>
    </w:rPr>
  </w:style>
  <w:style w:type="character" w:styleId="IntenseEmphasis">
    <w:name w:val="Intense Emphasis"/>
    <w:basedOn w:val="DefaultParagraphFont"/>
    <w:uiPriority w:val="21"/>
    <w:qFormat/>
    <w:rsid w:val="002A4F93"/>
    <w:rPr>
      <w:b/>
      <w:bCs/>
      <w:i/>
      <w:iCs/>
    </w:rPr>
  </w:style>
  <w:style w:type="character" w:styleId="SubtleReference">
    <w:name w:val="Subtle Reference"/>
    <w:basedOn w:val="DefaultParagraphFont"/>
    <w:uiPriority w:val="31"/>
    <w:qFormat/>
    <w:rsid w:val="002A4F93"/>
    <w:rPr>
      <w:smallCaps/>
      <w:color w:val="595959" w:themeColor="text1" w:themeTint="A6"/>
    </w:rPr>
  </w:style>
  <w:style w:type="character" w:styleId="IntenseReference">
    <w:name w:val="Intense Reference"/>
    <w:basedOn w:val="DefaultParagraphFont"/>
    <w:uiPriority w:val="32"/>
    <w:rsid w:val="002A4F93"/>
    <w:rPr>
      <w:b/>
      <w:bCs/>
      <w:smallCaps/>
      <w:color w:val="70AD47" w:themeColor="accent6"/>
    </w:rPr>
  </w:style>
  <w:style w:type="character" w:styleId="BookTitle">
    <w:name w:val="Book Title"/>
    <w:basedOn w:val="DefaultParagraphFont"/>
    <w:uiPriority w:val="33"/>
    <w:qFormat/>
    <w:rsid w:val="002A4F93"/>
    <w:rPr>
      <w:b/>
      <w:bCs/>
      <w:caps w:val="0"/>
      <w:smallCaps/>
      <w:spacing w:val="7"/>
      <w:sz w:val="21"/>
      <w:szCs w:val="21"/>
    </w:rPr>
  </w:style>
  <w:style w:type="paragraph" w:styleId="TOCHeading">
    <w:name w:val="TOC Heading"/>
    <w:basedOn w:val="Heading1"/>
    <w:next w:val="Normal"/>
    <w:uiPriority w:val="39"/>
    <w:unhideWhenUsed/>
    <w:qFormat/>
    <w:rsid w:val="002A4F93"/>
    <w:pPr>
      <w:outlineLvl w:val="9"/>
    </w:pPr>
  </w:style>
  <w:style w:type="table" w:customStyle="1" w:styleId="TableGrid19">
    <w:name w:val="Table Grid19"/>
    <w:basedOn w:val="TableNormal"/>
    <w:next w:val="TableGrid"/>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qFormat/>
    <w:pPr>
      <w:spacing w:after="160" w:line="259" w:lineRule="auto"/>
    </w:pPr>
    <w:rPr>
      <w:rFonts w:eastAsiaTheme="minorHAnsi"/>
      <w:sz w:val="22"/>
      <w:szCs w:val="22"/>
    </w:rPr>
  </w:style>
  <w:style w:type="paragraph" w:customStyle="1" w:styleId="Normal1">
    <w:name w:val="Normal_1"/>
    <w:qFormat/>
    <w:pPr>
      <w:spacing w:after="160" w:line="259" w:lineRule="auto"/>
    </w:pPr>
    <w:rPr>
      <w:rFonts w:eastAsiaTheme="minorHAnsi"/>
      <w:sz w:val="22"/>
      <w:szCs w:val="22"/>
    </w:rPr>
  </w:style>
  <w:style w:type="paragraph" w:customStyle="1" w:styleId="Normal2">
    <w:name w:val="Normal_2"/>
    <w:qFormat/>
    <w:pPr>
      <w:spacing w:after="160" w:line="259" w:lineRule="auto"/>
    </w:pPr>
    <w:rPr>
      <w:rFonts w:eastAsiaTheme="minorHAnsi"/>
      <w:sz w:val="22"/>
      <w:szCs w:val="22"/>
    </w:rPr>
  </w:style>
  <w:style w:type="paragraph" w:customStyle="1" w:styleId="Normal3">
    <w:name w:val="Normal_3"/>
    <w:qFormat/>
    <w:pPr>
      <w:spacing w:after="160" w:line="259" w:lineRule="auto"/>
    </w:pPr>
    <w:rPr>
      <w:rFonts w:eastAsiaTheme="minorHAnsi"/>
      <w:sz w:val="22"/>
      <w:szCs w:val="22"/>
    </w:rPr>
  </w:style>
  <w:style w:type="paragraph" w:customStyle="1" w:styleId="Normal4">
    <w:name w:val="Normal_4"/>
    <w:qFormat/>
    <w:rsid w:val="000270C2"/>
    <w:pPr>
      <w:spacing w:after="160" w:line="259" w:lineRule="auto"/>
      <w:outlineLvl w:val="3"/>
    </w:pPr>
    <w:rPr>
      <w:rFonts w:eastAsiaTheme="minorHAnsi"/>
      <w:sz w:val="22"/>
      <w:szCs w:val="22"/>
    </w:rPr>
  </w:style>
  <w:style w:type="paragraph" w:customStyle="1" w:styleId="Normal5">
    <w:name w:val="Normal_5"/>
    <w:qFormat/>
    <w:pPr>
      <w:spacing w:after="160" w:line="259" w:lineRule="auto"/>
    </w:pPr>
    <w:rPr>
      <w:rFonts w:eastAsiaTheme="minorHAnsi"/>
      <w:sz w:val="22"/>
      <w:szCs w:val="22"/>
    </w:rPr>
  </w:style>
  <w:style w:type="paragraph" w:customStyle="1" w:styleId="Normal6">
    <w:name w:val="Normal_6"/>
    <w:qFormat/>
    <w:pPr>
      <w:spacing w:after="160" w:line="259" w:lineRule="auto"/>
    </w:pPr>
    <w:rPr>
      <w:rFonts w:eastAsiaTheme="minorHAnsi"/>
      <w:sz w:val="22"/>
      <w:szCs w:val="22"/>
    </w:rPr>
  </w:style>
  <w:style w:type="paragraph" w:customStyle="1" w:styleId="Normal7">
    <w:name w:val="Normal_7"/>
    <w:qFormat/>
    <w:pPr>
      <w:spacing w:after="160" w:line="259" w:lineRule="auto"/>
    </w:pPr>
    <w:rPr>
      <w:rFonts w:eastAsiaTheme="minorHAnsi"/>
      <w:sz w:val="22"/>
      <w:szCs w:val="22"/>
    </w:rPr>
  </w:style>
  <w:style w:type="character" w:customStyle="1" w:styleId="NoSpacingChar">
    <w:name w:val="No Spacing Char"/>
    <w:link w:val="NoSpacing"/>
    <w:uiPriority w:val="1"/>
    <w:locked/>
    <w:rsid w:val="00D55D68"/>
  </w:style>
  <w:style w:type="table" w:customStyle="1" w:styleId="TableGrid20">
    <w:name w:val="Table Grid20"/>
    <w:basedOn w:val="TableNormal"/>
    <w:next w:val="TableGrid"/>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32">
    <w:name w:val="Normal_232"/>
    <w:uiPriority w:val="99"/>
    <w:qFormat/>
    <w:rsid w:val="00805F2E"/>
    <w:pPr>
      <w:widowControl w:val="0"/>
      <w:autoSpaceDE w:val="0"/>
      <w:autoSpaceDN w:val="0"/>
      <w:adjustRightInd w:val="0"/>
      <w:spacing w:after="0" w:line="240" w:lineRule="auto"/>
    </w:pPr>
    <w:rPr>
      <w:rFonts w:ascii="Arial" w:eastAsia="Times New Roman" w:hAnsi="Arial" w:cs="Arial"/>
      <w:color w:val="000000"/>
      <w:sz w:val="24"/>
      <w:szCs w:val="24"/>
    </w:rPr>
  </w:style>
  <w:style w:type="table" w:customStyle="1" w:styleId="TableGrid211">
    <w:name w:val="Table Grid211"/>
    <w:basedOn w:val="TableNormal"/>
    <w:next w:val="TableGrid"/>
    <w:uiPriority w:val="39"/>
    <w:rsid w:val="00956496"/>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Akapit z listą BS Char,Bullet1 Char,Bullets Char,Citation List Char,Ha Char,List Paragraph (numbered (a)) Char,List Paragraph1 Char,List_Paragraph Char,Liste 1 Char,Main numbered paragraph Char,Multilevel para_II Char,References Char"/>
    <w:link w:val="ListParagraph"/>
    <w:uiPriority w:val="34"/>
    <w:rsid w:val="003F0711"/>
    <w:rPr>
      <w:sz w:val="22"/>
    </w:rPr>
  </w:style>
  <w:style w:type="paragraph" w:customStyle="1" w:styleId="Normal314">
    <w:name w:val="Normal_314"/>
    <w:uiPriority w:val="99"/>
    <w:qFormat/>
    <w:rsid w:val="00D71D7B"/>
    <w:pPr>
      <w:widowControl w:val="0"/>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CA0D8E"/>
    <w:pPr>
      <w:tabs>
        <w:tab w:val="left" w:pos="660"/>
        <w:tab w:val="right" w:leader="dot" w:pos="10790"/>
      </w:tabs>
      <w:spacing w:after="100"/>
      <w:jc w:val="both"/>
    </w:pPr>
    <w:rPr>
      <w:b/>
      <w:sz w:val="24"/>
    </w:rPr>
  </w:style>
  <w:style w:type="paragraph" w:styleId="TOC2">
    <w:name w:val="toc 2"/>
    <w:basedOn w:val="Normal"/>
    <w:next w:val="Normal"/>
    <w:autoRedefine/>
    <w:uiPriority w:val="39"/>
    <w:unhideWhenUsed/>
    <w:rsid w:val="00B35C90"/>
    <w:pPr>
      <w:spacing w:after="100" w:line="259" w:lineRule="auto"/>
      <w:ind w:left="220"/>
    </w:pPr>
    <w:rPr>
      <w:rFonts w:cs="Times New Roman"/>
      <w:szCs w:val="22"/>
    </w:rPr>
  </w:style>
  <w:style w:type="paragraph" w:styleId="TOC3">
    <w:name w:val="toc 3"/>
    <w:basedOn w:val="Normal"/>
    <w:next w:val="Normal"/>
    <w:autoRedefine/>
    <w:uiPriority w:val="39"/>
    <w:unhideWhenUsed/>
    <w:rsid w:val="00F619CC"/>
    <w:pPr>
      <w:spacing w:after="100" w:line="259" w:lineRule="auto"/>
      <w:ind w:left="440"/>
    </w:pPr>
    <w:rPr>
      <w:rFonts w:cs="Times New Roman"/>
      <w:b/>
      <w:szCs w:val="22"/>
    </w:rPr>
  </w:style>
  <w:style w:type="table" w:customStyle="1" w:styleId="TableGrid0">
    <w:name w:val="Table Grid_0"/>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_0"/>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81_0"/>
    <w:basedOn w:val="TableNormal"/>
    <w:next w:val="TableGrid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_0"/>
    <w:basedOn w:val="TableNormal"/>
    <w:next w:val="TableGrid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_0"/>
    <w:basedOn w:val="TableNormal"/>
    <w:next w:val="TableGrid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a">
    <w:name w:val="Table Grid_1"/>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0">
    <w:name w:val="Table Grid9_1"/>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_1"/>
    <w:basedOn w:val="TableNormal"/>
    <w:next w:val="TableGrid1a"/>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_1"/>
    <w:basedOn w:val="TableNormal"/>
    <w:next w:val="TableGrid1a"/>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_1"/>
    <w:basedOn w:val="TableNormal"/>
    <w:next w:val="TableGrid1a"/>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_2"/>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0">
    <w:name w:val="Table Grid9_2"/>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_2"/>
    <w:basedOn w:val="TableNormal"/>
    <w:next w:val="TableGrid23"/>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2">
    <w:name w:val="Table Grid20_2"/>
    <w:basedOn w:val="TableNormal"/>
    <w:next w:val="TableGrid23"/>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_2"/>
    <w:basedOn w:val="TableNormal"/>
    <w:next w:val="TableGrid23"/>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_3"/>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0">
    <w:name w:val="Table Grid9_3"/>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81_3"/>
    <w:basedOn w:val="TableNormal"/>
    <w:next w:val="TableGrid3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3">
    <w:name w:val="Table Grid20_3"/>
    <w:basedOn w:val="TableNormal"/>
    <w:next w:val="TableGrid3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_3"/>
    <w:basedOn w:val="TableNormal"/>
    <w:next w:val="TableGrid3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_4"/>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_4"/>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4">
    <w:name w:val="Table Grid81_4"/>
    <w:basedOn w:val="TableNormal"/>
    <w:next w:val="TableGrid4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4">
    <w:name w:val="Table Grid20_4"/>
    <w:basedOn w:val="TableNormal"/>
    <w:next w:val="TableGrid4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_4"/>
    <w:basedOn w:val="TableNormal"/>
    <w:next w:val="TableGrid4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_5"/>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_5"/>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5">
    <w:name w:val="Table Grid81_5"/>
    <w:basedOn w:val="TableNormal"/>
    <w:next w:val="TableGrid5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5">
    <w:name w:val="Table Grid20_5"/>
    <w:basedOn w:val="TableNormal"/>
    <w:next w:val="TableGrid5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_5"/>
    <w:basedOn w:val="TableNormal"/>
    <w:next w:val="TableGrid5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_6"/>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_6"/>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6">
    <w:name w:val="Table Grid81_6"/>
    <w:basedOn w:val="TableNormal"/>
    <w:next w:val="TableGrid6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6">
    <w:name w:val="Table Grid20_6"/>
    <w:basedOn w:val="TableNormal"/>
    <w:next w:val="TableGrid6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_6"/>
    <w:basedOn w:val="TableNormal"/>
    <w:next w:val="TableGrid6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_7"/>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_7"/>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7">
    <w:name w:val="Table Grid81_7"/>
    <w:basedOn w:val="TableNormal"/>
    <w:next w:val="TableGrid7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7">
    <w:name w:val="Table Grid20_7"/>
    <w:basedOn w:val="TableNormal"/>
    <w:next w:val="TableGrid7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_7"/>
    <w:basedOn w:val="TableNormal"/>
    <w:next w:val="TableGrid7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_8"/>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_8"/>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8">
    <w:name w:val="Table Grid81_8"/>
    <w:basedOn w:val="TableNormal"/>
    <w:next w:val="TableGrid8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8">
    <w:name w:val="Table Grid20_8"/>
    <w:basedOn w:val="TableNormal"/>
    <w:next w:val="TableGrid8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_8"/>
    <w:basedOn w:val="TableNormal"/>
    <w:next w:val="TableGrid8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
    <w:name w:val="Table Grid_9"/>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0">
    <w:name w:val="Table Grid9_9"/>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9">
    <w:name w:val="Table Grid81_9"/>
    <w:basedOn w:val="TableNormal"/>
    <w:next w:val="TableGrid99"/>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9">
    <w:name w:val="Table Grid20_9"/>
    <w:basedOn w:val="TableNormal"/>
    <w:next w:val="TableGrid99"/>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_9"/>
    <w:basedOn w:val="TableNormal"/>
    <w:next w:val="TableGrid99"/>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_10"/>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00">
    <w:name w:val="Table Grid9_10"/>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0">
    <w:name w:val="Table Grid81_10"/>
    <w:basedOn w:val="TableNormal"/>
    <w:next w:val="TableGrid10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0">
    <w:name w:val="Table Grid20_10"/>
    <w:basedOn w:val="TableNormal"/>
    <w:next w:val="TableGrid10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0">
    <w:name w:val="Table Grid21_10"/>
    <w:basedOn w:val="TableNormal"/>
    <w:next w:val="TableGrid10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_11"/>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_11"/>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81_11"/>
    <w:basedOn w:val="TableNormal"/>
    <w:next w:val="TableGrid11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1">
    <w:name w:val="Table Grid20_11"/>
    <w:basedOn w:val="TableNormal"/>
    <w:next w:val="TableGrid11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_11"/>
    <w:basedOn w:val="TableNormal"/>
    <w:next w:val="TableGrid11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_12"/>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2">
    <w:name w:val="Table Grid9_12"/>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2">
    <w:name w:val="Table Grid81_12"/>
    <w:basedOn w:val="TableNormal"/>
    <w:next w:val="TableGrid12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 Grid14_0"/>
    <w:basedOn w:val="TableNormal"/>
    <w:next w:val="TableGrid120"/>
    <w:uiPriority w:val="39"/>
    <w:rsid w:val="00D3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0">
    <w:name w:val="Table Grid12_0"/>
    <w:basedOn w:val="TableNormal"/>
    <w:next w:val="TableGrid120"/>
    <w:uiPriority w:val="39"/>
    <w:rsid w:val="0060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 Grid122_0"/>
    <w:basedOn w:val="TableNormal"/>
    <w:next w:val="TableGrid120"/>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_0"/>
    <w:basedOn w:val="TableNormal"/>
    <w:next w:val="TableGrid120"/>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2">
    <w:name w:val="Table Grid20_12"/>
    <w:basedOn w:val="TableNormal"/>
    <w:next w:val="TableGrid12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_12"/>
    <w:basedOn w:val="TableNormal"/>
    <w:next w:val="TableGrid12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 Grid_13"/>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3">
    <w:name w:val="Table Grid9_13"/>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3">
    <w:name w:val="Table Grid81_13"/>
    <w:basedOn w:val="TableNormal"/>
    <w:next w:val="TableGrid13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3">
    <w:name w:val="Table Grid20_13"/>
    <w:basedOn w:val="TableNormal"/>
    <w:next w:val="TableGrid13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_13"/>
    <w:basedOn w:val="TableNormal"/>
    <w:next w:val="TableGrid13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_14"/>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4">
    <w:name w:val="Table Grid9_14"/>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4">
    <w:name w:val="Table Grid81_14"/>
    <w:basedOn w:val="TableNormal"/>
    <w:next w:val="TableGrid141"/>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4">
    <w:name w:val="Table Grid20_14"/>
    <w:basedOn w:val="TableNormal"/>
    <w:next w:val="TableGrid141"/>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_14"/>
    <w:basedOn w:val="TableNormal"/>
    <w:next w:val="TableGrid141"/>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 Grid_15"/>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5">
    <w:name w:val="Table Grid9_15"/>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5">
    <w:name w:val="Table Grid81_15"/>
    <w:basedOn w:val="TableNormal"/>
    <w:next w:val="TableGrid15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5">
    <w:name w:val="Table Grid20_15"/>
    <w:basedOn w:val="TableNormal"/>
    <w:next w:val="TableGrid15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_15"/>
    <w:basedOn w:val="TableNormal"/>
    <w:next w:val="TableGrid15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0">
    <w:name w:val="Table Grid_16"/>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6">
    <w:name w:val="Table Grid9_16"/>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6">
    <w:name w:val="Table Grid81_16"/>
    <w:basedOn w:val="TableNormal"/>
    <w:next w:val="TableGrid16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6">
    <w:name w:val="Table Grid20_16"/>
    <w:basedOn w:val="TableNormal"/>
    <w:next w:val="TableGrid16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_16"/>
    <w:basedOn w:val="TableNormal"/>
    <w:next w:val="TableGrid16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0">
    <w:name w:val="Table Grid_17"/>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7">
    <w:name w:val="Table Grid9_17"/>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7">
    <w:name w:val="Table Grid81_17"/>
    <w:basedOn w:val="TableNormal"/>
    <w:next w:val="TableGrid17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0">
    <w:name w:val="Table Grid14_1"/>
    <w:basedOn w:val="TableNormal"/>
    <w:next w:val="TableGrid170"/>
    <w:uiPriority w:val="39"/>
    <w:rsid w:val="00D3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_1"/>
    <w:basedOn w:val="TableNormal"/>
    <w:next w:val="TableGrid170"/>
    <w:uiPriority w:val="39"/>
    <w:rsid w:val="0060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_1"/>
    <w:basedOn w:val="TableNormal"/>
    <w:next w:val="TableGrid170"/>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_1"/>
    <w:basedOn w:val="TableNormal"/>
    <w:next w:val="TableGrid170"/>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7">
    <w:name w:val="Table Grid20_17"/>
    <w:basedOn w:val="TableNormal"/>
    <w:next w:val="TableGrid17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_17"/>
    <w:basedOn w:val="TableNormal"/>
    <w:next w:val="TableGrid17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0">
    <w:name w:val="Table Grid_18"/>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8">
    <w:name w:val="Table Grid9_18"/>
    <w:basedOn w:val="TableNormal"/>
    <w:uiPriority w:val="59"/>
    <w:rsid w:val="00803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8">
    <w:name w:val="Table Grid81_18"/>
    <w:basedOn w:val="TableNormal"/>
    <w:next w:val="TableGrid180"/>
    <w:uiPriority w:val="39"/>
    <w:rsid w:val="00F0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_2"/>
    <w:basedOn w:val="TableNormal"/>
    <w:next w:val="TableGrid180"/>
    <w:uiPriority w:val="39"/>
    <w:rsid w:val="00D30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_2"/>
    <w:basedOn w:val="TableNormal"/>
    <w:next w:val="TableGrid180"/>
    <w:uiPriority w:val="39"/>
    <w:rsid w:val="0060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0">
    <w:name w:val="Table Grid122_2"/>
    <w:basedOn w:val="TableNormal"/>
    <w:next w:val="TableGrid180"/>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2">
    <w:name w:val="Table Grid19_2"/>
    <w:basedOn w:val="TableNormal"/>
    <w:next w:val="TableGrid180"/>
    <w:uiPriority w:val="39"/>
    <w:rsid w:val="006E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8">
    <w:name w:val="Table Grid20_18"/>
    <w:basedOn w:val="TableNormal"/>
    <w:next w:val="TableGrid180"/>
    <w:uiPriority w:val="39"/>
    <w:rsid w:val="00D55D68"/>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_18"/>
    <w:basedOn w:val="TableNormal"/>
    <w:next w:val="TableGrid180"/>
    <w:uiPriority w:val="39"/>
    <w:rsid w:val="00581D7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3"/>
    <w:basedOn w:val="Normal"/>
    <w:next w:val="Normal"/>
    <w:link w:val="Heading3Char0"/>
    <w:qFormat/>
    <w:rsid w:val="00880F30"/>
    <w:rPr>
      <w:b/>
    </w:rPr>
  </w:style>
  <w:style w:type="character" w:customStyle="1" w:styleId="Heading3Char0">
    <w:name w:val="Heading3 Char"/>
    <w:basedOn w:val="DefaultParagraphFont"/>
    <w:link w:val="Heading30"/>
    <w:rsid w:val="00880F30"/>
    <w:rPr>
      <w:b/>
      <w:sz w:val="22"/>
    </w:rPr>
  </w:style>
  <w:style w:type="paragraph" w:styleId="TOC4">
    <w:name w:val="toc 4"/>
    <w:basedOn w:val="Normal"/>
    <w:next w:val="Normal"/>
    <w:autoRedefine/>
    <w:uiPriority w:val="39"/>
    <w:unhideWhenUsed/>
    <w:rsid w:val="00BC65CE"/>
    <w:pPr>
      <w:spacing w:after="100"/>
      <w:ind w:left="630"/>
    </w:pPr>
    <w:rPr>
      <w:rFonts w:ascii="Calibri" w:hAnsi="Calibri"/>
    </w:rPr>
  </w:style>
  <w:style w:type="paragraph" w:styleId="TOC9">
    <w:name w:val="toc 9"/>
    <w:basedOn w:val="Normal"/>
    <w:next w:val="Normal"/>
    <w:autoRedefine/>
    <w:uiPriority w:val="39"/>
    <w:semiHidden/>
    <w:unhideWhenUsed/>
    <w:rsid w:val="000E0DD6"/>
    <w:pPr>
      <w:spacing w:after="100"/>
      <w:ind w:left="1760"/>
    </w:pPr>
  </w:style>
  <w:style w:type="paragraph" w:customStyle="1" w:styleId="Normal8">
    <w:name w:val="Normal_8"/>
    <w:qFormat/>
    <w:rsid w:val="00A70789"/>
    <w:pPr>
      <w:spacing w:after="0"/>
    </w:pPr>
    <w:rPr>
      <w:rFonts w:ascii="Calibri" w:hAnsi="Calibri"/>
      <w:b/>
      <w:sz w:val="22"/>
    </w:rPr>
  </w:style>
  <w:style w:type="paragraph" w:customStyle="1" w:styleId="MsoNormal0">
    <w:name w:val="MsoNormal"/>
    <w:basedOn w:val="Normal"/>
    <w:pPr>
      <w:spacing w:after="200"/>
    </w:pPr>
    <w:rPr>
      <w:sz w:val="21"/>
    </w:rPr>
  </w:style>
  <w:style w:type="table" w:customStyle="1" w:styleId="MsoTableGrid0">
    <w:name w:val="MsoTableGrid"/>
    <w:basedOn w:val="TableNormal"/>
    <w:pPr>
      <w:spacing w:after="160" w:line="259" w:lineRule="auto"/>
    </w:pPr>
    <w:rPr>
      <w:rFonts w:eastAsiaTheme="minorHAnsi"/>
      <w:sz w:val="22"/>
      <w:szCs w:val="22"/>
    </w:rPr>
    <w:tblPr/>
  </w:style>
  <w:style w:type="table" w:customStyle="1" w:styleId="TableGrid171">
    <w:name w:val="TableGrid17"/>
    <w:basedOn w:val="TableNormal"/>
    <w:pPr>
      <w:spacing w:after="160" w:line="259" w:lineRule="auto"/>
    </w:pPr>
    <w:rPr>
      <w:rFonts w:eastAsiaTheme="minorHAnsi"/>
      <w:sz w:val="22"/>
      <w:szCs w:val="22"/>
    </w:rPr>
    <w:tblPr/>
  </w:style>
  <w:style w:type="table" w:customStyle="1" w:styleId="unVaodaynghebainaydibanhttpnhatquanglanxlphpnet1">
    <w:name w:val="unVaodaynghebainaydibanhttpnhatquanglanxlphpnet1"/>
    <w:basedOn w:val="TableNormal"/>
    <w:pPr>
      <w:spacing w:after="160" w:line="259" w:lineRule="auto"/>
    </w:pPr>
    <w:rPr>
      <w:rFonts w:ascii="Calibri" w:eastAsia="Calibri" w:hAnsi="Calibri" w:cs="Times New Roman"/>
      <w:sz w:val="22"/>
      <w:szCs w:val="22"/>
    </w:rPr>
    <w:tblPr/>
  </w:style>
  <w:style w:type="table" w:customStyle="1" w:styleId="TableGrid52">
    <w:name w:val="TableGrid5"/>
    <w:basedOn w:val="TableNormal"/>
    <w:pPr>
      <w:spacing w:after="160" w:line="259" w:lineRule="auto"/>
    </w:pPr>
    <w:rPr>
      <w:rFonts w:ascii="Calibri" w:eastAsia="Calibri" w:hAnsi="Calibri" w:cs="Times New Roman"/>
      <w:sz w:val="22"/>
      <w:szCs w:val="22"/>
    </w:rPr>
    <w:tblPr/>
  </w:style>
  <w:style w:type="table" w:customStyle="1" w:styleId="TableGrid161">
    <w:name w:val="TableGrid16"/>
    <w:basedOn w:val="TableNormal"/>
    <w:pPr>
      <w:spacing w:after="160" w:line="259" w:lineRule="auto"/>
    </w:pPr>
    <w:rPr>
      <w:rFonts w:ascii="Calibri" w:eastAsia="Calibri" w:hAnsi="Calibri" w:cs="Times New Roman"/>
      <w:sz w:val="22"/>
      <w:szCs w:val="22"/>
    </w:rPr>
    <w:tblPr/>
  </w:style>
  <w:style w:type="character" w:customStyle="1" w:styleId="normaltextrun">
    <w:name w:val="normaltextrun"/>
    <w:basedOn w:val="DefaultParagraphFont"/>
    <w:rsid w:val="00173459"/>
  </w:style>
  <w:style w:type="paragraph" w:styleId="FootnoteText">
    <w:name w:val="footnote text"/>
    <w:aliases w:val="ADB,ALTS FOOTNOTE,Char,FOOTNOTES,Footnote,Footnote Text Char Char,Fußnote,Geneva,Geneva 9,Texto nota pie Car,Texto nota pie Car2,Texto nota pie2,WB-Fußnotentext,WB-Fußnotentext Char Char,f,fn,footnote,ft,ft Car,ft Car Car,ft1,single space"/>
    <w:basedOn w:val="Normal"/>
    <w:link w:val="FootnoteTextChar"/>
    <w:uiPriority w:val="99"/>
    <w:unhideWhenUsed/>
    <w:qFormat/>
    <w:rsid w:val="00173459"/>
    <w:pPr>
      <w:spacing w:line="240" w:lineRule="auto"/>
    </w:pPr>
    <w:rPr>
      <w:sz w:val="20"/>
      <w:szCs w:val="20"/>
    </w:rPr>
  </w:style>
  <w:style w:type="character" w:customStyle="1" w:styleId="FootnoteTextChar">
    <w:name w:val="Footnote Text Char"/>
    <w:aliases w:val="ADB Char,ALTS FOOTNOTE Char,Char Char,FOOTNOTES Char,Footnote Char,Footnote Text Char Char Char,Fußnote Char,Geneva Char,Geneva 9 Char,Texto nota pie Car Char,Texto nota pie Car2 Char,Texto nota pie2 Char,WB-Fußnotentext Char,f Char"/>
    <w:basedOn w:val="DefaultParagraphFont"/>
    <w:link w:val="FootnoteText"/>
    <w:uiPriority w:val="99"/>
    <w:qFormat/>
    <w:rsid w:val="00173459"/>
    <w:rPr>
      <w:sz w:val="20"/>
      <w:szCs w:val="20"/>
    </w:rPr>
  </w:style>
  <w:style w:type="character" w:styleId="FootnoteReference">
    <w:name w:val="footnote reference"/>
    <w:aliases w:val="16 Point,BVI fnr,EN Footnote Reference,Error-Fußnotenzeichen3,Error-Fußnotenzeichen5,Error-Fußnotenzeichen6,FO,Footnote Reference Number,Footnote Reference1,Ref,SUPERS,Superscript 6 Point,de nota al pie,f1,footnote ref,fr,ftref,number"/>
    <w:basedOn w:val="DefaultParagraphFont"/>
    <w:link w:val="FNRefeCharChar"/>
    <w:uiPriority w:val="99"/>
    <w:unhideWhenUsed/>
    <w:qFormat/>
    <w:rsid w:val="00173459"/>
    <w:rPr>
      <w:vertAlign w:val="superscript"/>
    </w:rPr>
  </w:style>
  <w:style w:type="character" w:styleId="Mention">
    <w:name w:val="Mention"/>
    <w:basedOn w:val="DefaultParagraphFont"/>
    <w:uiPriority w:val="99"/>
    <w:rsid w:val="00F430B1"/>
    <w:rPr>
      <w:color w:val="2B579A"/>
      <w:shd w:val="clear" w:color="auto" w:fill="E1DFDD"/>
    </w:rPr>
  </w:style>
  <w:style w:type="paragraph" w:styleId="Revision">
    <w:name w:val="Revision"/>
    <w:hidden/>
    <w:uiPriority w:val="99"/>
    <w:semiHidden/>
    <w:rsid w:val="00070F1F"/>
    <w:pPr>
      <w:spacing w:after="0" w:line="240" w:lineRule="auto"/>
    </w:pPr>
    <w:rPr>
      <w:sz w:val="22"/>
    </w:rPr>
  </w:style>
  <w:style w:type="paragraph" w:customStyle="1" w:styleId="FNRefeCharChar">
    <w:name w:val="FNRefe Char Char"/>
    <w:aliases w:val="BVI fnr Car,BVI fnr Car Car,BVI fnr Car Car Car Car Char Char,BVI fnr Car Car Car Car Char Char Char Char Char,BVI fnr Car Car Char Char Char,BVI fnr Car Char Char Char,BVI fnr Char Char,BVI fnr Char Char Char,footnote number Char"/>
    <w:basedOn w:val="Normal"/>
    <w:link w:val="FootnoteReference"/>
    <w:uiPriority w:val="99"/>
    <w:qFormat/>
    <w:rsid w:val="00A024D4"/>
    <w:pPr>
      <w:spacing w:after="200" w:line="240" w:lineRule="exact"/>
    </w:pPr>
    <w:rPr>
      <w:sz w:val="21"/>
      <w:vertAlign w:val="superscript"/>
    </w:rPr>
  </w:style>
  <w:style w:type="character" w:styleId="UnresolvedMention">
    <w:name w:val="Unresolved Mention"/>
    <w:basedOn w:val="DefaultParagraphFont"/>
    <w:uiPriority w:val="99"/>
    <w:rsid w:val="007B5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197420">
      <w:bodyDiv w:val="1"/>
      <w:marLeft w:val="0"/>
      <w:marRight w:val="0"/>
      <w:marTop w:val="0"/>
      <w:marBottom w:val="0"/>
      <w:divBdr>
        <w:top w:val="none" w:sz="0" w:space="0" w:color="auto"/>
        <w:left w:val="none" w:sz="0" w:space="0" w:color="auto"/>
        <w:bottom w:val="none" w:sz="0" w:space="0" w:color="auto"/>
        <w:right w:val="none" w:sz="0" w:space="0" w:color="auto"/>
      </w:divBdr>
    </w:div>
    <w:div w:id="78434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icrodata.pacificdata.org/index.php/hom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sp.cgdev.org/"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93FFF1022B455E87A1B2F7C1F56E76"/>
        <w:category>
          <w:name w:val="General"/>
          <w:gallery w:val="placeholder"/>
        </w:category>
        <w:types>
          <w:type w:val="bbPlcHdr"/>
        </w:types>
        <w:behaviors>
          <w:behavior w:val="content"/>
        </w:behaviors>
        <w:guid w:val="{73EAF09D-458C-4B37-B28A-E2C00D2EAEE3}"/>
      </w:docPartPr>
      <w:docPartBody>
        <w:p w:rsidR="004900AD" w:rsidRDefault="002A4E5C" w:rsidP="00C11899">
          <w:pPr>
            <w:pStyle w:val="E693FFF1022B455E87A1B2F7C1F56E7632"/>
          </w:pPr>
          <w:r>
            <w:rPr>
              <w:rStyle w:val="PlaceholderText"/>
            </w:rPr>
            <w:t xml:space="preserve"> </w:t>
          </w:r>
        </w:p>
      </w:docPartBody>
    </w:docPart>
    <w:docPart>
      <w:docPartPr>
        <w:name w:val="F220A3369994439483FB86DDE7D3173F"/>
        <w:category>
          <w:name w:val="General"/>
          <w:gallery w:val="placeholder"/>
        </w:category>
        <w:types>
          <w:type w:val="bbPlcHdr"/>
        </w:types>
        <w:behaviors>
          <w:behavior w:val="content"/>
        </w:behaviors>
        <w:guid w:val="{2AAC7771-AFA4-4C7F-8D1A-068710076648}"/>
      </w:docPartPr>
      <w:docPartBody>
        <w:p w:rsidR="001D521C" w:rsidRDefault="002A4E5C" w:rsidP="001D521C">
          <w:pPr>
            <w:pStyle w:val="F220A3369994439483FB86DDE7D3173F"/>
          </w:pPr>
          <w:r w:rsidRPr="0076485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A0"/>
    <w:rsid w:val="00004317"/>
    <w:rsid w:val="00006224"/>
    <w:rsid w:val="000068B3"/>
    <w:rsid w:val="000105F4"/>
    <w:rsid w:val="00020C1F"/>
    <w:rsid w:val="0002639C"/>
    <w:rsid w:val="00047D6A"/>
    <w:rsid w:val="0005307B"/>
    <w:rsid w:val="00060E14"/>
    <w:rsid w:val="000A2A9B"/>
    <w:rsid w:val="000A714C"/>
    <w:rsid w:val="000A769E"/>
    <w:rsid w:val="000B6805"/>
    <w:rsid w:val="000C162D"/>
    <w:rsid w:val="000C4B57"/>
    <w:rsid w:val="000D019F"/>
    <w:rsid w:val="000E35B2"/>
    <w:rsid w:val="00114D2E"/>
    <w:rsid w:val="001171A6"/>
    <w:rsid w:val="00120635"/>
    <w:rsid w:val="0012196F"/>
    <w:rsid w:val="00124C4F"/>
    <w:rsid w:val="0013465C"/>
    <w:rsid w:val="00137F60"/>
    <w:rsid w:val="00140D97"/>
    <w:rsid w:val="00142DAA"/>
    <w:rsid w:val="0014637B"/>
    <w:rsid w:val="00147CBA"/>
    <w:rsid w:val="00170628"/>
    <w:rsid w:val="001778F1"/>
    <w:rsid w:val="001842A0"/>
    <w:rsid w:val="00184E63"/>
    <w:rsid w:val="001D2A5F"/>
    <w:rsid w:val="001D2ECC"/>
    <w:rsid w:val="001D521C"/>
    <w:rsid w:val="001F632A"/>
    <w:rsid w:val="0020788E"/>
    <w:rsid w:val="00212266"/>
    <w:rsid w:val="00214428"/>
    <w:rsid w:val="00216FB6"/>
    <w:rsid w:val="002178E4"/>
    <w:rsid w:val="00221A17"/>
    <w:rsid w:val="002421D1"/>
    <w:rsid w:val="002460AA"/>
    <w:rsid w:val="00253492"/>
    <w:rsid w:val="0025631E"/>
    <w:rsid w:val="002605AE"/>
    <w:rsid w:val="00262A76"/>
    <w:rsid w:val="00264854"/>
    <w:rsid w:val="00274FDD"/>
    <w:rsid w:val="00280D7C"/>
    <w:rsid w:val="00290BEB"/>
    <w:rsid w:val="00296900"/>
    <w:rsid w:val="002A3B7C"/>
    <w:rsid w:val="002A4E5C"/>
    <w:rsid w:val="002A5488"/>
    <w:rsid w:val="002B349E"/>
    <w:rsid w:val="002B3BCE"/>
    <w:rsid w:val="002B535B"/>
    <w:rsid w:val="002C0873"/>
    <w:rsid w:val="002C3E09"/>
    <w:rsid w:val="002E0DCB"/>
    <w:rsid w:val="002E4F27"/>
    <w:rsid w:val="002E6480"/>
    <w:rsid w:val="0030650E"/>
    <w:rsid w:val="00306858"/>
    <w:rsid w:val="0031320F"/>
    <w:rsid w:val="00314538"/>
    <w:rsid w:val="003333AF"/>
    <w:rsid w:val="00343764"/>
    <w:rsid w:val="00344DB2"/>
    <w:rsid w:val="00356D56"/>
    <w:rsid w:val="003706C2"/>
    <w:rsid w:val="00374CA4"/>
    <w:rsid w:val="00384EB2"/>
    <w:rsid w:val="003B56CE"/>
    <w:rsid w:val="003B7618"/>
    <w:rsid w:val="003D640D"/>
    <w:rsid w:val="003D745F"/>
    <w:rsid w:val="003E7EA9"/>
    <w:rsid w:val="004053D1"/>
    <w:rsid w:val="004350C3"/>
    <w:rsid w:val="0044058E"/>
    <w:rsid w:val="004466E4"/>
    <w:rsid w:val="00456E86"/>
    <w:rsid w:val="0046566A"/>
    <w:rsid w:val="004725AA"/>
    <w:rsid w:val="004900AD"/>
    <w:rsid w:val="004A31C5"/>
    <w:rsid w:val="004B1AB6"/>
    <w:rsid w:val="004D7AE8"/>
    <w:rsid w:val="004E0187"/>
    <w:rsid w:val="0050442C"/>
    <w:rsid w:val="005120E5"/>
    <w:rsid w:val="005278AF"/>
    <w:rsid w:val="00537F87"/>
    <w:rsid w:val="00564587"/>
    <w:rsid w:val="00564A38"/>
    <w:rsid w:val="00583013"/>
    <w:rsid w:val="00583E4B"/>
    <w:rsid w:val="005847CB"/>
    <w:rsid w:val="00585E58"/>
    <w:rsid w:val="005A0472"/>
    <w:rsid w:val="005A60B8"/>
    <w:rsid w:val="005C3598"/>
    <w:rsid w:val="005C6A5E"/>
    <w:rsid w:val="005E2F21"/>
    <w:rsid w:val="00602CF7"/>
    <w:rsid w:val="00603965"/>
    <w:rsid w:val="0061134F"/>
    <w:rsid w:val="00613AB8"/>
    <w:rsid w:val="00620E07"/>
    <w:rsid w:val="00622C07"/>
    <w:rsid w:val="00624649"/>
    <w:rsid w:val="00627C66"/>
    <w:rsid w:val="006470A3"/>
    <w:rsid w:val="006472AA"/>
    <w:rsid w:val="00647ACB"/>
    <w:rsid w:val="00664E91"/>
    <w:rsid w:val="00667E2C"/>
    <w:rsid w:val="006763CD"/>
    <w:rsid w:val="00676CB7"/>
    <w:rsid w:val="00684490"/>
    <w:rsid w:val="00687471"/>
    <w:rsid w:val="00692818"/>
    <w:rsid w:val="006932D2"/>
    <w:rsid w:val="006A0FB9"/>
    <w:rsid w:val="006A3398"/>
    <w:rsid w:val="006C60D8"/>
    <w:rsid w:val="006D2C40"/>
    <w:rsid w:val="006E1A83"/>
    <w:rsid w:val="006E6440"/>
    <w:rsid w:val="00714B1A"/>
    <w:rsid w:val="007320CD"/>
    <w:rsid w:val="0073485B"/>
    <w:rsid w:val="00750F09"/>
    <w:rsid w:val="00751B26"/>
    <w:rsid w:val="00763436"/>
    <w:rsid w:val="00765632"/>
    <w:rsid w:val="007668A1"/>
    <w:rsid w:val="00786C4B"/>
    <w:rsid w:val="00787289"/>
    <w:rsid w:val="007949A7"/>
    <w:rsid w:val="007A0CB2"/>
    <w:rsid w:val="007B4EE1"/>
    <w:rsid w:val="007C1414"/>
    <w:rsid w:val="007C1FDA"/>
    <w:rsid w:val="007E43F9"/>
    <w:rsid w:val="007F32FD"/>
    <w:rsid w:val="007F5A65"/>
    <w:rsid w:val="007F61FB"/>
    <w:rsid w:val="00806B5C"/>
    <w:rsid w:val="00812A40"/>
    <w:rsid w:val="00814B22"/>
    <w:rsid w:val="008224CF"/>
    <w:rsid w:val="0083281E"/>
    <w:rsid w:val="008422F1"/>
    <w:rsid w:val="00851CD0"/>
    <w:rsid w:val="00863B5B"/>
    <w:rsid w:val="008723FE"/>
    <w:rsid w:val="008939DD"/>
    <w:rsid w:val="008954C9"/>
    <w:rsid w:val="008A19E7"/>
    <w:rsid w:val="008B331A"/>
    <w:rsid w:val="008D01FF"/>
    <w:rsid w:val="008E497B"/>
    <w:rsid w:val="008F3EB2"/>
    <w:rsid w:val="008F4C53"/>
    <w:rsid w:val="008F6E16"/>
    <w:rsid w:val="009464BD"/>
    <w:rsid w:val="00950543"/>
    <w:rsid w:val="00951D80"/>
    <w:rsid w:val="009649B1"/>
    <w:rsid w:val="009668FA"/>
    <w:rsid w:val="009858FA"/>
    <w:rsid w:val="00986C64"/>
    <w:rsid w:val="009875C5"/>
    <w:rsid w:val="00995243"/>
    <w:rsid w:val="009F2932"/>
    <w:rsid w:val="00A07572"/>
    <w:rsid w:val="00A340BB"/>
    <w:rsid w:val="00A4100F"/>
    <w:rsid w:val="00A44565"/>
    <w:rsid w:val="00A51B64"/>
    <w:rsid w:val="00A52839"/>
    <w:rsid w:val="00A56A75"/>
    <w:rsid w:val="00A74A2B"/>
    <w:rsid w:val="00A92D1E"/>
    <w:rsid w:val="00A96C32"/>
    <w:rsid w:val="00AA089D"/>
    <w:rsid w:val="00AA6774"/>
    <w:rsid w:val="00AB413B"/>
    <w:rsid w:val="00AB4501"/>
    <w:rsid w:val="00AB6F11"/>
    <w:rsid w:val="00AC0881"/>
    <w:rsid w:val="00AD67FD"/>
    <w:rsid w:val="00AF3ED3"/>
    <w:rsid w:val="00B21815"/>
    <w:rsid w:val="00B27527"/>
    <w:rsid w:val="00B313DB"/>
    <w:rsid w:val="00B3152A"/>
    <w:rsid w:val="00B468D3"/>
    <w:rsid w:val="00B64798"/>
    <w:rsid w:val="00B811D7"/>
    <w:rsid w:val="00B870D7"/>
    <w:rsid w:val="00BA373E"/>
    <w:rsid w:val="00BA474D"/>
    <w:rsid w:val="00BB2756"/>
    <w:rsid w:val="00BB3B3C"/>
    <w:rsid w:val="00BC0BE2"/>
    <w:rsid w:val="00BE0B87"/>
    <w:rsid w:val="00BF3D03"/>
    <w:rsid w:val="00BF631C"/>
    <w:rsid w:val="00C06E4E"/>
    <w:rsid w:val="00C07AE4"/>
    <w:rsid w:val="00C11899"/>
    <w:rsid w:val="00C15261"/>
    <w:rsid w:val="00C1729C"/>
    <w:rsid w:val="00C37ADA"/>
    <w:rsid w:val="00C4615D"/>
    <w:rsid w:val="00C530E4"/>
    <w:rsid w:val="00C62AE7"/>
    <w:rsid w:val="00C634FF"/>
    <w:rsid w:val="00C71F41"/>
    <w:rsid w:val="00C72ABC"/>
    <w:rsid w:val="00C7655F"/>
    <w:rsid w:val="00C914CB"/>
    <w:rsid w:val="00CB04B3"/>
    <w:rsid w:val="00CB4FFD"/>
    <w:rsid w:val="00CB5DDD"/>
    <w:rsid w:val="00CB5F20"/>
    <w:rsid w:val="00CC3B14"/>
    <w:rsid w:val="00CD7FE4"/>
    <w:rsid w:val="00D031C2"/>
    <w:rsid w:val="00D032A3"/>
    <w:rsid w:val="00D24C91"/>
    <w:rsid w:val="00D31BF6"/>
    <w:rsid w:val="00D63728"/>
    <w:rsid w:val="00D74F86"/>
    <w:rsid w:val="00D844A5"/>
    <w:rsid w:val="00D86C7B"/>
    <w:rsid w:val="00D930B9"/>
    <w:rsid w:val="00D9425C"/>
    <w:rsid w:val="00DA74B9"/>
    <w:rsid w:val="00DD0562"/>
    <w:rsid w:val="00DE2056"/>
    <w:rsid w:val="00E05FDA"/>
    <w:rsid w:val="00E30AD3"/>
    <w:rsid w:val="00E4536B"/>
    <w:rsid w:val="00E6193D"/>
    <w:rsid w:val="00E65ABD"/>
    <w:rsid w:val="00E76822"/>
    <w:rsid w:val="00E83383"/>
    <w:rsid w:val="00E91A37"/>
    <w:rsid w:val="00E96B6D"/>
    <w:rsid w:val="00EA1CD5"/>
    <w:rsid w:val="00EA76B9"/>
    <w:rsid w:val="00EB111C"/>
    <w:rsid w:val="00EE3C81"/>
    <w:rsid w:val="00EF1FD8"/>
    <w:rsid w:val="00EF61D5"/>
    <w:rsid w:val="00F01886"/>
    <w:rsid w:val="00F1102B"/>
    <w:rsid w:val="00F12E93"/>
    <w:rsid w:val="00F15F9B"/>
    <w:rsid w:val="00F23766"/>
    <w:rsid w:val="00F3194B"/>
    <w:rsid w:val="00F32DE1"/>
    <w:rsid w:val="00F70BD4"/>
    <w:rsid w:val="00F911C9"/>
    <w:rsid w:val="00F96B90"/>
    <w:rsid w:val="00FE0F1C"/>
    <w:rsid w:val="00FF1338"/>
    <w:rsid w:val="00FF26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899"/>
    <w:rPr>
      <w:color w:val="808080"/>
    </w:rPr>
  </w:style>
  <w:style w:type="paragraph" w:customStyle="1" w:styleId="F220A3369994439483FB86DDE7D3173F">
    <w:name w:val="F220A3369994439483FB86DDE7D3173F"/>
    <w:rsid w:val="001D521C"/>
  </w:style>
  <w:style w:type="paragraph" w:customStyle="1" w:styleId="E693FFF1022B455E87A1B2F7C1F56E7632">
    <w:name w:val="E693FFF1022B455E87A1B2F7C1F56E7632"/>
    <w:rsid w:val="00C1189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fe78042-f7c1-488a-9271-679de39178d7" xsi:nil="true"/>
    <lcf76f155ced4ddcb4097134ff3c332f xmlns="d9541c0c-5af7-4f16-b5b6-1704208228f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4DDE9C7A438749B37F1546964522A8" ma:contentTypeVersion="14" ma:contentTypeDescription="Create a new document." ma:contentTypeScope="" ma:versionID="1dad7f4036f576c20783bca0c6ffd4ed">
  <xsd:schema xmlns:xsd="http://www.w3.org/2001/XMLSchema" xmlns:xs="http://www.w3.org/2001/XMLSchema" xmlns:p="http://schemas.microsoft.com/office/2006/metadata/properties" xmlns:ns2="d9541c0c-5af7-4f16-b5b6-1704208228f7" xmlns:ns3="9fe78042-f7c1-488a-9271-679de39178d7" targetNamespace="http://schemas.microsoft.com/office/2006/metadata/properties" ma:root="true" ma:fieldsID="1472749aab0e654526d2de7764d6a12b" ns2:_="" ns3:_="">
    <xsd:import namespace="d9541c0c-5af7-4f16-b5b6-1704208228f7"/>
    <xsd:import namespace="9fe78042-f7c1-488a-9271-679de3917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41c0c-5af7-4f16-b5b6-170420822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e78042-f7c1-488a-9271-679de3917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999f2e0-71bb-4671-961b-cdc61368f7ea}" ma:internalName="TaxCatchAll" ma:showField="CatchAllData" ma:web="9fe78042-f7c1-488a-9271-679de39178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903C15-60D6-4BAC-A7D4-0435B4C641FD}">
  <ds:schemaRefs>
    <ds:schemaRef ds:uri="http://schemas.microsoft.com/sharepoint/v3/contenttype/forms"/>
  </ds:schemaRefs>
</ds:datastoreItem>
</file>

<file path=customXml/itemProps2.xml><?xml version="1.0" encoding="utf-8"?>
<ds:datastoreItem xmlns:ds="http://schemas.openxmlformats.org/officeDocument/2006/customXml" ds:itemID="{AB5F87E5-C6D0-4390-9C77-AADDB3DAEA66}">
  <ds:schemaRefs>
    <ds:schemaRef ds:uri="http://schemas.openxmlformats.org/officeDocument/2006/bibliography"/>
  </ds:schemaRefs>
</ds:datastoreItem>
</file>

<file path=customXml/itemProps3.xml><?xml version="1.0" encoding="utf-8"?>
<ds:datastoreItem xmlns:ds="http://schemas.openxmlformats.org/officeDocument/2006/customXml" ds:itemID="{DB92E8B4-8539-49C5-9CFF-6207AF607CB8}">
  <ds:schemaRefs>
    <ds:schemaRef ds:uri="http://schemas.microsoft.com/office/2006/metadata/properties"/>
    <ds:schemaRef ds:uri="http://schemas.microsoft.com/office/infopath/2007/PartnerControls"/>
    <ds:schemaRef ds:uri="9fe78042-f7c1-488a-9271-679de39178d7"/>
    <ds:schemaRef ds:uri="d9541c0c-5af7-4f16-b5b6-1704208228f7"/>
  </ds:schemaRefs>
</ds:datastoreItem>
</file>

<file path=customXml/itemProps4.xml><?xml version="1.0" encoding="utf-8"?>
<ds:datastoreItem xmlns:ds="http://schemas.openxmlformats.org/officeDocument/2006/customXml" ds:itemID="{05054663-4F9E-4116-90D2-6D5952EA3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41c0c-5af7-4f16-b5b6-1704208228f7"/>
    <ds:schemaRef ds:uri="9fe78042-f7c1-488a-9271-679de3917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14067</Words>
  <Characters>80182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Implementation Completion and Results Report (ICR)</vt:lpstr>
    </vt:vector>
  </TitlesOfParts>
  <Company/>
  <LinksUpToDate>false</LinksUpToDate>
  <CharactersWithSpaces>94061</CharactersWithSpaces>
  <SharedDoc>false</SharedDoc>
  <HLinks>
    <vt:vector size="96" baseType="variant">
      <vt:variant>
        <vt:i4>6160463</vt:i4>
      </vt:variant>
      <vt:variant>
        <vt:i4>75</vt:i4>
      </vt:variant>
      <vt:variant>
        <vt:i4>0</vt:i4>
      </vt:variant>
      <vt:variant>
        <vt:i4>5</vt:i4>
      </vt:variant>
      <vt:variant>
        <vt:lpwstr>https://microdata.pacificdata.org/index.php/home</vt:lpwstr>
      </vt:variant>
      <vt:variant>
        <vt:lpwstr/>
      </vt:variant>
      <vt:variant>
        <vt:i4>1376312</vt:i4>
      </vt:variant>
      <vt:variant>
        <vt:i4>68</vt:i4>
      </vt:variant>
      <vt:variant>
        <vt:i4>0</vt:i4>
      </vt:variant>
      <vt:variant>
        <vt:i4>5</vt:i4>
      </vt:variant>
      <vt:variant>
        <vt:lpwstr/>
      </vt:variant>
      <vt:variant>
        <vt:lpwstr>_Toc198922305</vt:lpwstr>
      </vt:variant>
      <vt:variant>
        <vt:i4>1376312</vt:i4>
      </vt:variant>
      <vt:variant>
        <vt:i4>62</vt:i4>
      </vt:variant>
      <vt:variant>
        <vt:i4>0</vt:i4>
      </vt:variant>
      <vt:variant>
        <vt:i4>5</vt:i4>
      </vt:variant>
      <vt:variant>
        <vt:lpwstr/>
      </vt:variant>
      <vt:variant>
        <vt:lpwstr>_Toc198922304</vt:lpwstr>
      </vt:variant>
      <vt:variant>
        <vt:i4>1376312</vt:i4>
      </vt:variant>
      <vt:variant>
        <vt:i4>56</vt:i4>
      </vt:variant>
      <vt:variant>
        <vt:i4>0</vt:i4>
      </vt:variant>
      <vt:variant>
        <vt:i4>5</vt:i4>
      </vt:variant>
      <vt:variant>
        <vt:lpwstr/>
      </vt:variant>
      <vt:variant>
        <vt:lpwstr>_Toc198922303</vt:lpwstr>
      </vt:variant>
      <vt:variant>
        <vt:i4>1376312</vt:i4>
      </vt:variant>
      <vt:variant>
        <vt:i4>50</vt:i4>
      </vt:variant>
      <vt:variant>
        <vt:i4>0</vt:i4>
      </vt:variant>
      <vt:variant>
        <vt:i4>5</vt:i4>
      </vt:variant>
      <vt:variant>
        <vt:lpwstr/>
      </vt:variant>
      <vt:variant>
        <vt:lpwstr>_Toc198922302</vt:lpwstr>
      </vt:variant>
      <vt:variant>
        <vt:i4>1376312</vt:i4>
      </vt:variant>
      <vt:variant>
        <vt:i4>44</vt:i4>
      </vt:variant>
      <vt:variant>
        <vt:i4>0</vt:i4>
      </vt:variant>
      <vt:variant>
        <vt:i4>5</vt:i4>
      </vt:variant>
      <vt:variant>
        <vt:lpwstr/>
      </vt:variant>
      <vt:variant>
        <vt:lpwstr>_Toc198922301</vt:lpwstr>
      </vt:variant>
      <vt:variant>
        <vt:i4>1376312</vt:i4>
      </vt:variant>
      <vt:variant>
        <vt:i4>38</vt:i4>
      </vt:variant>
      <vt:variant>
        <vt:i4>0</vt:i4>
      </vt:variant>
      <vt:variant>
        <vt:i4>5</vt:i4>
      </vt:variant>
      <vt:variant>
        <vt:lpwstr/>
      </vt:variant>
      <vt:variant>
        <vt:lpwstr>_Toc198922300</vt:lpwstr>
      </vt:variant>
      <vt:variant>
        <vt:i4>1835065</vt:i4>
      </vt:variant>
      <vt:variant>
        <vt:i4>32</vt:i4>
      </vt:variant>
      <vt:variant>
        <vt:i4>0</vt:i4>
      </vt:variant>
      <vt:variant>
        <vt:i4>5</vt:i4>
      </vt:variant>
      <vt:variant>
        <vt:lpwstr/>
      </vt:variant>
      <vt:variant>
        <vt:lpwstr>_Toc198922299</vt:lpwstr>
      </vt:variant>
      <vt:variant>
        <vt:i4>1835065</vt:i4>
      </vt:variant>
      <vt:variant>
        <vt:i4>26</vt:i4>
      </vt:variant>
      <vt:variant>
        <vt:i4>0</vt:i4>
      </vt:variant>
      <vt:variant>
        <vt:i4>5</vt:i4>
      </vt:variant>
      <vt:variant>
        <vt:lpwstr/>
      </vt:variant>
      <vt:variant>
        <vt:lpwstr>_Toc198922298</vt:lpwstr>
      </vt:variant>
      <vt:variant>
        <vt:i4>1835065</vt:i4>
      </vt:variant>
      <vt:variant>
        <vt:i4>20</vt:i4>
      </vt:variant>
      <vt:variant>
        <vt:i4>0</vt:i4>
      </vt:variant>
      <vt:variant>
        <vt:i4>5</vt:i4>
      </vt:variant>
      <vt:variant>
        <vt:lpwstr/>
      </vt:variant>
      <vt:variant>
        <vt:lpwstr>_Toc198922297</vt:lpwstr>
      </vt:variant>
      <vt:variant>
        <vt:i4>1835065</vt:i4>
      </vt:variant>
      <vt:variant>
        <vt:i4>14</vt:i4>
      </vt:variant>
      <vt:variant>
        <vt:i4>0</vt:i4>
      </vt:variant>
      <vt:variant>
        <vt:i4>5</vt:i4>
      </vt:variant>
      <vt:variant>
        <vt:lpwstr/>
      </vt:variant>
      <vt:variant>
        <vt:lpwstr>_Toc198922296</vt:lpwstr>
      </vt:variant>
      <vt:variant>
        <vt:i4>1835065</vt:i4>
      </vt:variant>
      <vt:variant>
        <vt:i4>8</vt:i4>
      </vt:variant>
      <vt:variant>
        <vt:i4>0</vt:i4>
      </vt:variant>
      <vt:variant>
        <vt:i4>5</vt:i4>
      </vt:variant>
      <vt:variant>
        <vt:lpwstr/>
      </vt:variant>
      <vt:variant>
        <vt:lpwstr>_Toc198922295</vt:lpwstr>
      </vt:variant>
      <vt:variant>
        <vt:i4>1835065</vt:i4>
      </vt:variant>
      <vt:variant>
        <vt:i4>2</vt:i4>
      </vt:variant>
      <vt:variant>
        <vt:i4>0</vt:i4>
      </vt:variant>
      <vt:variant>
        <vt:i4>5</vt:i4>
      </vt:variant>
      <vt:variant>
        <vt:lpwstr/>
      </vt:variant>
      <vt:variant>
        <vt:lpwstr>_Toc198922294</vt:lpwstr>
      </vt:variant>
      <vt:variant>
        <vt:i4>3997742</vt:i4>
      </vt:variant>
      <vt:variant>
        <vt:i4>0</vt:i4>
      </vt:variant>
      <vt:variant>
        <vt:i4>0</vt:i4>
      </vt:variant>
      <vt:variant>
        <vt:i4>5</vt:i4>
      </vt:variant>
      <vt:variant>
        <vt:lpwstr>https://gsp.cgdev.org/</vt:lpwstr>
      </vt:variant>
      <vt:variant>
        <vt:lpwstr/>
      </vt:variant>
      <vt:variant>
        <vt:i4>2818109</vt:i4>
      </vt:variant>
      <vt:variant>
        <vt:i4>3</vt:i4>
      </vt:variant>
      <vt:variant>
        <vt:i4>0</vt:i4>
      </vt:variant>
      <vt:variant>
        <vt:i4>5</vt:i4>
      </vt:variant>
      <vt:variant>
        <vt:lpwstr>https://worldbankgroup.sharepoint.com/:w:/r/teams/SkillsandEmploymentforTongans-SETProjectP161541-WBGroup/Shared Documents/Project/ICR/Tonga documents/20250307 PIC9 RPF FY17 to 23 CLR (Concurred by Directors).docx?d=w4c98a53bfda744f7a704a19cdf2aa4e1&amp;csf=1&amp;web=1&amp;e=SwgKT8</vt:lpwstr>
      </vt:variant>
      <vt:variant>
        <vt:lpwstr/>
      </vt:variant>
      <vt:variant>
        <vt:i4>6684752</vt:i4>
      </vt:variant>
      <vt:variant>
        <vt:i4>0</vt:i4>
      </vt:variant>
      <vt:variant>
        <vt:i4>0</vt:i4>
      </vt:variant>
      <vt:variant>
        <vt:i4>5</vt:i4>
      </vt:variant>
      <vt:variant>
        <vt:lpwstr>mailto:kparsons@worldbank.org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Completion and Results Report (ICR)</dc:title>
  <dc:subject/>
  <dc:creator>Shyamala Balu</dc:creator>
  <cp:keywords/>
  <cp:lastModifiedBy>Antonio Moeaki</cp:lastModifiedBy>
  <cp:revision>4</cp:revision>
  <dcterms:created xsi:type="dcterms:W3CDTF">2025-05-25T04:11:00Z</dcterms:created>
  <dcterms:modified xsi:type="dcterms:W3CDTF">2025-05-29T03:07:00Z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Functions">
    <vt:lpwstr/>
  </property>
  <property fmtid="{D5CDD505-2E9C-101B-9397-08002B2CF9AE}" pid="3" name="ContentTypeId">
    <vt:lpwstr>0x010100D34DDE9C7A438749B37F1546964522A8</vt:lpwstr>
  </property>
  <property fmtid="{D5CDD505-2E9C-101B-9397-08002B2CF9AE}" pid="4" name="Country">
    <vt:lpwstr/>
  </property>
  <property fmtid="{D5CDD505-2E9C-101B-9397-08002B2CF9AE}" pid="5" name="DocumentType">
    <vt:lpwstr/>
  </property>
  <property fmtid="{D5CDD505-2E9C-101B-9397-08002B2CF9AE}" pid="6" name="e0919e4a962d4c1aa34dcc9ee85a7530">
    <vt:lpwstr/>
  </property>
  <property fmtid="{D5CDD505-2E9C-101B-9397-08002B2CF9AE}" pid="7" name="e7fed2b567784b7fb4115fec76c3b6ef">
    <vt:lpwstr/>
  </property>
  <property fmtid="{D5CDD505-2E9C-101B-9397-08002B2CF9AE}" pid="8" name="ExternalSponsor">
    <vt:lpwstr/>
  </property>
  <property fmtid="{D5CDD505-2E9C-101B-9397-08002B2CF9AE}" pid="9" name="f6836c8cfc5146d888b8918e85fd4b0e">
    <vt:lpwstr>World|181f87ec-6d12-43c8-9f7a-dc47bc14aa64</vt:lpwstr>
  </property>
  <property fmtid="{D5CDD505-2E9C-101B-9397-08002B2CF9AE}" pid="10" name="fbe16eaccf4749f086104f7c67297f76">
    <vt:lpwstr>World Bank|bc205cc9-8a56-48a3-9f30-b099e7707c1b</vt:lpwstr>
  </property>
  <property fmtid="{D5CDD505-2E9C-101B-9397-08002B2CF9AE}" pid="11" name="g24ce987e2a14cd88b1be8bba67dc4d6">
    <vt:lpwstr/>
  </property>
  <property fmtid="{D5CDD505-2E9C-101B-9397-08002B2CF9AE}" pid="12" name="g60ac5c7cc5e48988332aa7f3f7675f4">
    <vt:lpwstr>World|181f87ec-6d12-43c8-9f7a-dc47bc14aa64</vt:lpwstr>
  </property>
  <property fmtid="{D5CDD505-2E9C-101B-9397-08002B2CF9AE}" pid="13" name="GeographicArea">
    <vt:lpwstr>4;#World|181f87ec-6d12-43c8-9f7a-dc47bc14aa64</vt:lpwstr>
  </property>
  <property fmtid="{D5CDD505-2E9C-101B-9397-08002B2CF9AE}" pid="14" name="h40645383bce4db190f92f65d69cf557">
    <vt:lpwstr/>
  </property>
  <property fmtid="{D5CDD505-2E9C-101B-9397-08002B2CF9AE}" pid="15" name="InformationClassification">
    <vt:lpwstr>1;#Official Use Only|4119b812-446b-4199-aebc-580c95bfd42a</vt:lpwstr>
  </property>
  <property fmtid="{D5CDD505-2E9C-101B-9397-08002B2CF9AE}" pid="16" name="InternalSponsor">
    <vt:lpwstr/>
  </property>
  <property fmtid="{D5CDD505-2E9C-101B-9397-08002B2CF9AE}" pid="17" name="Languages">
    <vt:lpwstr>2;#English|e31af5d6-94ea-4ba5-925e-022fd8479dfd</vt:lpwstr>
  </property>
  <property fmtid="{D5CDD505-2E9C-101B-9397-08002B2CF9AE}" pid="18" name="le7312e839b9405fb813e48a1ee083cb">
    <vt:lpwstr>English|e31af5d6-94ea-4ba5-925e-022fd8479dfd</vt:lpwstr>
  </property>
  <property fmtid="{D5CDD505-2E9C-101B-9397-08002B2CF9AE}" pid="19" name="LikedBy">
    <vt:lpwstr/>
  </property>
  <property fmtid="{D5CDD505-2E9C-101B-9397-08002B2CF9AE}" pid="20" name="m30f5f85ad26449189da578bd9e06217">
    <vt:lpwstr/>
  </property>
  <property fmtid="{D5CDD505-2E9C-101B-9397-08002B2CF9AE}" pid="21" name="n3588c81c2504f79a2ae07b8fc872de1">
    <vt:lpwstr>Official Use Only|4119b812-446b-4199-aebc-580c95bfd42a</vt:lpwstr>
  </property>
  <property fmtid="{D5CDD505-2E9C-101B-9397-08002B2CF9AE}" pid="22" name="ncc44d6e437c4ee18d4e35566604faa7">
    <vt:lpwstr/>
  </property>
  <property fmtid="{D5CDD505-2E9C-101B-9397-08002B2CF9AE}" pid="23" name="Organization">
    <vt:lpwstr>3;#World Bank|bc205cc9-8a56-48a3-9f30-b099e7707c1b</vt:lpwstr>
  </property>
  <property fmtid="{D5CDD505-2E9C-101B-9397-08002B2CF9AE}" pid="24" name="RatedBy">
    <vt:lpwstr/>
  </property>
  <property fmtid="{D5CDD505-2E9C-101B-9397-08002B2CF9AE}" pid="25" name="Region">
    <vt:lpwstr>4;#World|181f87ec-6d12-43c8-9f7a-dc47bc14aa64</vt:lpwstr>
  </property>
  <property fmtid="{D5CDD505-2E9C-101B-9397-08002B2CF9AE}" pid="26" name="TaxKeyword">
    <vt:lpwstr/>
  </property>
  <property fmtid="{D5CDD505-2E9C-101B-9397-08002B2CF9AE}" pid="27" name="TaxKeywordTaxHTField">
    <vt:lpwstr/>
  </property>
  <property fmtid="{D5CDD505-2E9C-101B-9397-08002B2CF9AE}" pid="28" name="Topics">
    <vt:lpwstr/>
  </property>
  <property fmtid="{D5CDD505-2E9C-101B-9397-08002B2CF9AE}" pid="29" name="UserData">
    <vt:lpwstr>Draft</vt:lpwstr>
  </property>
  <property fmtid="{D5CDD505-2E9C-101B-9397-08002B2CF9AE}" pid="30" name="VPU">
    <vt:lpwstr/>
  </property>
  <property fmtid="{D5CDD505-2E9C-101B-9397-08002B2CF9AE}" pid="31" name="WBDocs_Access_To_Info_Exception">
    <vt:lpwstr>12. Not Assessed</vt:lpwstr>
  </property>
  <property fmtid="{D5CDD505-2E9C-101B-9397-08002B2CF9AE}" pid="32" name="WBDocs_Document_Date">
    <vt:filetime>2024-10-02T13:56:54Z</vt:filetime>
  </property>
  <property fmtid="{D5CDD505-2E9C-101B-9397-08002B2CF9AE}" pid="33" name="WBDocs_Information_Classification">
    <vt:lpwstr>Official Use Only</vt:lpwstr>
  </property>
  <property fmtid="{D5CDD505-2E9C-101B-9397-08002B2CF9AE}" pid="34" name="WBDocs_Local_Document_Type">
    <vt:lpwstr/>
  </property>
  <property fmtid="{D5CDD505-2E9C-101B-9397-08002B2CF9AE}" pid="35" name="WBDocs_Originating_Unit">
    <vt:lpwstr/>
  </property>
  <property fmtid="{D5CDD505-2E9C-101B-9397-08002B2CF9AE}" pid="36" name="wb_country">
    <vt:lpwstr/>
  </property>
  <property fmtid="{D5CDD505-2E9C-101B-9397-08002B2CF9AE}" pid="37" name="wb_exceptionapprover">
    <vt:lpwstr/>
  </property>
  <property fmtid="{D5CDD505-2E9C-101B-9397-08002B2CF9AE}" pid="38" name="wb_externalpublic">
    <vt:bool>false</vt:bool>
  </property>
  <property fmtid="{D5CDD505-2E9C-101B-9397-08002B2CF9AE}" pid="39" name="wb_language">
    <vt:lpwstr/>
  </property>
  <property fmtid="{D5CDD505-2E9C-101B-9397-08002B2CF9AE}" pid="40" name="wb_publicalternativeapprover">
    <vt:lpwstr/>
  </property>
  <property fmtid="{D5CDD505-2E9C-101B-9397-08002B2CF9AE}" pid="41" name="wb_publicapprover">
    <vt:lpwstr/>
  </property>
  <property fmtid="{D5CDD505-2E9C-101B-9397-08002B2CF9AE}" pid="42" name="_dlc_DocIdItemGuid">
    <vt:lpwstr>86bf6a7d-7a29-4e97-9004-9eb8f1bd07fd</vt:lpwstr>
  </property>
  <property fmtid="{D5CDD505-2E9C-101B-9397-08002B2CF9AE}" pid="43" name="o1cb080a3dca4eb8a0fd03c7cc8bf8f7">
    <vt:lpwstr/>
  </property>
  <property fmtid="{D5CDD505-2E9C-101B-9397-08002B2CF9AE}" pid="44" name="g5db487b699641c994752f446908f645">
    <vt:lpwstr/>
  </property>
  <property fmtid="{D5CDD505-2E9C-101B-9397-08002B2CF9AE}" pid="45" name="ed89010fab75481eba28f36694d32f6e">
    <vt:lpwstr/>
  </property>
  <property fmtid="{D5CDD505-2E9C-101B-9397-08002B2CF9AE}" pid="46" name="i008215bacac45029ee8cafff4c8e93b">
    <vt:lpwstr/>
  </property>
  <property fmtid="{D5CDD505-2E9C-101B-9397-08002B2CF9AE}" pid="47" name="MediaServiceImageTags">
    <vt:lpwstr/>
  </property>
</Properties>
</file>