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8" w:lineRule="auto"/>
        <w:jc w:val="center"/>
      </w:pPr>
      <w:r>
        <w:rPr>
          <w:b/>
          <w:sz w:val="28"/>
        </w:rPr>
        <w:t>PRADAN Lunar Ground-Truth Dataset: Approach Report</w:t>
      </w:r>
    </w:p>
    <w:p>
      <w:pPr>
        <w:spacing w:after="60" w:line="228" w:lineRule="auto"/>
      </w:pPr>
      <w:r>
        <w:rPr>
          <w:b/>
        </w:rPr>
        <w:t xml:space="preserve">Objective. </w:t>
      </w:r>
      <w:r>
        <w:t>Identify meaningful OHRC–TMC-2 image pairs over common lunar terrain and automate retrieval of the corresponding PRADAN products for downstream preprocessing and overlap/alignment.</w:t>
      </w:r>
    </w:p>
    <w:p>
      <w:pPr>
        <w:spacing w:before="40" w:after="20" w:line="228" w:lineRule="auto"/>
      </w:pPr>
      <w:r>
        <w:rPr>
          <w:b/>
          <w:sz w:val="19"/>
        </w:rPr>
        <w:t>1. Initial approach: footprint intersection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Built catalog-based matching between OHRC and TMC-2 products using their geographic bounding regions. This established candidate image pairs whose coordinate footprints intersected.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Limitation identified: bounding-box intersection alone does not prove meaningful common terrain, so a stronger ground-truth target was required.</w:t>
      </w:r>
    </w:p>
    <w:p>
      <w:pPr>
        <w:spacing w:before="40" w:after="20" w:line="228" w:lineRule="auto"/>
      </w:pPr>
      <w:r>
        <w:rPr>
          <w:b/>
          <w:sz w:val="19"/>
        </w:rPr>
        <w:t>2. Direction shift: crater-based ground truth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Instead of relying only on image-footprint overlap, we introduced the Robbins lunar crater database as an external geometric reference containing crater IDs, latitude, longitude, and diameter.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A crater-target search was implemented to find named/recorded craters located inside OHRC/TMC-2 candidate coverage.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The search initially exposed a database-loading issue (only 3 records); this was fixed, after which the full 1,296,796 crater records were loaded.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The corrected search produced 3,043 crater/image combinations across 24 OHRC scenes and candidate TMC-2 products, producing the selected target manifest.</w:t>
      </w:r>
    </w:p>
    <w:p>
      <w:pPr>
        <w:spacing w:before="40" w:after="20" w:line="228" w:lineRule="auto"/>
      </w:pPr>
      <w:r>
        <w:rPr>
          <w:b/>
          <w:sz w:val="19"/>
        </w:rPr>
        <w:t>3. PRADAN access and automation investigation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Direct WFS/API requests initially returned the ISSDC Keycloak login page instead of JSON, showing that authentication/session state was required.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A Playwright-based browser login flow was introduced to authenticate interactively and save the session in ground_truth/pradan_session.json.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Browser automation initially attempted to operate PRADAN's UI directly, but overlays/canvas elements caused unreliable click timeouts.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Network inspection then identified the actual backend flow: POST /server/pathConstructor followed by GET /server/bundleZipDownload.</w:t>
      </w:r>
    </w:p>
    <w:p>
      <w:pPr>
        <w:spacing w:before="40" w:after="20" w:line="228" w:lineRule="auto"/>
      </w:pPr>
      <w:r>
        <w:rPr>
          <w:b/>
          <w:sz w:val="19"/>
        </w:rPr>
        <w:t>4. Final approach: authenticated backend download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pathConstructor was found to return a redirect object pointing to bundleZipDownload. The script was corrected to parse the object rather than assuming a list.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The first download attempt retrieved a valid 541.41 MB ZIP but failed because Playwright attempted to hold the entire response in memory.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Final implementation converts the authenticated browser cookies into a Python requests session and streams each ZIP directly to disk in 1 MB chunks, avoiding the memory-limit failure.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Downloads are written as .zip.part files, validated using the ZIP signature, then atomically renamed; existing products are skipped.</w:t>
      </w:r>
    </w:p>
    <w:p>
      <w:pPr>
        <w:spacing w:before="40" w:after="20" w:line="228" w:lineRule="auto"/>
      </w:pPr>
      <w:r>
        <w:rPr>
          <w:b/>
          <w:sz w:val="19"/>
        </w:rPr>
        <w:t>5. Current result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The final test successfully downloaded ch2_ohr_ncp_20190906T1246532096_d_img_d18.zip (567,706,430 bytes / 541.41 MB) into dataset/pradan_downloads.</w:t>
      </w:r>
    </w:p>
    <w:p>
      <w:pPr>
        <w:spacing w:after="10" w:line="228" w:lineRule="auto"/>
        <w:ind w:left="216" w:hanging="144"/>
      </w:pPr>
      <w:r>
        <w:rPr>
          <w:b/>
        </w:rPr>
        <w:t xml:space="preserve">• </w:t>
      </w:r>
      <w:r>
        <w:t>The downloader is configured to collect unique OHRC and TMC-2 products from selected_crater_targets.csv; the test was limited to one product and should now be expanded to all 36 unique products.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